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B387" w14:textId="77777777" w:rsidR="008362F8" w:rsidRDefault="008362F8" w:rsidP="008362F8">
      <w:pPr>
        <w:jc w:val="both"/>
        <w:outlineLvl w:val="0"/>
        <w:rPr>
          <w:rFonts w:ascii="Calibri" w:hAnsi="Calibri" w:cs="Calibri"/>
          <w:sz w:val="22"/>
          <w:szCs w:val="22"/>
          <w:lang w:val="en-GB"/>
        </w:rPr>
      </w:pPr>
      <w:r>
        <w:rPr>
          <w:rFonts w:ascii="Calibri" w:hAnsi="Calibri" w:cs="Calibri"/>
          <w:noProof/>
          <w:sz w:val="22"/>
          <w:szCs w:val="22"/>
          <w:lang w:val="en-GB"/>
        </w:rPr>
        <mc:AlternateContent>
          <mc:Choice Requires="wps">
            <w:drawing>
              <wp:anchor distT="0" distB="0" distL="114300" distR="114300" simplePos="0" relativeHeight="251659264" behindDoc="1" locked="0" layoutInCell="1" allowOverlap="1" wp14:anchorId="42C28742" wp14:editId="516B1A8F">
                <wp:simplePos x="0" y="0"/>
                <wp:positionH relativeFrom="column">
                  <wp:posOffset>-154849</wp:posOffset>
                </wp:positionH>
                <wp:positionV relativeFrom="paragraph">
                  <wp:posOffset>58148</wp:posOffset>
                </wp:positionV>
                <wp:extent cx="6041571" cy="1567543"/>
                <wp:effectExtent l="0" t="0" r="16510" b="7620"/>
                <wp:wrapNone/>
                <wp:docPr id="1" name="Rectangle 1"/>
                <wp:cNvGraphicFramePr/>
                <a:graphic xmlns:a="http://schemas.openxmlformats.org/drawingml/2006/main">
                  <a:graphicData uri="http://schemas.microsoft.com/office/word/2010/wordprocessingShape">
                    <wps:wsp>
                      <wps:cNvSpPr/>
                      <wps:spPr>
                        <a:xfrm>
                          <a:off x="0" y="0"/>
                          <a:ext cx="6041571" cy="1567543"/>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8C1593" id="Rectangle 1" o:spid="_x0000_s1026" style="position:absolute;margin-left:-12.2pt;margin-top:4.6pt;width:475.7pt;height:123.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" fillcolor="white [3201]" strokecolor="#a5a5a5 [3206]" strokeweight="1pt"/>
            </w:pict>
          </mc:Fallback>
        </mc:AlternateContent>
      </w:r>
    </w:p>
    <w:p w14:paraId="002B00B0" w14:textId="77777777" w:rsidR="008362F8" w:rsidRPr="00F13B09" w:rsidRDefault="008362F8" w:rsidP="008362F8">
      <w:pPr>
        <w:jc w:val="both"/>
        <w:outlineLvl w:val="0"/>
        <w:rPr>
          <w:rFonts w:ascii="Calibri" w:hAnsi="Calibri" w:cs="Calibri"/>
          <w:sz w:val="22"/>
          <w:szCs w:val="22"/>
          <w:lang w:val="en-GB"/>
        </w:rPr>
      </w:pPr>
      <w:r w:rsidRPr="00F13B09">
        <w:rPr>
          <w:rFonts w:ascii="Calibri" w:hAnsi="Calibri" w:cs="Calibri"/>
          <w:sz w:val="22"/>
          <w:szCs w:val="22"/>
          <w:lang w:val="en-GB"/>
        </w:rPr>
        <w:t xml:space="preserve">This article </w:t>
      </w:r>
      <w:r>
        <w:rPr>
          <w:rFonts w:ascii="Calibri" w:hAnsi="Calibri" w:cs="Calibri"/>
          <w:sz w:val="22"/>
          <w:szCs w:val="22"/>
          <w:lang w:val="en-GB"/>
        </w:rPr>
        <w:t>was published</w:t>
      </w:r>
      <w:r w:rsidRPr="00F13B09">
        <w:rPr>
          <w:rFonts w:ascii="Calibri" w:hAnsi="Calibri" w:cs="Calibri"/>
          <w:sz w:val="22"/>
          <w:szCs w:val="22"/>
          <w:lang w:val="en-GB"/>
        </w:rPr>
        <w:t xml:space="preserve"> as:</w:t>
      </w:r>
    </w:p>
    <w:p w14:paraId="0CC60DB9" w14:textId="77777777" w:rsidR="008362F8" w:rsidRDefault="008362F8" w:rsidP="008362F8">
      <w:pPr>
        <w:jc w:val="both"/>
        <w:outlineLvl w:val="0"/>
        <w:rPr>
          <w:rFonts w:ascii="Calibri" w:hAnsi="Calibri" w:cs="Calibri"/>
          <w:sz w:val="22"/>
          <w:szCs w:val="22"/>
          <w:lang w:val="en-GB"/>
        </w:rPr>
      </w:pPr>
    </w:p>
    <w:p w14:paraId="25093083" w14:textId="1D8E33E1" w:rsidR="008362F8" w:rsidRPr="008362F8" w:rsidRDefault="008362F8" w:rsidP="008362F8">
      <w:pPr>
        <w:jc w:val="both"/>
        <w:outlineLvl w:val="0"/>
        <w:rPr>
          <w:rFonts w:ascii="Calibri" w:hAnsi="Calibri" w:cs="Calibri"/>
          <w:sz w:val="22"/>
          <w:szCs w:val="22"/>
          <w:lang w:val="en-US"/>
        </w:rPr>
      </w:pPr>
      <w:r>
        <w:rPr>
          <w:rFonts w:ascii="Calibri" w:hAnsi="Calibri" w:cs="Calibri"/>
          <w:sz w:val="22"/>
          <w:szCs w:val="22"/>
          <w:lang w:val="en-GB"/>
        </w:rPr>
        <w:t>Alvaro Fernandez-Mora, ‘</w:t>
      </w:r>
      <w:r w:rsidRPr="008362F8">
        <w:rPr>
          <w:rFonts w:ascii="Calibri" w:hAnsi="Calibri" w:cs="Calibri"/>
          <w:sz w:val="22"/>
          <w:szCs w:val="22"/>
        </w:rPr>
        <w:t>Inconsistencies in European Trade Mark Law: The Public Policy and Morality Exclusions’ 4 Intellectual Property Quarterly (IPQ) 271 (2020)</w:t>
      </w:r>
      <w:r w:rsidRPr="008362F8">
        <w:rPr>
          <w:rFonts w:ascii="Calibri" w:hAnsi="Calibri" w:cs="Calibri"/>
          <w:sz w:val="22"/>
          <w:szCs w:val="22"/>
          <w:lang w:val="en-US"/>
        </w:rPr>
        <w:t>,</w:t>
      </w:r>
      <w:r>
        <w:rPr>
          <w:rFonts w:ascii="Calibri" w:hAnsi="Calibri" w:cs="Calibri"/>
          <w:sz w:val="22"/>
          <w:szCs w:val="22"/>
          <w:lang w:val="en-US"/>
        </w:rPr>
        <w:t xml:space="preserve"> </w:t>
      </w:r>
      <w:r>
        <w:rPr>
          <w:rFonts w:ascii="Calibri" w:hAnsi="Calibri" w:cs="Calibri"/>
          <w:sz w:val="22"/>
          <w:szCs w:val="22"/>
          <w:lang w:val="en-US"/>
        </w:rPr>
        <w:t xml:space="preserve">available at: </w:t>
      </w:r>
      <w:hyperlink r:id="rId8" w:history="1">
        <w:r w:rsidRPr="00B97612">
          <w:rPr>
            <w:rStyle w:val="Hyperlink"/>
            <w:rFonts w:ascii="Calibri" w:hAnsi="Calibri" w:cs="Calibri"/>
            <w:sz w:val="22"/>
            <w:szCs w:val="22"/>
            <w:lang w:val="en-US"/>
          </w:rPr>
          <w:t>https://uk.westlaw.com/Document/IC51C7610248111EB84E3AFDEA08E8491/View/FullText.html?transitionType=Default&amp;contextData=%28sc.Default%29</w:t>
        </w:r>
      </w:hyperlink>
      <w:r>
        <w:rPr>
          <w:rFonts w:ascii="Calibri" w:hAnsi="Calibri" w:cs="Calibri"/>
          <w:sz w:val="22"/>
          <w:szCs w:val="22"/>
          <w:lang w:val="en-US"/>
        </w:rPr>
        <w:t xml:space="preserve">. </w:t>
      </w:r>
    </w:p>
    <w:p w14:paraId="6C96C570" w14:textId="77777777" w:rsidR="008362F8" w:rsidRPr="00F13B09" w:rsidRDefault="008362F8" w:rsidP="008362F8">
      <w:pPr>
        <w:jc w:val="both"/>
        <w:outlineLvl w:val="0"/>
        <w:rPr>
          <w:rFonts w:ascii="Calibri" w:hAnsi="Calibri" w:cs="Calibri"/>
          <w:sz w:val="22"/>
          <w:szCs w:val="22"/>
        </w:rPr>
      </w:pPr>
    </w:p>
    <w:p w14:paraId="6F214E33" w14:textId="77777777" w:rsidR="008362F8" w:rsidRPr="00F13B09" w:rsidRDefault="008362F8" w:rsidP="008362F8">
      <w:pPr>
        <w:jc w:val="both"/>
        <w:outlineLvl w:val="0"/>
        <w:rPr>
          <w:rFonts w:ascii="Calibri" w:hAnsi="Calibri" w:cs="Calibri"/>
          <w:sz w:val="22"/>
          <w:szCs w:val="22"/>
          <w:lang w:val="en-GB"/>
        </w:rPr>
      </w:pPr>
      <w:r w:rsidRPr="00F13B09">
        <w:rPr>
          <w:rFonts w:ascii="Calibri" w:hAnsi="Calibri" w:cs="Calibri"/>
          <w:sz w:val="22"/>
          <w:szCs w:val="22"/>
          <w:lang w:val="en-GB"/>
        </w:rPr>
        <w:t>Please quote from this source.</w:t>
      </w:r>
    </w:p>
    <w:p w14:paraId="6BC1E5BF" w14:textId="77777777" w:rsidR="008362F8" w:rsidRDefault="008362F8" w:rsidP="008362F8">
      <w:pPr>
        <w:outlineLvl w:val="0"/>
        <w:rPr>
          <w:rFonts w:ascii="Calibri" w:hAnsi="Calibri" w:cs="Calibri"/>
          <w:b/>
          <w:bCs/>
          <w:sz w:val="22"/>
          <w:szCs w:val="22"/>
          <w:lang w:val="en-GB"/>
        </w:rPr>
      </w:pPr>
    </w:p>
    <w:p w14:paraId="0B140206" w14:textId="77777777" w:rsidR="008362F8" w:rsidRDefault="008362F8" w:rsidP="008362F8">
      <w:pPr>
        <w:outlineLvl w:val="0"/>
        <w:rPr>
          <w:rFonts w:ascii="Calibri" w:hAnsi="Calibri" w:cs="Calibri"/>
          <w:b/>
          <w:bCs/>
          <w:lang w:val="en-GB"/>
        </w:rPr>
      </w:pPr>
    </w:p>
    <w:p w14:paraId="685E3853" w14:textId="77777777" w:rsidR="008362F8" w:rsidRDefault="008362F8" w:rsidP="001268CC">
      <w:pPr>
        <w:jc w:val="center"/>
        <w:outlineLvl w:val="0"/>
        <w:rPr>
          <w:rFonts w:ascii="Calibri" w:hAnsi="Calibri" w:cs="Calibri"/>
          <w:b/>
          <w:bCs/>
          <w:lang w:val="en-GB"/>
        </w:rPr>
      </w:pPr>
    </w:p>
    <w:p w14:paraId="588A820C" w14:textId="199E48DE" w:rsidR="00B601DB" w:rsidRPr="00DD65C2" w:rsidRDefault="005D4D67" w:rsidP="001268CC">
      <w:pPr>
        <w:jc w:val="center"/>
        <w:outlineLvl w:val="0"/>
        <w:rPr>
          <w:rFonts w:ascii="Calibri" w:hAnsi="Calibri" w:cs="Calibri"/>
          <w:b/>
          <w:bCs/>
          <w:lang w:val="en-GB"/>
        </w:rPr>
      </w:pPr>
      <w:r w:rsidRPr="00DD65C2">
        <w:rPr>
          <w:rFonts w:ascii="Calibri" w:hAnsi="Calibri" w:cs="Calibri"/>
          <w:b/>
          <w:bCs/>
          <w:lang w:val="en-GB"/>
        </w:rPr>
        <w:t>Inconsistencies</w:t>
      </w:r>
      <w:r w:rsidR="00324550" w:rsidRPr="00DD65C2">
        <w:rPr>
          <w:rFonts w:ascii="Calibri" w:hAnsi="Calibri" w:cs="Calibri"/>
          <w:b/>
          <w:bCs/>
          <w:lang w:val="en-GB"/>
        </w:rPr>
        <w:t xml:space="preserve"> in E</w:t>
      </w:r>
      <w:r w:rsidR="009922B2" w:rsidRPr="00DD65C2">
        <w:rPr>
          <w:rFonts w:ascii="Calibri" w:hAnsi="Calibri" w:cs="Calibri"/>
          <w:b/>
          <w:bCs/>
          <w:lang w:val="en-GB"/>
        </w:rPr>
        <w:t>uropean</w:t>
      </w:r>
      <w:r w:rsidR="00324550" w:rsidRPr="00DD65C2">
        <w:rPr>
          <w:rFonts w:ascii="Calibri" w:hAnsi="Calibri" w:cs="Calibri"/>
          <w:b/>
          <w:bCs/>
          <w:lang w:val="en-GB"/>
        </w:rPr>
        <w:t xml:space="preserve"> Trade Mark </w:t>
      </w:r>
      <w:r w:rsidR="009922B2" w:rsidRPr="00DD65C2">
        <w:rPr>
          <w:rFonts w:ascii="Calibri" w:hAnsi="Calibri" w:cs="Calibri"/>
          <w:b/>
          <w:bCs/>
          <w:lang w:val="en-GB"/>
        </w:rPr>
        <w:t>Law</w:t>
      </w:r>
      <w:r w:rsidR="00324550" w:rsidRPr="00DD65C2">
        <w:rPr>
          <w:rFonts w:ascii="Calibri" w:hAnsi="Calibri" w:cs="Calibri"/>
          <w:b/>
          <w:bCs/>
          <w:lang w:val="en-GB"/>
        </w:rPr>
        <w:t xml:space="preserve">: </w:t>
      </w:r>
      <w:r w:rsidR="009922B2" w:rsidRPr="00DD65C2">
        <w:rPr>
          <w:rFonts w:ascii="Calibri" w:hAnsi="Calibri" w:cs="Calibri"/>
          <w:b/>
          <w:bCs/>
          <w:lang w:val="en-GB"/>
        </w:rPr>
        <w:t>The Public Policy and Morality Exclusions</w:t>
      </w:r>
    </w:p>
    <w:p w14:paraId="0D1088C7" w14:textId="0224D056" w:rsidR="00C3448C" w:rsidRDefault="00C3448C" w:rsidP="00504F94">
      <w:pPr>
        <w:jc w:val="both"/>
        <w:rPr>
          <w:rFonts w:ascii="Calibri" w:hAnsi="Calibri" w:cs="Calibri"/>
          <w:lang w:val="en-GB"/>
        </w:rPr>
      </w:pPr>
    </w:p>
    <w:p w14:paraId="59592F09" w14:textId="2AC08ECF" w:rsidR="00471082" w:rsidRPr="008362F8" w:rsidRDefault="00471082" w:rsidP="00471082">
      <w:pPr>
        <w:jc w:val="center"/>
        <w:rPr>
          <w:rFonts w:ascii="Calibri" w:hAnsi="Calibri" w:cs="Calibri"/>
          <w:lang w:val="en-US"/>
        </w:rPr>
      </w:pPr>
      <w:r w:rsidRPr="008362F8">
        <w:rPr>
          <w:rFonts w:ascii="Calibri" w:hAnsi="Calibri" w:cs="Calibri"/>
          <w:lang w:val="en-US"/>
        </w:rPr>
        <w:t>Alvaro Fernandez-Mora</w:t>
      </w:r>
      <w:r w:rsidR="00B0741D" w:rsidRPr="008362F8">
        <w:rPr>
          <w:rFonts w:ascii="Calibri" w:hAnsi="Calibri" w:cs="Calibri"/>
          <w:sz w:val="20"/>
          <w:szCs w:val="20"/>
          <w:lang w:val="en-US"/>
        </w:rPr>
        <w:t>*</w:t>
      </w:r>
    </w:p>
    <w:p w14:paraId="3D594733" w14:textId="77777777" w:rsidR="00471082" w:rsidRPr="008362F8" w:rsidRDefault="00471082" w:rsidP="00504F94">
      <w:pPr>
        <w:jc w:val="both"/>
        <w:rPr>
          <w:rFonts w:ascii="Calibri" w:hAnsi="Calibri" w:cs="Calibri"/>
          <w:lang w:val="en-US"/>
        </w:rPr>
      </w:pPr>
    </w:p>
    <w:p w14:paraId="7B70EA2A" w14:textId="580E41F9" w:rsidR="007B112C" w:rsidRPr="008362F8" w:rsidRDefault="007B112C" w:rsidP="00504F94">
      <w:pPr>
        <w:jc w:val="both"/>
        <w:rPr>
          <w:rFonts w:ascii="Calibri" w:hAnsi="Calibri" w:cs="Calibri"/>
          <w:b/>
          <w:bCs/>
          <w:lang w:val="en-US"/>
        </w:rPr>
      </w:pPr>
      <w:r w:rsidRPr="008362F8">
        <w:rPr>
          <w:rFonts w:ascii="Calibri" w:hAnsi="Calibri" w:cs="Calibri"/>
          <w:b/>
          <w:bCs/>
          <w:lang w:val="en-US"/>
        </w:rPr>
        <w:t>Abstract</w:t>
      </w:r>
    </w:p>
    <w:p w14:paraId="3605D310" w14:textId="187ECBFB" w:rsidR="007B112C" w:rsidRPr="008362F8" w:rsidRDefault="007B112C" w:rsidP="00504F94">
      <w:pPr>
        <w:jc w:val="both"/>
        <w:rPr>
          <w:rFonts w:ascii="Calibri" w:hAnsi="Calibri" w:cs="Calibri"/>
          <w:lang w:val="en-US"/>
        </w:rPr>
      </w:pPr>
    </w:p>
    <w:p w14:paraId="689424B0" w14:textId="1C719640" w:rsidR="006A5A08" w:rsidRPr="00DD65C2" w:rsidRDefault="006A5A08" w:rsidP="00504F94">
      <w:pPr>
        <w:jc w:val="both"/>
        <w:rPr>
          <w:rFonts w:ascii="Calibri" w:hAnsi="Calibri" w:cs="Calibri"/>
          <w:i/>
          <w:iCs/>
          <w:lang w:val="en-GB"/>
        </w:rPr>
      </w:pPr>
      <w:r w:rsidRPr="00DD65C2">
        <w:rPr>
          <w:rFonts w:ascii="Calibri" w:hAnsi="Calibri" w:cs="Calibri"/>
          <w:i/>
          <w:iCs/>
          <w:lang w:val="en-GB"/>
        </w:rPr>
        <w:t xml:space="preserve">European decision-makers have not adopted a uniform approach to the interpretation of the </w:t>
      </w:r>
      <w:r w:rsidR="00FC3F83" w:rsidRPr="00DD65C2">
        <w:rPr>
          <w:rFonts w:ascii="Calibri" w:hAnsi="Calibri" w:cs="Calibri"/>
          <w:i/>
          <w:iCs/>
          <w:lang w:val="en-GB"/>
        </w:rPr>
        <w:t>public policy and morality exclusions</w:t>
      </w:r>
      <w:r w:rsidRPr="00DD65C2">
        <w:rPr>
          <w:rFonts w:ascii="Calibri" w:hAnsi="Calibri" w:cs="Calibri"/>
          <w:i/>
          <w:iCs/>
          <w:lang w:val="en-GB"/>
        </w:rPr>
        <w:t>. This has resulted in a worrying degree of unpredictability</w:t>
      </w:r>
      <w:r w:rsidR="00982E67" w:rsidRPr="00DD65C2">
        <w:rPr>
          <w:rFonts w:ascii="Calibri" w:hAnsi="Calibri" w:cs="Calibri"/>
          <w:i/>
          <w:iCs/>
          <w:lang w:val="en-GB"/>
        </w:rPr>
        <w:t>, with simila</w:t>
      </w:r>
      <w:r w:rsidR="00430F40" w:rsidRPr="00DD65C2">
        <w:rPr>
          <w:rFonts w:ascii="Calibri" w:hAnsi="Calibri" w:cs="Calibri"/>
          <w:i/>
          <w:iCs/>
          <w:lang w:val="en-GB"/>
        </w:rPr>
        <w:t>r</w:t>
      </w:r>
      <w:r w:rsidR="00982E67" w:rsidRPr="00DD65C2">
        <w:rPr>
          <w:rFonts w:ascii="Calibri" w:hAnsi="Calibri" w:cs="Calibri"/>
          <w:i/>
          <w:iCs/>
          <w:lang w:val="en-GB"/>
        </w:rPr>
        <w:t xml:space="preserve"> signs being refused registration in some instances while being granted in others</w:t>
      </w:r>
      <w:r w:rsidR="007C307D" w:rsidRPr="00DD65C2">
        <w:rPr>
          <w:rFonts w:ascii="Calibri" w:hAnsi="Calibri" w:cs="Calibri"/>
          <w:i/>
          <w:iCs/>
          <w:lang w:val="en-GB"/>
        </w:rPr>
        <w:t xml:space="preserve">. </w:t>
      </w:r>
      <w:r w:rsidR="00FC3F83" w:rsidRPr="00DD65C2">
        <w:rPr>
          <w:rFonts w:ascii="Calibri" w:hAnsi="Calibri" w:cs="Calibri"/>
          <w:i/>
          <w:iCs/>
          <w:lang w:val="en-GB"/>
        </w:rPr>
        <w:t>In the search for consistency, c</w:t>
      </w:r>
      <w:r w:rsidR="007C307D" w:rsidRPr="00DD65C2">
        <w:rPr>
          <w:rFonts w:ascii="Calibri" w:hAnsi="Calibri" w:cs="Calibri"/>
          <w:i/>
          <w:iCs/>
          <w:lang w:val="en-GB"/>
        </w:rPr>
        <w:t xml:space="preserve">ommentators have thus far focused on one </w:t>
      </w:r>
      <w:r w:rsidR="000472FA" w:rsidRPr="00DD65C2">
        <w:rPr>
          <w:rFonts w:ascii="Calibri" w:hAnsi="Calibri" w:cs="Calibri"/>
          <w:i/>
          <w:iCs/>
          <w:lang w:val="en-GB"/>
        </w:rPr>
        <w:t xml:space="preserve">controversial </w:t>
      </w:r>
      <w:r w:rsidR="007C307D" w:rsidRPr="00DD65C2">
        <w:rPr>
          <w:rFonts w:ascii="Calibri" w:hAnsi="Calibri" w:cs="Calibri"/>
          <w:i/>
          <w:iCs/>
          <w:lang w:val="en-GB"/>
        </w:rPr>
        <w:t xml:space="preserve">aspect of the </w:t>
      </w:r>
      <w:r w:rsidR="00252801" w:rsidRPr="00DD65C2">
        <w:rPr>
          <w:rFonts w:ascii="Calibri" w:hAnsi="Calibri" w:cs="Calibri"/>
          <w:i/>
          <w:iCs/>
          <w:lang w:val="en-GB"/>
        </w:rPr>
        <w:t xml:space="preserve">exclusions: the role </w:t>
      </w:r>
      <w:r w:rsidR="00252801" w:rsidRPr="00DD65C2">
        <w:rPr>
          <w:rFonts w:ascii="Calibri" w:hAnsi="Calibri" w:cs="Calibri"/>
          <w:i/>
          <w:iCs/>
        </w:rPr>
        <w:t>role that the protection afforded by freedom of expression under Article 10 ECHR ought to play in trade mark registration</w:t>
      </w:r>
      <w:r w:rsidR="00252801" w:rsidRPr="00DD65C2">
        <w:rPr>
          <w:rFonts w:ascii="Calibri" w:hAnsi="Calibri" w:cs="Calibri"/>
          <w:i/>
          <w:iCs/>
          <w:lang w:val="en-US"/>
        </w:rPr>
        <w:t>.</w:t>
      </w:r>
      <w:r w:rsidR="00252801" w:rsidRPr="00DD65C2">
        <w:rPr>
          <w:rFonts w:ascii="Calibri" w:hAnsi="Calibri" w:cs="Calibri"/>
          <w:i/>
          <w:iCs/>
          <w:lang w:val="en-GB"/>
        </w:rPr>
        <w:t xml:space="preserve"> This article argues that this is only one of several sources of inconsistency that can be identified in the case law. Current approaches are also split as regards the correct interpretation of </w:t>
      </w:r>
      <w:r w:rsidR="000472FA" w:rsidRPr="00DD65C2">
        <w:rPr>
          <w:rFonts w:ascii="Calibri" w:hAnsi="Calibri" w:cs="Calibri"/>
          <w:i/>
          <w:iCs/>
          <w:lang w:val="en-GB"/>
        </w:rPr>
        <w:t>these</w:t>
      </w:r>
      <w:r w:rsidR="00252801" w:rsidRPr="00DD65C2">
        <w:rPr>
          <w:rFonts w:ascii="Calibri" w:hAnsi="Calibri" w:cs="Calibri"/>
          <w:i/>
          <w:iCs/>
          <w:lang w:val="en-GB"/>
        </w:rPr>
        <w:t xml:space="preserve"> ground</w:t>
      </w:r>
      <w:r w:rsidR="000472FA" w:rsidRPr="00DD65C2">
        <w:rPr>
          <w:rFonts w:ascii="Calibri" w:hAnsi="Calibri" w:cs="Calibri"/>
          <w:i/>
          <w:iCs/>
          <w:lang w:val="en-GB"/>
        </w:rPr>
        <w:t>s</w:t>
      </w:r>
      <w:r w:rsidR="00252801" w:rsidRPr="00DD65C2">
        <w:rPr>
          <w:rFonts w:ascii="Calibri" w:hAnsi="Calibri" w:cs="Calibri"/>
          <w:i/>
          <w:iCs/>
          <w:lang w:val="en-GB"/>
        </w:rPr>
        <w:t xml:space="preserve"> for refusal, including: (a) their conceptual boundaries; (b) how to correctly define the relevant public; and (c) </w:t>
      </w:r>
      <w:r w:rsidR="00FC3F83" w:rsidRPr="00DD65C2">
        <w:rPr>
          <w:rFonts w:ascii="Calibri" w:hAnsi="Calibri" w:cs="Calibri"/>
          <w:i/>
          <w:iCs/>
          <w:lang w:val="en-GB"/>
        </w:rPr>
        <w:t xml:space="preserve">their applicable legal </w:t>
      </w:r>
      <w:r w:rsidR="00252801" w:rsidRPr="00DD65C2">
        <w:rPr>
          <w:rFonts w:ascii="Calibri" w:hAnsi="Calibri" w:cs="Calibri"/>
          <w:i/>
          <w:iCs/>
          <w:lang w:val="en-GB"/>
        </w:rPr>
        <w:t>test</w:t>
      </w:r>
      <w:r w:rsidR="00FC3F83" w:rsidRPr="00DD65C2">
        <w:rPr>
          <w:rFonts w:ascii="Calibri" w:hAnsi="Calibri" w:cs="Calibri"/>
          <w:i/>
          <w:iCs/>
          <w:lang w:val="en-GB"/>
        </w:rPr>
        <w:t>(</w:t>
      </w:r>
      <w:r w:rsidR="00252801" w:rsidRPr="00DD65C2">
        <w:rPr>
          <w:rFonts w:ascii="Calibri" w:hAnsi="Calibri" w:cs="Calibri"/>
          <w:i/>
          <w:iCs/>
          <w:lang w:val="en-GB"/>
        </w:rPr>
        <w:t>s</w:t>
      </w:r>
      <w:r w:rsidR="00FC3F83" w:rsidRPr="00DD65C2">
        <w:rPr>
          <w:rFonts w:ascii="Calibri" w:hAnsi="Calibri" w:cs="Calibri"/>
          <w:i/>
          <w:iCs/>
          <w:lang w:val="en-GB"/>
        </w:rPr>
        <w:t>)</w:t>
      </w:r>
      <w:r w:rsidR="00252801" w:rsidRPr="00DD65C2">
        <w:rPr>
          <w:rFonts w:ascii="Calibri" w:hAnsi="Calibri" w:cs="Calibri"/>
          <w:i/>
          <w:iCs/>
          <w:lang w:val="en-GB"/>
        </w:rPr>
        <w:t>. It is only if decision-makers address</w:t>
      </w:r>
      <w:r w:rsidR="00CA5643" w:rsidRPr="00DD65C2">
        <w:rPr>
          <w:rFonts w:ascii="Calibri" w:hAnsi="Calibri" w:cs="Calibri"/>
          <w:i/>
          <w:iCs/>
          <w:lang w:val="en-GB"/>
        </w:rPr>
        <w:t xml:space="preserve"> these additional</w:t>
      </w:r>
      <w:r w:rsidR="00252801" w:rsidRPr="00DD65C2">
        <w:rPr>
          <w:rFonts w:ascii="Calibri" w:hAnsi="Calibri" w:cs="Calibri"/>
          <w:i/>
          <w:iCs/>
          <w:lang w:val="en-GB"/>
        </w:rPr>
        <w:t xml:space="preserve"> sources</w:t>
      </w:r>
      <w:r w:rsidR="00391AD4" w:rsidRPr="00DD65C2">
        <w:rPr>
          <w:rFonts w:ascii="Calibri" w:hAnsi="Calibri" w:cs="Calibri"/>
          <w:i/>
          <w:iCs/>
          <w:lang w:val="en-GB"/>
        </w:rPr>
        <w:t xml:space="preserve"> of inconsistency</w:t>
      </w:r>
      <w:r w:rsidR="00252801" w:rsidRPr="00DD65C2">
        <w:rPr>
          <w:rFonts w:ascii="Calibri" w:hAnsi="Calibri" w:cs="Calibri"/>
          <w:i/>
          <w:iCs/>
          <w:lang w:val="en-GB"/>
        </w:rPr>
        <w:t xml:space="preserve"> </w:t>
      </w:r>
      <w:r w:rsidR="00CA5643" w:rsidRPr="00DD65C2">
        <w:rPr>
          <w:rFonts w:ascii="Calibri" w:hAnsi="Calibri" w:cs="Calibri"/>
          <w:i/>
          <w:iCs/>
          <w:lang w:val="en-GB"/>
        </w:rPr>
        <w:t>moving forward</w:t>
      </w:r>
      <w:r w:rsidR="00252801" w:rsidRPr="00DD65C2">
        <w:rPr>
          <w:rFonts w:ascii="Calibri" w:hAnsi="Calibri" w:cs="Calibri"/>
          <w:i/>
          <w:iCs/>
          <w:lang w:val="en-GB"/>
        </w:rPr>
        <w:t xml:space="preserve"> that it will be possible to </w:t>
      </w:r>
      <w:r w:rsidR="000472FA" w:rsidRPr="00DD65C2">
        <w:rPr>
          <w:rFonts w:ascii="Calibri" w:hAnsi="Calibri" w:cs="Calibri"/>
          <w:i/>
          <w:iCs/>
          <w:lang w:val="en-GB"/>
        </w:rPr>
        <w:t xml:space="preserve">harmonise this </w:t>
      </w:r>
      <w:r w:rsidR="00252801" w:rsidRPr="00DD65C2">
        <w:rPr>
          <w:rFonts w:ascii="Calibri" w:hAnsi="Calibri" w:cs="Calibri"/>
          <w:i/>
          <w:iCs/>
          <w:lang w:val="en-GB"/>
        </w:rPr>
        <w:t>area of law</w:t>
      </w:r>
      <w:r w:rsidR="00011136">
        <w:rPr>
          <w:rFonts w:ascii="Calibri" w:hAnsi="Calibri" w:cs="Calibri"/>
          <w:i/>
          <w:iCs/>
          <w:lang w:val="en-GB"/>
        </w:rPr>
        <w:t>.</w:t>
      </w:r>
      <w:r w:rsidR="004213C3" w:rsidRPr="00DD65C2">
        <w:rPr>
          <w:rFonts w:ascii="Calibri" w:hAnsi="Calibri" w:cs="Calibri"/>
          <w:i/>
          <w:iCs/>
          <w:lang w:val="en-GB"/>
        </w:rPr>
        <w:t xml:space="preserve"> This is a timely endeavour in light of the recent decision in </w:t>
      </w:r>
      <w:r w:rsidR="004213C3" w:rsidRPr="00DD65C2">
        <w:rPr>
          <w:rFonts w:ascii="Calibri" w:hAnsi="Calibri" w:cs="Calibri"/>
          <w:lang w:val="en-GB"/>
        </w:rPr>
        <w:t>‘</w:t>
      </w:r>
      <w:r w:rsidR="00C9121C" w:rsidRPr="00DD65C2">
        <w:rPr>
          <w:rFonts w:ascii="Calibri" w:hAnsi="Calibri" w:cs="Calibri"/>
          <w:i/>
          <w:iCs/>
          <w:lang w:val="en-GB"/>
        </w:rPr>
        <w:t>Fack Ju Göhte</w:t>
      </w:r>
      <w:r w:rsidR="004213C3" w:rsidRPr="00DD65C2">
        <w:rPr>
          <w:rFonts w:ascii="Calibri" w:hAnsi="Calibri" w:cs="Calibri"/>
          <w:i/>
          <w:iCs/>
          <w:lang w:val="en-GB"/>
        </w:rPr>
        <w:t>’, where the CJEU has ruled on the morality exclusion for the first time.</w:t>
      </w:r>
    </w:p>
    <w:p w14:paraId="2453FF7B" w14:textId="77777777" w:rsidR="006A5A08" w:rsidRPr="00DD65C2" w:rsidRDefault="006A5A08" w:rsidP="00504F94">
      <w:pPr>
        <w:jc w:val="both"/>
        <w:rPr>
          <w:rFonts w:ascii="Calibri" w:hAnsi="Calibri" w:cs="Calibri"/>
          <w:lang w:val="en-GB"/>
        </w:rPr>
      </w:pPr>
    </w:p>
    <w:p w14:paraId="07686C9B" w14:textId="0141B7B9" w:rsidR="00BE296B" w:rsidRPr="00DD65C2" w:rsidRDefault="00EF33FE" w:rsidP="003833A7">
      <w:pPr>
        <w:pStyle w:val="ListParagraph"/>
        <w:numPr>
          <w:ilvl w:val="0"/>
          <w:numId w:val="13"/>
        </w:numPr>
        <w:jc w:val="both"/>
        <w:rPr>
          <w:rFonts w:ascii="Calibri" w:hAnsi="Calibri" w:cs="Calibri"/>
          <w:b/>
          <w:bCs/>
        </w:rPr>
      </w:pPr>
      <w:r w:rsidRPr="00DD65C2">
        <w:rPr>
          <w:rFonts w:ascii="Calibri" w:hAnsi="Calibri" w:cs="Calibri"/>
          <w:b/>
          <w:bCs/>
        </w:rPr>
        <w:t>Introduction</w:t>
      </w:r>
    </w:p>
    <w:p w14:paraId="38E34F4E" w14:textId="4155F58A" w:rsidR="00C06B7D" w:rsidRPr="00DD65C2" w:rsidRDefault="00C06B7D" w:rsidP="00504F94">
      <w:pPr>
        <w:jc w:val="both"/>
        <w:rPr>
          <w:rFonts w:ascii="Calibri" w:hAnsi="Calibri" w:cs="Calibri"/>
          <w:lang w:val="en-GB"/>
        </w:rPr>
      </w:pPr>
    </w:p>
    <w:p w14:paraId="1A50C006" w14:textId="24288EBD" w:rsidR="00F83714" w:rsidRPr="00DD65C2" w:rsidRDefault="00F83714" w:rsidP="00504F94">
      <w:pPr>
        <w:jc w:val="both"/>
        <w:rPr>
          <w:rFonts w:ascii="Calibri" w:hAnsi="Calibri" w:cs="Calibri"/>
          <w:lang w:val="en-GB"/>
        </w:rPr>
      </w:pPr>
      <w:r w:rsidRPr="00DD65C2">
        <w:rPr>
          <w:rFonts w:ascii="Calibri" w:hAnsi="Calibri" w:cs="Calibri"/>
          <w:lang w:val="en-GB"/>
        </w:rPr>
        <w:t xml:space="preserve">Absolute grounds for refusal of registration of marks that are immoral or that contravene public policy can be found in trade mark statutes worldwide. In Europe, </w:t>
      </w:r>
      <w:r w:rsidR="00F27A73" w:rsidRPr="00DD65C2">
        <w:rPr>
          <w:rFonts w:ascii="Calibri" w:hAnsi="Calibri" w:cs="Calibri"/>
          <w:lang w:val="en-GB" w:eastAsia="en-US"/>
        </w:rPr>
        <w:t>Article 7(1)(f) of the EU Trade Mark Regulation (EUTMR)</w:t>
      </w:r>
      <w:r w:rsidRPr="00DD65C2">
        <w:rPr>
          <w:rFonts w:ascii="Calibri" w:hAnsi="Calibri" w:cs="Calibri"/>
          <w:lang w:val="en-GB"/>
        </w:rPr>
        <w:t xml:space="preserve"> provides as follows:</w:t>
      </w:r>
    </w:p>
    <w:p w14:paraId="1598341E" w14:textId="0B140DC3" w:rsidR="00F83714" w:rsidRPr="00DD65C2" w:rsidRDefault="00F83714" w:rsidP="00504F94">
      <w:pPr>
        <w:jc w:val="both"/>
        <w:rPr>
          <w:rFonts w:ascii="Calibri" w:hAnsi="Calibri" w:cs="Calibri"/>
          <w:lang w:val="en-GB"/>
        </w:rPr>
      </w:pPr>
    </w:p>
    <w:p w14:paraId="4E385BCA" w14:textId="3EF546FD" w:rsidR="00F83714" w:rsidRPr="00DD65C2" w:rsidRDefault="00F83714" w:rsidP="00504F94">
      <w:pPr>
        <w:ind w:left="720"/>
        <w:jc w:val="both"/>
        <w:rPr>
          <w:rFonts w:ascii="Calibri" w:hAnsi="Calibri" w:cs="Calibri"/>
          <w:lang w:val="en-GB" w:eastAsia="en-US"/>
        </w:rPr>
      </w:pPr>
      <w:r w:rsidRPr="00DD65C2">
        <w:rPr>
          <w:rFonts w:ascii="Calibri" w:hAnsi="Calibri" w:cs="Calibri"/>
          <w:lang w:val="en-GB" w:eastAsia="en-US"/>
        </w:rPr>
        <w:t>1.   The following shall not be registered or, if registered, shall be liable to be declared invalid:</w:t>
      </w:r>
    </w:p>
    <w:p w14:paraId="361806C8" w14:textId="73DF299E" w:rsidR="00F83714" w:rsidRPr="00DD65C2" w:rsidRDefault="00F83714" w:rsidP="00504F94">
      <w:pPr>
        <w:ind w:left="720"/>
        <w:jc w:val="both"/>
        <w:rPr>
          <w:rFonts w:ascii="Calibri" w:hAnsi="Calibri" w:cs="Calibri"/>
          <w:lang w:val="en-GB" w:eastAsia="en-US"/>
        </w:rPr>
      </w:pPr>
      <w:r w:rsidRPr="00DD65C2">
        <w:rPr>
          <w:rFonts w:ascii="Calibri" w:hAnsi="Calibri" w:cs="Calibri"/>
          <w:lang w:val="en-GB" w:eastAsia="en-US"/>
        </w:rPr>
        <w:t>[…]</w:t>
      </w:r>
    </w:p>
    <w:p w14:paraId="62B12815" w14:textId="78A845EE" w:rsidR="00F83714" w:rsidRPr="00DD65C2" w:rsidRDefault="00F83714" w:rsidP="00504F94">
      <w:pPr>
        <w:ind w:left="720"/>
        <w:jc w:val="both"/>
        <w:rPr>
          <w:rFonts w:ascii="Calibri" w:hAnsi="Calibri" w:cs="Calibri"/>
          <w:lang w:val="en-GB" w:eastAsia="en-US"/>
        </w:rPr>
      </w:pPr>
      <w:r w:rsidRPr="00DD65C2">
        <w:rPr>
          <w:rFonts w:ascii="Calibri" w:hAnsi="Calibri" w:cs="Calibri"/>
          <w:lang w:val="en-GB" w:eastAsia="en-US"/>
        </w:rPr>
        <w:t>(f) trade marks which are contrary to public policy or to accepted principles of morality.</w:t>
      </w:r>
      <w:r w:rsidR="00F27A73" w:rsidRPr="00DD65C2">
        <w:rPr>
          <w:rStyle w:val="FootnoteReference"/>
          <w:rFonts w:ascii="Calibri" w:hAnsi="Calibri" w:cs="Calibri"/>
        </w:rPr>
        <w:footnoteReference w:id="1"/>
      </w:r>
    </w:p>
    <w:p w14:paraId="1B60A16C" w14:textId="534C9AEB" w:rsidR="00F83714" w:rsidRPr="00DD65C2" w:rsidRDefault="00F83714" w:rsidP="00504F94">
      <w:pPr>
        <w:jc w:val="both"/>
        <w:rPr>
          <w:rFonts w:ascii="Calibri" w:hAnsi="Calibri" w:cs="Calibri"/>
          <w:lang w:val="en-GB" w:eastAsia="en-US"/>
        </w:rPr>
      </w:pPr>
    </w:p>
    <w:p w14:paraId="17D35679" w14:textId="2E2E197D" w:rsidR="000B26B5" w:rsidRPr="00DD65C2" w:rsidRDefault="008339B5" w:rsidP="00504F94">
      <w:pPr>
        <w:jc w:val="both"/>
        <w:rPr>
          <w:rFonts w:ascii="Calibri" w:hAnsi="Calibri" w:cs="Calibri"/>
          <w:lang w:val="en-GB" w:eastAsia="en-US"/>
        </w:rPr>
      </w:pPr>
      <w:r w:rsidRPr="00DD65C2">
        <w:rPr>
          <w:rFonts w:ascii="Calibri" w:hAnsi="Calibri" w:cs="Calibri"/>
          <w:lang w:val="en-GB" w:eastAsia="en-US"/>
        </w:rPr>
        <w:t xml:space="preserve">Equivalent provisions can be found in </w:t>
      </w:r>
      <w:r w:rsidR="00F27A73" w:rsidRPr="00DD65C2">
        <w:rPr>
          <w:rFonts w:ascii="Calibri" w:hAnsi="Calibri" w:cs="Calibri"/>
          <w:lang w:val="en-GB" w:eastAsia="en-US"/>
        </w:rPr>
        <w:t xml:space="preserve">Article </w:t>
      </w:r>
      <w:r w:rsidR="00B12C59" w:rsidRPr="00DD65C2">
        <w:rPr>
          <w:rFonts w:ascii="Calibri" w:hAnsi="Calibri" w:cs="Calibri"/>
          <w:lang w:val="en-GB"/>
        </w:rPr>
        <w:t>4(1)(f)</w:t>
      </w:r>
      <w:r w:rsidR="00F27A73" w:rsidRPr="00DD65C2">
        <w:rPr>
          <w:rFonts w:ascii="Calibri" w:hAnsi="Calibri" w:cs="Calibri"/>
          <w:lang w:val="en-GB"/>
        </w:rPr>
        <w:t xml:space="preserve"> of the Trade Marks Directive (TMD) </w:t>
      </w:r>
      <w:r w:rsidRPr="00DD65C2">
        <w:rPr>
          <w:rFonts w:ascii="Calibri" w:hAnsi="Calibri" w:cs="Calibri"/>
          <w:lang w:val="en-GB" w:eastAsia="en-US"/>
        </w:rPr>
        <w:t>and Section 3(3)(a) of the UK Trade Marks Act.</w:t>
      </w:r>
      <w:r w:rsidR="00B305A0" w:rsidRPr="00DD65C2">
        <w:rPr>
          <w:rStyle w:val="FootnoteReference"/>
          <w:rFonts w:ascii="Calibri" w:hAnsi="Calibri" w:cs="Calibri"/>
        </w:rPr>
        <w:footnoteReference w:id="2"/>
      </w:r>
      <w:r w:rsidRPr="00DD65C2">
        <w:rPr>
          <w:rFonts w:ascii="Calibri" w:hAnsi="Calibri" w:cs="Calibri"/>
          <w:lang w:val="en-GB" w:eastAsia="en-US"/>
        </w:rPr>
        <w:t xml:space="preserve"> </w:t>
      </w:r>
      <w:r w:rsidR="00B50A38" w:rsidRPr="00DD65C2">
        <w:rPr>
          <w:rFonts w:ascii="Calibri" w:hAnsi="Calibri" w:cs="Calibri"/>
          <w:lang w:val="en-GB" w:eastAsia="en-US"/>
        </w:rPr>
        <w:t xml:space="preserve">Under these provisions, trade mark applications consisting of expressions that </w:t>
      </w:r>
      <w:r w:rsidR="008B5B7E" w:rsidRPr="00DD65C2">
        <w:rPr>
          <w:rFonts w:ascii="Calibri" w:hAnsi="Calibri" w:cs="Calibri"/>
          <w:lang w:val="en-GB" w:eastAsia="en-US"/>
        </w:rPr>
        <w:t xml:space="preserve">can cause outrage </w:t>
      </w:r>
      <w:r w:rsidR="00547794" w:rsidRPr="00DD65C2">
        <w:rPr>
          <w:rFonts w:ascii="Calibri" w:hAnsi="Calibri" w:cs="Calibri"/>
          <w:lang w:val="en-GB" w:eastAsia="en-US"/>
        </w:rPr>
        <w:t>amongst the relevant</w:t>
      </w:r>
      <w:r w:rsidR="008B5B7E" w:rsidRPr="00DD65C2">
        <w:rPr>
          <w:rFonts w:ascii="Calibri" w:hAnsi="Calibri" w:cs="Calibri"/>
          <w:lang w:val="en-GB" w:eastAsia="en-US"/>
        </w:rPr>
        <w:t xml:space="preserve"> public </w:t>
      </w:r>
      <w:r w:rsidR="003D4442" w:rsidRPr="00DD65C2">
        <w:rPr>
          <w:rFonts w:ascii="Calibri" w:hAnsi="Calibri" w:cs="Calibri"/>
          <w:lang w:val="en-GB" w:eastAsia="en-US"/>
        </w:rPr>
        <w:t>by</w:t>
      </w:r>
      <w:r w:rsidR="003F0A9C" w:rsidRPr="00DD65C2">
        <w:rPr>
          <w:rFonts w:ascii="Calibri" w:hAnsi="Calibri" w:cs="Calibri"/>
          <w:lang w:val="en-GB" w:eastAsia="en-US"/>
        </w:rPr>
        <w:t xml:space="preserve"> reason of their immorality or their contravention of public policy </w:t>
      </w:r>
      <w:r w:rsidR="002C3360" w:rsidRPr="00DD65C2">
        <w:rPr>
          <w:rFonts w:ascii="Calibri" w:hAnsi="Calibri" w:cs="Calibri"/>
          <w:lang w:val="en-GB" w:eastAsia="en-US"/>
        </w:rPr>
        <w:t xml:space="preserve">will </w:t>
      </w:r>
      <w:r w:rsidR="00593AE4" w:rsidRPr="00DD65C2">
        <w:rPr>
          <w:rFonts w:ascii="Calibri" w:hAnsi="Calibri" w:cs="Calibri"/>
          <w:lang w:val="en-GB" w:eastAsia="en-US"/>
        </w:rPr>
        <w:t>be denied</w:t>
      </w:r>
      <w:r w:rsidR="002C3360" w:rsidRPr="00DD65C2">
        <w:rPr>
          <w:rFonts w:ascii="Calibri" w:hAnsi="Calibri" w:cs="Calibri"/>
          <w:lang w:val="en-GB" w:eastAsia="en-US"/>
        </w:rPr>
        <w:t xml:space="preserve"> access </w:t>
      </w:r>
      <w:r w:rsidR="00593AE4" w:rsidRPr="00DD65C2">
        <w:rPr>
          <w:rFonts w:ascii="Calibri" w:hAnsi="Calibri" w:cs="Calibri"/>
          <w:lang w:val="en-GB" w:eastAsia="en-US"/>
        </w:rPr>
        <w:t xml:space="preserve">to </w:t>
      </w:r>
      <w:r w:rsidR="002C3360" w:rsidRPr="00DD65C2">
        <w:rPr>
          <w:rFonts w:ascii="Calibri" w:hAnsi="Calibri" w:cs="Calibri"/>
          <w:lang w:val="en-GB" w:eastAsia="en-US"/>
        </w:rPr>
        <w:t xml:space="preserve">the register. </w:t>
      </w:r>
    </w:p>
    <w:p w14:paraId="39168D61" w14:textId="0D324C32" w:rsidR="002D4B9F" w:rsidRPr="00DD65C2" w:rsidRDefault="002D4B9F" w:rsidP="007E6922">
      <w:pPr>
        <w:jc w:val="both"/>
        <w:rPr>
          <w:rFonts w:ascii="Calibri" w:hAnsi="Calibri" w:cs="Calibri"/>
          <w:lang w:val="en-GB"/>
        </w:rPr>
      </w:pPr>
    </w:p>
    <w:p w14:paraId="2708D00F" w14:textId="3894A49F" w:rsidR="004A4104" w:rsidRPr="00DD65C2" w:rsidRDefault="003A1F04" w:rsidP="00D31E44">
      <w:pPr>
        <w:jc w:val="both"/>
        <w:rPr>
          <w:rFonts w:ascii="Calibri" w:hAnsi="Calibri" w:cs="Calibri"/>
          <w:lang w:val="en-GB"/>
        </w:rPr>
      </w:pPr>
      <w:r w:rsidRPr="00DD65C2">
        <w:rPr>
          <w:rFonts w:ascii="Calibri" w:hAnsi="Calibri" w:cs="Calibri"/>
          <w:lang w:val="en-GB"/>
        </w:rPr>
        <w:t xml:space="preserve">An overview of the case law dealing with these </w:t>
      </w:r>
      <w:r w:rsidR="00DF7CEB" w:rsidRPr="00DD65C2">
        <w:rPr>
          <w:rFonts w:ascii="Calibri" w:hAnsi="Calibri" w:cs="Calibri"/>
          <w:lang w:val="en-GB"/>
        </w:rPr>
        <w:t>exclusions</w:t>
      </w:r>
      <w:r w:rsidRPr="00DD65C2">
        <w:rPr>
          <w:rFonts w:ascii="Calibri" w:hAnsi="Calibri" w:cs="Calibri"/>
          <w:lang w:val="en-GB"/>
        </w:rPr>
        <w:t xml:space="preserve"> reveals that </w:t>
      </w:r>
      <w:r w:rsidR="00D31E44" w:rsidRPr="00DD65C2">
        <w:rPr>
          <w:rFonts w:ascii="Calibri" w:hAnsi="Calibri" w:cs="Calibri"/>
          <w:lang w:val="en-GB"/>
        </w:rPr>
        <w:t xml:space="preserve">European </w:t>
      </w:r>
      <w:r w:rsidR="00CA4514" w:rsidRPr="00DD65C2">
        <w:rPr>
          <w:rFonts w:ascii="Calibri" w:hAnsi="Calibri" w:cs="Calibri"/>
          <w:lang w:val="en-GB"/>
        </w:rPr>
        <w:t>decision-maker</w:t>
      </w:r>
      <w:r w:rsidR="00D31E44" w:rsidRPr="00DD65C2">
        <w:rPr>
          <w:rFonts w:ascii="Calibri" w:hAnsi="Calibri" w:cs="Calibri"/>
          <w:lang w:val="en-GB"/>
        </w:rPr>
        <w:t>s have not adopted a uniform approach to the</w:t>
      </w:r>
      <w:r w:rsidR="00FE339B" w:rsidRPr="00DD65C2">
        <w:rPr>
          <w:rFonts w:ascii="Calibri" w:hAnsi="Calibri" w:cs="Calibri"/>
          <w:lang w:val="en-GB"/>
        </w:rPr>
        <w:t>ir</w:t>
      </w:r>
      <w:r w:rsidR="00D31E44" w:rsidRPr="00DD65C2">
        <w:rPr>
          <w:rFonts w:ascii="Calibri" w:hAnsi="Calibri" w:cs="Calibri"/>
          <w:lang w:val="en-GB"/>
        </w:rPr>
        <w:t xml:space="preserve"> interpretation</w:t>
      </w:r>
      <w:r w:rsidR="00FE339B" w:rsidRPr="00DD65C2">
        <w:rPr>
          <w:rFonts w:ascii="Calibri" w:hAnsi="Calibri" w:cs="Calibri"/>
          <w:lang w:val="en-GB"/>
        </w:rPr>
        <w:t>.</w:t>
      </w:r>
      <w:r w:rsidR="00D31E44" w:rsidRPr="00DD65C2">
        <w:rPr>
          <w:rFonts w:ascii="Calibri" w:hAnsi="Calibri" w:cs="Calibri"/>
          <w:lang w:val="en-GB"/>
        </w:rPr>
        <w:t xml:space="preserve"> </w:t>
      </w:r>
      <w:r w:rsidR="004916E6" w:rsidRPr="00DD65C2">
        <w:rPr>
          <w:rFonts w:ascii="Calibri" w:hAnsi="Calibri" w:cs="Calibri"/>
          <w:lang w:val="en-GB"/>
        </w:rPr>
        <w:t xml:space="preserve">This has resulted in a worrying degree of </w:t>
      </w:r>
      <w:r w:rsidR="009E4B12" w:rsidRPr="00DD65C2">
        <w:rPr>
          <w:rFonts w:ascii="Calibri" w:hAnsi="Calibri" w:cs="Calibri"/>
          <w:lang w:val="en-GB"/>
        </w:rPr>
        <w:t>unpredictability</w:t>
      </w:r>
      <w:r w:rsidR="003A47D6" w:rsidRPr="00DD65C2">
        <w:rPr>
          <w:rFonts w:ascii="Calibri" w:hAnsi="Calibri" w:cs="Calibri"/>
          <w:lang w:val="en-GB"/>
        </w:rPr>
        <w:t xml:space="preserve">, as illustrated by the numerous inconsistencies </w:t>
      </w:r>
      <w:r w:rsidR="004916E6" w:rsidRPr="00DD65C2">
        <w:rPr>
          <w:rFonts w:ascii="Calibri" w:hAnsi="Calibri" w:cs="Calibri"/>
          <w:lang w:val="en-GB"/>
        </w:rPr>
        <w:t xml:space="preserve">found in the types of signs that have been granted </w:t>
      </w:r>
      <w:r w:rsidR="00577506" w:rsidRPr="00DD65C2">
        <w:rPr>
          <w:rFonts w:ascii="Calibri" w:hAnsi="Calibri" w:cs="Calibri"/>
          <w:lang w:val="en-GB"/>
        </w:rPr>
        <w:t xml:space="preserve">access to European registers </w:t>
      </w:r>
      <w:r w:rsidR="004916E6" w:rsidRPr="00DD65C2">
        <w:rPr>
          <w:rFonts w:ascii="Calibri" w:hAnsi="Calibri" w:cs="Calibri"/>
          <w:lang w:val="en-GB"/>
        </w:rPr>
        <w:t xml:space="preserve">when compared to those that have </w:t>
      </w:r>
      <w:r w:rsidR="00577506" w:rsidRPr="00DD65C2">
        <w:rPr>
          <w:rFonts w:ascii="Calibri" w:hAnsi="Calibri" w:cs="Calibri"/>
          <w:lang w:val="en-GB"/>
        </w:rPr>
        <w:t>not</w:t>
      </w:r>
      <w:r w:rsidR="004916E6" w:rsidRPr="00DD65C2">
        <w:rPr>
          <w:rFonts w:ascii="Calibri" w:hAnsi="Calibri" w:cs="Calibri"/>
          <w:lang w:val="en-GB"/>
        </w:rPr>
        <w:t>.</w:t>
      </w:r>
      <w:r w:rsidR="00D70B28" w:rsidRPr="00DD65C2">
        <w:rPr>
          <w:rStyle w:val="FootnoteReference"/>
          <w:rFonts w:ascii="Calibri" w:hAnsi="Calibri" w:cs="Calibri"/>
        </w:rPr>
        <w:footnoteReference w:id="3"/>
      </w:r>
      <w:r w:rsidR="004916E6" w:rsidRPr="00DD65C2">
        <w:rPr>
          <w:rFonts w:ascii="Calibri" w:hAnsi="Calibri" w:cs="Calibri"/>
          <w:lang w:val="en-GB"/>
        </w:rPr>
        <w:t xml:space="preserve"> Signs such as </w:t>
      </w:r>
      <w:r w:rsidR="00347CA0" w:rsidRPr="00DD65C2">
        <w:rPr>
          <w:rFonts w:ascii="Calibri" w:hAnsi="Calibri" w:cs="Calibri"/>
          <w:lang w:val="en-GB"/>
        </w:rPr>
        <w:t>‘</w:t>
      </w:r>
      <w:r w:rsidR="00C9121C" w:rsidRPr="00DD65C2">
        <w:rPr>
          <w:rFonts w:ascii="Calibri" w:hAnsi="Calibri" w:cs="Calibri"/>
          <w:lang w:val="en-GB"/>
        </w:rPr>
        <w:t>F</w:t>
      </w:r>
      <w:r w:rsidR="00347CA0" w:rsidRPr="00DD65C2">
        <w:rPr>
          <w:rFonts w:ascii="Calibri" w:hAnsi="Calibri" w:cs="Calibri"/>
          <w:lang w:val="en-GB"/>
        </w:rPr>
        <w:t xml:space="preserve">ucking </w:t>
      </w:r>
      <w:r w:rsidR="00C9121C" w:rsidRPr="00DD65C2">
        <w:rPr>
          <w:rFonts w:ascii="Calibri" w:hAnsi="Calibri" w:cs="Calibri"/>
          <w:lang w:val="en-GB"/>
        </w:rPr>
        <w:t>F</w:t>
      </w:r>
      <w:r w:rsidR="00347CA0" w:rsidRPr="00DD65C2">
        <w:rPr>
          <w:rFonts w:ascii="Calibri" w:hAnsi="Calibri" w:cs="Calibri"/>
          <w:lang w:val="en-GB"/>
        </w:rPr>
        <w:t>reezing!’, ‘¡</w:t>
      </w:r>
      <w:r w:rsidR="00C9121C" w:rsidRPr="00DD65C2">
        <w:rPr>
          <w:rFonts w:ascii="Calibri" w:hAnsi="Calibri" w:cs="Calibri"/>
          <w:lang w:val="en-GB"/>
        </w:rPr>
        <w:t>Q</w:t>
      </w:r>
      <w:r w:rsidR="00347CA0" w:rsidRPr="00DD65C2">
        <w:rPr>
          <w:rFonts w:ascii="Calibri" w:hAnsi="Calibri" w:cs="Calibri"/>
          <w:lang w:val="en-GB"/>
        </w:rPr>
        <w:t xml:space="preserve">ue </w:t>
      </w:r>
      <w:r w:rsidR="00C9121C" w:rsidRPr="00DD65C2">
        <w:rPr>
          <w:rFonts w:ascii="Calibri" w:hAnsi="Calibri" w:cs="Calibri"/>
          <w:lang w:val="en-GB"/>
        </w:rPr>
        <w:t>B</w:t>
      </w:r>
      <w:r w:rsidR="00347CA0" w:rsidRPr="00DD65C2">
        <w:rPr>
          <w:rFonts w:ascii="Calibri" w:hAnsi="Calibri" w:cs="Calibri"/>
          <w:lang w:val="en-GB"/>
        </w:rPr>
        <w:t xml:space="preserve">uenu </w:t>
      </w:r>
      <w:r w:rsidR="00C9121C" w:rsidRPr="00DD65C2">
        <w:rPr>
          <w:rFonts w:ascii="Calibri" w:hAnsi="Calibri" w:cs="Calibri"/>
          <w:lang w:val="en-GB"/>
        </w:rPr>
        <w:t>Y</w:t>
      </w:r>
      <w:r w:rsidR="00347CA0" w:rsidRPr="00DD65C2">
        <w:rPr>
          <w:rFonts w:ascii="Calibri" w:hAnsi="Calibri" w:cs="Calibri"/>
          <w:lang w:val="en-GB"/>
        </w:rPr>
        <w:t xml:space="preserve">e! </w:t>
      </w:r>
      <w:r w:rsidR="00C9121C" w:rsidRPr="00DD65C2">
        <w:rPr>
          <w:rFonts w:ascii="Calibri" w:hAnsi="Calibri" w:cs="Calibri"/>
          <w:lang w:val="en-GB"/>
        </w:rPr>
        <w:t>H</w:t>
      </w:r>
      <w:r w:rsidR="00347CA0" w:rsidRPr="00DD65C2">
        <w:rPr>
          <w:rFonts w:ascii="Calibri" w:hAnsi="Calibri" w:cs="Calibri"/>
          <w:lang w:val="en-GB"/>
        </w:rPr>
        <w:t xml:space="preserve">ijoputa’ (where ‘hijoputa’ </w:t>
      </w:r>
      <w:r w:rsidR="00A737A2" w:rsidRPr="00DD65C2">
        <w:rPr>
          <w:rFonts w:ascii="Calibri" w:hAnsi="Calibri" w:cs="Calibri"/>
          <w:lang w:val="en-GB"/>
        </w:rPr>
        <w:t>translates into</w:t>
      </w:r>
      <w:r w:rsidR="004916E6" w:rsidRPr="00DD65C2">
        <w:rPr>
          <w:rFonts w:ascii="Calibri" w:hAnsi="Calibri" w:cs="Calibri"/>
          <w:lang w:val="en-GB"/>
        </w:rPr>
        <w:t xml:space="preserve"> ‘son of a bitch’ in Spanish), ‘</w:t>
      </w:r>
      <w:r w:rsidR="00C9121C" w:rsidRPr="00DD65C2">
        <w:rPr>
          <w:rFonts w:ascii="Calibri" w:hAnsi="Calibri" w:cs="Calibri"/>
          <w:lang w:val="en-GB"/>
        </w:rPr>
        <w:t>P</w:t>
      </w:r>
      <w:r w:rsidR="00347CA0" w:rsidRPr="00DD65C2">
        <w:rPr>
          <w:rFonts w:ascii="Calibri" w:hAnsi="Calibri" w:cs="Calibri"/>
          <w:lang w:val="en-GB"/>
        </w:rPr>
        <w:t>aki</w:t>
      </w:r>
      <w:r w:rsidR="004916E6" w:rsidRPr="00DD65C2">
        <w:rPr>
          <w:rFonts w:ascii="Calibri" w:hAnsi="Calibri" w:cs="Calibri"/>
          <w:lang w:val="en-GB"/>
        </w:rPr>
        <w:t>’, ‘</w:t>
      </w:r>
      <w:r w:rsidR="00C9121C" w:rsidRPr="00DD65C2">
        <w:rPr>
          <w:rFonts w:ascii="Calibri" w:hAnsi="Calibri" w:cs="Calibri"/>
          <w:lang w:val="en-GB"/>
        </w:rPr>
        <w:t>F</w:t>
      </w:r>
      <w:r w:rsidR="00347CA0" w:rsidRPr="00DD65C2">
        <w:rPr>
          <w:rFonts w:ascii="Calibri" w:hAnsi="Calibri" w:cs="Calibri"/>
          <w:lang w:val="en-GB"/>
        </w:rPr>
        <w:t>icken</w:t>
      </w:r>
      <w:r w:rsidR="004916E6" w:rsidRPr="00DD65C2">
        <w:rPr>
          <w:rFonts w:ascii="Calibri" w:hAnsi="Calibri" w:cs="Calibri"/>
          <w:lang w:val="en-GB"/>
        </w:rPr>
        <w:t xml:space="preserve">’ (which </w:t>
      </w:r>
      <w:r w:rsidR="00477D7C" w:rsidRPr="00DD65C2">
        <w:rPr>
          <w:rFonts w:ascii="Calibri" w:hAnsi="Calibri" w:cs="Calibri"/>
          <w:lang w:val="en-GB"/>
        </w:rPr>
        <w:t>means</w:t>
      </w:r>
      <w:r w:rsidR="004916E6" w:rsidRPr="00DD65C2">
        <w:rPr>
          <w:rFonts w:ascii="Calibri" w:hAnsi="Calibri" w:cs="Calibri"/>
          <w:lang w:val="en-GB"/>
        </w:rPr>
        <w:t xml:space="preserve"> ‘</w:t>
      </w:r>
      <w:r w:rsidR="00477D7C" w:rsidRPr="00DD65C2">
        <w:rPr>
          <w:rFonts w:ascii="Calibri" w:hAnsi="Calibri" w:cs="Calibri"/>
          <w:lang w:val="en-GB"/>
        </w:rPr>
        <w:t xml:space="preserve">to </w:t>
      </w:r>
      <w:r w:rsidR="004916E6" w:rsidRPr="00DD65C2">
        <w:rPr>
          <w:rFonts w:ascii="Calibri" w:hAnsi="Calibri" w:cs="Calibri"/>
          <w:lang w:val="en-GB"/>
        </w:rPr>
        <w:t>fuck’ in German), ‘</w:t>
      </w:r>
      <w:r w:rsidR="00C9121C" w:rsidRPr="00DD65C2">
        <w:rPr>
          <w:rFonts w:ascii="Calibri" w:hAnsi="Calibri" w:cs="Calibri"/>
          <w:lang w:val="en-GB"/>
        </w:rPr>
        <w:t>F</w:t>
      </w:r>
      <w:r w:rsidR="00347CA0" w:rsidRPr="00DD65C2">
        <w:rPr>
          <w:rFonts w:ascii="Calibri" w:hAnsi="Calibri" w:cs="Calibri"/>
          <w:lang w:val="en-GB"/>
        </w:rPr>
        <w:t xml:space="preserve">uck </w:t>
      </w:r>
      <w:r w:rsidR="00C9121C" w:rsidRPr="00DD65C2">
        <w:rPr>
          <w:rFonts w:ascii="Calibri" w:hAnsi="Calibri" w:cs="Calibri"/>
          <w:lang w:val="en-GB"/>
        </w:rPr>
        <w:t>C</w:t>
      </w:r>
      <w:r w:rsidR="00347CA0" w:rsidRPr="00DD65C2">
        <w:rPr>
          <w:rFonts w:ascii="Calibri" w:hAnsi="Calibri" w:cs="Calibri"/>
          <w:lang w:val="en-GB"/>
        </w:rPr>
        <w:t>ancer</w:t>
      </w:r>
      <w:r w:rsidR="004916E6" w:rsidRPr="00DD65C2">
        <w:rPr>
          <w:rFonts w:ascii="Calibri" w:hAnsi="Calibri" w:cs="Calibri"/>
          <w:lang w:val="en-GB"/>
        </w:rPr>
        <w:t>’, ‘</w:t>
      </w:r>
      <w:r w:rsidR="00C9121C" w:rsidRPr="00DD65C2">
        <w:rPr>
          <w:rFonts w:ascii="Calibri" w:hAnsi="Calibri" w:cs="Calibri"/>
          <w:lang w:val="en-GB"/>
        </w:rPr>
        <w:t>S</w:t>
      </w:r>
      <w:r w:rsidR="00347CA0" w:rsidRPr="00DD65C2">
        <w:rPr>
          <w:rFonts w:ascii="Calibri" w:hAnsi="Calibri" w:cs="Calibri"/>
          <w:lang w:val="en-GB"/>
        </w:rPr>
        <w:t xml:space="preserve">crew </w:t>
      </w:r>
      <w:r w:rsidR="00C9121C" w:rsidRPr="00DD65C2">
        <w:rPr>
          <w:rFonts w:ascii="Calibri" w:hAnsi="Calibri" w:cs="Calibri"/>
          <w:lang w:val="en-GB"/>
        </w:rPr>
        <w:t>Y</w:t>
      </w:r>
      <w:r w:rsidR="00347CA0" w:rsidRPr="00DD65C2">
        <w:rPr>
          <w:rFonts w:ascii="Calibri" w:hAnsi="Calibri" w:cs="Calibri"/>
          <w:lang w:val="en-GB"/>
        </w:rPr>
        <w:t>ou</w:t>
      </w:r>
      <w:r w:rsidR="004916E6" w:rsidRPr="00DD65C2">
        <w:rPr>
          <w:rFonts w:ascii="Calibri" w:hAnsi="Calibri" w:cs="Calibri"/>
          <w:lang w:val="en-GB"/>
        </w:rPr>
        <w:t xml:space="preserve">’ (for goods other than sex products), </w:t>
      </w:r>
      <w:r w:rsidR="00026FFB" w:rsidRPr="00DD65C2">
        <w:rPr>
          <w:rFonts w:ascii="Calibri" w:hAnsi="Calibri" w:cs="Calibri"/>
          <w:lang w:val="en-GB"/>
        </w:rPr>
        <w:t>‘</w:t>
      </w:r>
      <w:r w:rsidR="00C9121C" w:rsidRPr="00DD65C2">
        <w:rPr>
          <w:rFonts w:ascii="Calibri" w:hAnsi="Calibri" w:cs="Calibri"/>
          <w:lang w:val="en-GB"/>
        </w:rPr>
        <w:t>C</w:t>
      </w:r>
      <w:r w:rsidR="00347CA0" w:rsidRPr="00DD65C2">
        <w:rPr>
          <w:rFonts w:ascii="Calibri" w:hAnsi="Calibri" w:cs="Calibri"/>
          <w:lang w:val="en-GB"/>
        </w:rPr>
        <w:t>urve</w:t>
      </w:r>
      <w:r w:rsidR="00026FFB" w:rsidRPr="00DD65C2">
        <w:rPr>
          <w:rFonts w:ascii="Calibri" w:hAnsi="Calibri" w:cs="Calibri"/>
          <w:lang w:val="en-GB"/>
        </w:rPr>
        <w:t>’ and ‘</w:t>
      </w:r>
      <w:r w:rsidR="00C9121C" w:rsidRPr="00DD65C2">
        <w:rPr>
          <w:rFonts w:ascii="Calibri" w:hAnsi="Calibri" w:cs="Calibri"/>
          <w:lang w:val="en-GB"/>
        </w:rPr>
        <w:t>C</w:t>
      </w:r>
      <w:r w:rsidR="00347CA0" w:rsidRPr="00DD65C2">
        <w:rPr>
          <w:rFonts w:ascii="Calibri" w:hAnsi="Calibri" w:cs="Calibri"/>
          <w:lang w:val="en-GB"/>
        </w:rPr>
        <w:t>urve</w:t>
      </w:r>
      <w:r w:rsidR="00026FFB" w:rsidRPr="00DD65C2">
        <w:rPr>
          <w:rFonts w:ascii="Calibri" w:hAnsi="Calibri" w:cs="Calibri"/>
          <w:lang w:val="en-GB"/>
        </w:rPr>
        <w:t xml:space="preserve"> 300’ (where ‘</w:t>
      </w:r>
      <w:r w:rsidR="00F27A73" w:rsidRPr="00DD65C2">
        <w:rPr>
          <w:rFonts w:ascii="Calibri" w:hAnsi="Calibri" w:cs="Calibri"/>
          <w:lang w:val="en-GB" w:eastAsia="en-US"/>
        </w:rPr>
        <w:t>curvă’</w:t>
      </w:r>
      <w:r w:rsidR="00F27A73" w:rsidRPr="00DD65C2">
        <w:rPr>
          <w:rFonts w:ascii="Calibri" w:hAnsi="Calibri" w:cs="Calibri"/>
          <w:lang w:val="en-GB"/>
        </w:rPr>
        <w:t xml:space="preserve"> </w:t>
      </w:r>
      <w:r w:rsidR="00026FFB" w:rsidRPr="00DD65C2">
        <w:rPr>
          <w:rFonts w:ascii="Calibri" w:hAnsi="Calibri" w:cs="Calibri"/>
          <w:lang w:val="en-GB"/>
        </w:rPr>
        <w:t xml:space="preserve">stands for ‘whores’ in Romanian), </w:t>
      </w:r>
      <w:r w:rsidR="004943D2" w:rsidRPr="00DD65C2">
        <w:rPr>
          <w:rFonts w:ascii="Calibri" w:hAnsi="Calibri" w:cs="Calibri"/>
          <w:lang w:val="en-GB"/>
        </w:rPr>
        <w:t>‘</w:t>
      </w:r>
      <w:r w:rsidR="008A4C3F" w:rsidRPr="00DD65C2">
        <w:rPr>
          <w:rFonts w:ascii="Calibri" w:hAnsi="Calibri" w:cs="Calibri"/>
          <w:lang w:val="en-GB"/>
        </w:rPr>
        <w:t>M</w:t>
      </w:r>
      <w:r w:rsidR="00347CA0" w:rsidRPr="00DD65C2">
        <w:rPr>
          <w:rFonts w:ascii="Calibri" w:hAnsi="Calibri" w:cs="Calibri"/>
          <w:lang w:val="en-GB"/>
        </w:rPr>
        <w:t xml:space="preserve">echanical </w:t>
      </w:r>
      <w:r w:rsidR="008A4C3F" w:rsidRPr="00DD65C2">
        <w:rPr>
          <w:rFonts w:ascii="Calibri" w:hAnsi="Calibri" w:cs="Calibri"/>
          <w:lang w:val="en-GB"/>
        </w:rPr>
        <w:t>A</w:t>
      </w:r>
      <w:r w:rsidR="00347CA0" w:rsidRPr="00DD65C2">
        <w:rPr>
          <w:rFonts w:ascii="Calibri" w:hAnsi="Calibri" w:cs="Calibri"/>
          <w:lang w:val="en-GB"/>
        </w:rPr>
        <w:t>partheid’</w:t>
      </w:r>
      <w:r w:rsidR="004943D2" w:rsidRPr="00DD65C2">
        <w:rPr>
          <w:rFonts w:ascii="Calibri" w:hAnsi="Calibri" w:cs="Calibri"/>
          <w:lang w:val="en-GB"/>
        </w:rPr>
        <w:t>, ‘</w:t>
      </w:r>
      <w:r w:rsidR="00C9121C" w:rsidRPr="00DD65C2">
        <w:rPr>
          <w:rFonts w:ascii="Calibri" w:hAnsi="Calibri" w:cs="Calibri"/>
          <w:lang w:val="en-GB"/>
        </w:rPr>
        <w:t>B</w:t>
      </w:r>
      <w:r w:rsidR="00347CA0" w:rsidRPr="00DD65C2">
        <w:rPr>
          <w:rFonts w:ascii="Calibri" w:hAnsi="Calibri" w:cs="Calibri"/>
          <w:lang w:val="en-GB"/>
        </w:rPr>
        <w:t xml:space="preserve">in </w:t>
      </w:r>
      <w:r w:rsidR="00C9121C" w:rsidRPr="00DD65C2">
        <w:rPr>
          <w:rFonts w:ascii="Calibri" w:hAnsi="Calibri" w:cs="Calibri"/>
          <w:lang w:val="en-GB"/>
        </w:rPr>
        <w:t>L</w:t>
      </w:r>
      <w:r w:rsidR="00347CA0" w:rsidRPr="00DD65C2">
        <w:rPr>
          <w:rFonts w:ascii="Calibri" w:hAnsi="Calibri" w:cs="Calibri"/>
          <w:lang w:val="en-GB"/>
        </w:rPr>
        <w:t>adin’</w:t>
      </w:r>
      <w:r w:rsidR="004943D2" w:rsidRPr="00DD65C2">
        <w:rPr>
          <w:rFonts w:ascii="Calibri" w:hAnsi="Calibri" w:cs="Calibri"/>
          <w:lang w:val="en-GB"/>
        </w:rPr>
        <w:t xml:space="preserve">, </w:t>
      </w:r>
      <w:r w:rsidR="004916E6" w:rsidRPr="00DD65C2">
        <w:rPr>
          <w:rFonts w:ascii="Calibri" w:hAnsi="Calibri" w:cs="Calibri"/>
          <w:lang w:val="en-GB"/>
        </w:rPr>
        <w:t>‘</w:t>
      </w:r>
      <w:r w:rsidR="00C9121C" w:rsidRPr="00DD65C2">
        <w:rPr>
          <w:rFonts w:ascii="Calibri" w:hAnsi="Calibri" w:cs="Calibri"/>
          <w:lang w:val="en-GB"/>
        </w:rPr>
        <w:t>J</w:t>
      </w:r>
      <w:r w:rsidR="00347CA0" w:rsidRPr="00DD65C2">
        <w:rPr>
          <w:rFonts w:ascii="Calibri" w:hAnsi="Calibri" w:cs="Calibri"/>
          <w:lang w:val="en-GB"/>
        </w:rPr>
        <w:t>esus</w:t>
      </w:r>
      <w:r w:rsidR="004916E6" w:rsidRPr="00DD65C2">
        <w:rPr>
          <w:rFonts w:ascii="Calibri" w:hAnsi="Calibri" w:cs="Calibri"/>
          <w:lang w:val="en-GB"/>
        </w:rPr>
        <w:t>’, ‘</w:t>
      </w:r>
      <w:r w:rsidR="00C9121C" w:rsidRPr="00DD65C2">
        <w:rPr>
          <w:rFonts w:ascii="Calibri" w:hAnsi="Calibri" w:cs="Calibri"/>
          <w:lang w:val="en-GB"/>
        </w:rPr>
        <w:t>T</w:t>
      </w:r>
      <w:r w:rsidR="00347CA0" w:rsidRPr="00DD65C2">
        <w:rPr>
          <w:rFonts w:ascii="Calibri" w:hAnsi="Calibri" w:cs="Calibri"/>
          <w:lang w:val="en-GB"/>
        </w:rPr>
        <w:t xml:space="preserve">iny </w:t>
      </w:r>
      <w:r w:rsidR="00C9121C" w:rsidRPr="00DD65C2">
        <w:rPr>
          <w:rFonts w:ascii="Calibri" w:hAnsi="Calibri" w:cs="Calibri"/>
          <w:lang w:val="en-GB"/>
        </w:rPr>
        <w:t>P</w:t>
      </w:r>
      <w:r w:rsidR="00347CA0" w:rsidRPr="00DD65C2">
        <w:rPr>
          <w:rFonts w:ascii="Calibri" w:hAnsi="Calibri" w:cs="Calibri"/>
          <w:lang w:val="en-GB"/>
        </w:rPr>
        <w:t>enis</w:t>
      </w:r>
      <w:r w:rsidR="004916E6" w:rsidRPr="00DD65C2">
        <w:rPr>
          <w:rFonts w:ascii="Calibri" w:hAnsi="Calibri" w:cs="Calibri"/>
          <w:lang w:val="en-GB"/>
        </w:rPr>
        <w:t>’ or ‘</w:t>
      </w:r>
      <w:r w:rsidR="00C9121C" w:rsidRPr="00DD65C2">
        <w:rPr>
          <w:rFonts w:ascii="Calibri" w:hAnsi="Calibri" w:cs="Calibri"/>
          <w:lang w:val="en-GB"/>
        </w:rPr>
        <w:t>F</w:t>
      </w:r>
      <w:r w:rsidR="00347CA0" w:rsidRPr="00DD65C2">
        <w:rPr>
          <w:rFonts w:ascii="Calibri" w:hAnsi="Calibri" w:cs="Calibri"/>
          <w:lang w:val="en-GB"/>
        </w:rPr>
        <w:t>ook</w:t>
      </w:r>
      <w:r w:rsidR="004916E6" w:rsidRPr="00DD65C2">
        <w:rPr>
          <w:rFonts w:ascii="Calibri" w:hAnsi="Calibri" w:cs="Calibri"/>
          <w:lang w:val="en-GB"/>
        </w:rPr>
        <w:t>’ have been denied access to European registers</w:t>
      </w:r>
      <w:r w:rsidR="00CA7BD5" w:rsidRPr="00DD65C2">
        <w:rPr>
          <w:rFonts w:ascii="Calibri" w:hAnsi="Calibri" w:cs="Calibri"/>
          <w:lang w:val="en-GB"/>
        </w:rPr>
        <w:t>.</w:t>
      </w:r>
      <w:r w:rsidR="00651640" w:rsidRPr="00DD65C2">
        <w:rPr>
          <w:rStyle w:val="FootnoteReference"/>
          <w:rFonts w:ascii="Calibri" w:hAnsi="Calibri" w:cs="Calibri"/>
        </w:rPr>
        <w:footnoteReference w:id="4"/>
      </w:r>
      <w:r w:rsidR="00CA7BD5" w:rsidRPr="00DD65C2">
        <w:rPr>
          <w:rFonts w:ascii="Calibri" w:hAnsi="Calibri" w:cs="Calibri"/>
          <w:lang w:val="en-GB"/>
        </w:rPr>
        <w:t xml:space="preserve"> Meanwhile,</w:t>
      </w:r>
      <w:r w:rsidR="004916E6" w:rsidRPr="00DD65C2">
        <w:rPr>
          <w:rFonts w:ascii="Calibri" w:hAnsi="Calibri" w:cs="Calibri"/>
          <w:lang w:val="en-GB"/>
        </w:rPr>
        <w:t xml:space="preserve"> signs like</w:t>
      </w:r>
      <w:r w:rsidR="00347CA0" w:rsidRPr="00DD65C2">
        <w:rPr>
          <w:rFonts w:ascii="Calibri" w:hAnsi="Calibri" w:cs="Calibri"/>
          <w:lang w:val="en-GB"/>
        </w:rPr>
        <w:t xml:space="preserve"> </w:t>
      </w:r>
      <w:r w:rsidR="008A4C3F" w:rsidRPr="00DD65C2">
        <w:rPr>
          <w:rFonts w:ascii="Calibri" w:hAnsi="Calibri" w:cs="Calibri"/>
          <w:lang w:val="en-GB"/>
        </w:rPr>
        <w:t xml:space="preserve">‘Fooc’, </w:t>
      </w:r>
      <w:r w:rsidR="006365EF">
        <w:rPr>
          <w:rFonts w:ascii="Calibri" w:hAnsi="Calibri" w:cs="Calibri"/>
          <w:lang w:val="en-GB"/>
        </w:rPr>
        <w:t xml:space="preserve">‘FCUK’, </w:t>
      </w:r>
      <w:r w:rsidR="00347CA0" w:rsidRPr="00DD65C2">
        <w:rPr>
          <w:rFonts w:ascii="Calibri" w:hAnsi="Calibri" w:cs="Calibri"/>
          <w:lang w:val="en-GB"/>
        </w:rPr>
        <w:t>‘</w:t>
      </w:r>
      <w:r w:rsidR="00C9121C" w:rsidRPr="00DD65C2">
        <w:rPr>
          <w:rFonts w:ascii="Calibri" w:hAnsi="Calibri" w:cs="Calibri"/>
          <w:lang w:val="en-GB"/>
        </w:rPr>
        <w:t>F</w:t>
      </w:r>
      <w:r w:rsidR="00347CA0" w:rsidRPr="00DD65C2">
        <w:rPr>
          <w:rFonts w:ascii="Calibri" w:hAnsi="Calibri" w:cs="Calibri"/>
          <w:lang w:val="en-GB"/>
        </w:rPr>
        <w:t xml:space="preserve">ack </w:t>
      </w:r>
      <w:r w:rsidR="00C9121C" w:rsidRPr="00DD65C2">
        <w:rPr>
          <w:rFonts w:ascii="Calibri" w:hAnsi="Calibri" w:cs="Calibri"/>
          <w:lang w:val="en-GB"/>
        </w:rPr>
        <w:t>J</w:t>
      </w:r>
      <w:r w:rsidR="00347CA0" w:rsidRPr="00DD65C2">
        <w:rPr>
          <w:rFonts w:ascii="Calibri" w:hAnsi="Calibri" w:cs="Calibri"/>
          <w:lang w:val="en-GB"/>
        </w:rPr>
        <w:t>u Göhte’, ‘</w:t>
      </w:r>
      <w:r w:rsidR="00C9121C" w:rsidRPr="00DD65C2">
        <w:rPr>
          <w:rFonts w:ascii="Calibri" w:hAnsi="Calibri" w:cs="Calibri"/>
          <w:lang w:val="en-GB"/>
        </w:rPr>
        <w:t>F</w:t>
      </w:r>
      <w:r w:rsidR="00347CA0" w:rsidRPr="00DD65C2">
        <w:rPr>
          <w:rFonts w:ascii="Calibri" w:hAnsi="Calibri" w:cs="Calibri"/>
          <w:lang w:val="en-GB"/>
        </w:rPr>
        <w:t xml:space="preserve">ucking </w:t>
      </w:r>
      <w:r w:rsidR="00C9121C" w:rsidRPr="00DD65C2">
        <w:rPr>
          <w:rFonts w:ascii="Calibri" w:hAnsi="Calibri" w:cs="Calibri"/>
          <w:lang w:val="en-GB"/>
        </w:rPr>
        <w:t>H</w:t>
      </w:r>
      <w:r w:rsidR="00347CA0" w:rsidRPr="00DD65C2">
        <w:rPr>
          <w:rFonts w:ascii="Calibri" w:hAnsi="Calibri" w:cs="Calibri"/>
          <w:lang w:val="en-GB"/>
        </w:rPr>
        <w:t>ell’</w:t>
      </w:r>
      <w:r w:rsidR="00C9121C" w:rsidRPr="00DD65C2">
        <w:rPr>
          <w:rFonts w:ascii="Calibri" w:hAnsi="Calibri" w:cs="Calibri"/>
          <w:lang w:val="en-GB"/>
        </w:rPr>
        <w:t>,</w:t>
      </w:r>
      <w:r w:rsidR="006365EF">
        <w:rPr>
          <w:rFonts w:ascii="Calibri" w:hAnsi="Calibri" w:cs="Calibri"/>
          <w:lang w:val="en-GB"/>
        </w:rPr>
        <w:t xml:space="preserve"> </w:t>
      </w:r>
      <w:r w:rsidR="00347CA0" w:rsidRPr="00DD65C2">
        <w:rPr>
          <w:rFonts w:ascii="Calibri" w:hAnsi="Calibri" w:cs="Calibri"/>
          <w:lang w:val="en-GB"/>
        </w:rPr>
        <w:t>‘</w:t>
      </w:r>
      <w:r w:rsidR="00C9121C" w:rsidRPr="00DD65C2">
        <w:rPr>
          <w:rFonts w:ascii="Calibri" w:hAnsi="Calibri" w:cs="Calibri"/>
          <w:lang w:val="en-GB"/>
        </w:rPr>
        <w:t>D</w:t>
      </w:r>
      <w:r w:rsidR="00347CA0" w:rsidRPr="00DD65C2">
        <w:rPr>
          <w:rFonts w:ascii="Calibri" w:hAnsi="Calibri" w:cs="Calibri"/>
          <w:lang w:val="en-GB"/>
        </w:rPr>
        <w:t xml:space="preserve">ick &amp; </w:t>
      </w:r>
      <w:r w:rsidR="00C9121C" w:rsidRPr="00DD65C2">
        <w:rPr>
          <w:rFonts w:ascii="Calibri" w:hAnsi="Calibri" w:cs="Calibri"/>
          <w:lang w:val="en-GB"/>
        </w:rPr>
        <w:t>F</w:t>
      </w:r>
      <w:r w:rsidR="00347CA0" w:rsidRPr="00DD65C2">
        <w:rPr>
          <w:rFonts w:ascii="Calibri" w:hAnsi="Calibri" w:cs="Calibri"/>
          <w:lang w:val="en-GB"/>
        </w:rPr>
        <w:t>anny’, ‘</w:t>
      </w:r>
      <w:r w:rsidR="00C9121C" w:rsidRPr="00DD65C2">
        <w:rPr>
          <w:rFonts w:ascii="Calibri" w:hAnsi="Calibri" w:cs="Calibri"/>
          <w:lang w:val="en-GB"/>
        </w:rPr>
        <w:t>J</w:t>
      </w:r>
      <w:r w:rsidR="00347CA0" w:rsidRPr="00DD65C2">
        <w:rPr>
          <w:rFonts w:ascii="Calibri" w:hAnsi="Calibri" w:cs="Calibri"/>
          <w:lang w:val="en-GB"/>
        </w:rPr>
        <w:t xml:space="preserve">ewish </w:t>
      </w:r>
      <w:r w:rsidR="00C9121C" w:rsidRPr="00DD65C2">
        <w:rPr>
          <w:rFonts w:ascii="Calibri" w:hAnsi="Calibri" w:cs="Calibri"/>
          <w:lang w:val="en-GB"/>
        </w:rPr>
        <w:t>M</w:t>
      </w:r>
      <w:r w:rsidR="00347CA0" w:rsidRPr="00DD65C2">
        <w:rPr>
          <w:rFonts w:ascii="Calibri" w:hAnsi="Calibri" w:cs="Calibri"/>
          <w:lang w:val="en-GB"/>
        </w:rPr>
        <w:t>onkeys’, ‘</w:t>
      </w:r>
      <w:r w:rsidR="00C9121C" w:rsidRPr="00DD65C2">
        <w:rPr>
          <w:rFonts w:ascii="Calibri" w:hAnsi="Calibri" w:cs="Calibri"/>
          <w:lang w:val="en-GB"/>
        </w:rPr>
        <w:t>K</w:t>
      </w:r>
      <w:r w:rsidR="00347CA0" w:rsidRPr="00DD65C2">
        <w:rPr>
          <w:rFonts w:ascii="Calibri" w:hAnsi="Calibri" w:cs="Calibri"/>
          <w:lang w:val="en-GB"/>
        </w:rPr>
        <w:t>uro’</w:t>
      </w:r>
      <w:r w:rsidR="004916E6" w:rsidRPr="00DD65C2">
        <w:rPr>
          <w:rFonts w:ascii="Calibri" w:hAnsi="Calibri" w:cs="Calibri"/>
          <w:lang w:val="en-GB"/>
        </w:rPr>
        <w:t xml:space="preserve"> (where ‘kúró’ translates </w:t>
      </w:r>
      <w:r w:rsidR="00F9527A" w:rsidRPr="00DD65C2">
        <w:rPr>
          <w:rFonts w:ascii="Calibri" w:hAnsi="Calibri" w:cs="Calibri"/>
          <w:lang w:val="en-GB"/>
        </w:rPr>
        <w:t>into</w:t>
      </w:r>
      <w:r w:rsidR="004916E6" w:rsidRPr="00DD65C2">
        <w:rPr>
          <w:rFonts w:ascii="Calibri" w:hAnsi="Calibri" w:cs="Calibri"/>
          <w:lang w:val="en-GB"/>
        </w:rPr>
        <w:t xml:space="preserve"> ‘fucker’ in Hungarian)</w:t>
      </w:r>
      <w:r w:rsidR="00347CA0" w:rsidRPr="00DD65C2">
        <w:rPr>
          <w:rFonts w:ascii="Calibri" w:hAnsi="Calibri" w:cs="Calibri"/>
          <w:lang w:val="en-GB"/>
        </w:rPr>
        <w:t xml:space="preserve"> </w:t>
      </w:r>
      <w:r w:rsidR="004916E6" w:rsidRPr="00DD65C2">
        <w:rPr>
          <w:rFonts w:ascii="Calibri" w:hAnsi="Calibri" w:cs="Calibri"/>
          <w:lang w:val="en-GB"/>
        </w:rPr>
        <w:t>or ‘A</w:t>
      </w:r>
      <w:r w:rsidR="00C9121C" w:rsidRPr="00DD65C2">
        <w:rPr>
          <w:rFonts w:ascii="Calibri" w:hAnsi="Calibri" w:cs="Calibri"/>
          <w:lang w:val="en-GB"/>
        </w:rPr>
        <w:t>ircurve</w:t>
      </w:r>
      <w:r w:rsidR="004916E6" w:rsidRPr="00DD65C2">
        <w:rPr>
          <w:rFonts w:ascii="Calibri" w:hAnsi="Calibri" w:cs="Calibri"/>
          <w:lang w:val="en-GB"/>
        </w:rPr>
        <w:t>’ (compare with ‘C</w:t>
      </w:r>
      <w:r w:rsidR="00C9121C" w:rsidRPr="00DD65C2">
        <w:rPr>
          <w:rFonts w:ascii="Calibri" w:hAnsi="Calibri" w:cs="Calibri"/>
          <w:lang w:val="en-GB"/>
        </w:rPr>
        <w:t>urve</w:t>
      </w:r>
      <w:r w:rsidR="004916E6" w:rsidRPr="00DD65C2">
        <w:rPr>
          <w:rFonts w:ascii="Calibri" w:hAnsi="Calibri" w:cs="Calibri"/>
          <w:lang w:val="en-GB"/>
        </w:rPr>
        <w:t>’ and ‘C</w:t>
      </w:r>
      <w:r w:rsidR="00C9121C" w:rsidRPr="00DD65C2">
        <w:rPr>
          <w:rFonts w:ascii="Calibri" w:hAnsi="Calibri" w:cs="Calibri"/>
          <w:lang w:val="en-GB"/>
        </w:rPr>
        <w:t>urve</w:t>
      </w:r>
      <w:r w:rsidR="004916E6" w:rsidRPr="00DD65C2">
        <w:rPr>
          <w:rFonts w:ascii="Calibri" w:hAnsi="Calibri" w:cs="Calibri"/>
          <w:lang w:val="en-GB"/>
        </w:rPr>
        <w:t xml:space="preserve"> 300’ above, which were denied registration </w:t>
      </w:r>
      <w:r w:rsidR="001935E8" w:rsidRPr="00DD65C2">
        <w:rPr>
          <w:rFonts w:ascii="Calibri" w:hAnsi="Calibri" w:cs="Calibri"/>
          <w:lang w:val="en-GB"/>
        </w:rPr>
        <w:t>on grounds that</w:t>
      </w:r>
      <w:r w:rsidR="004916E6" w:rsidRPr="00DD65C2">
        <w:rPr>
          <w:rFonts w:ascii="Calibri" w:hAnsi="Calibri" w:cs="Calibri"/>
          <w:lang w:val="en-GB"/>
        </w:rPr>
        <w:t xml:space="preserve"> </w:t>
      </w:r>
      <w:r w:rsidR="00F27A73" w:rsidRPr="00DD65C2">
        <w:rPr>
          <w:rFonts w:ascii="Calibri" w:hAnsi="Calibri" w:cs="Calibri"/>
          <w:lang w:val="en-GB"/>
        </w:rPr>
        <w:t>‘</w:t>
      </w:r>
      <w:r w:rsidR="00F27A73" w:rsidRPr="00DD65C2">
        <w:rPr>
          <w:rFonts w:ascii="Calibri" w:hAnsi="Calibri" w:cs="Calibri"/>
          <w:lang w:val="en-GB" w:eastAsia="en-US"/>
        </w:rPr>
        <w:t>curvă’</w:t>
      </w:r>
      <w:r w:rsidR="00F27A73" w:rsidRPr="00DD65C2">
        <w:rPr>
          <w:rFonts w:ascii="Calibri" w:hAnsi="Calibri" w:cs="Calibri"/>
          <w:lang w:val="en-GB"/>
        </w:rPr>
        <w:t xml:space="preserve"> </w:t>
      </w:r>
      <w:r w:rsidR="004916E6" w:rsidRPr="00DD65C2">
        <w:rPr>
          <w:rFonts w:ascii="Calibri" w:hAnsi="Calibri" w:cs="Calibri"/>
          <w:lang w:val="en-GB"/>
        </w:rPr>
        <w:t>mean</w:t>
      </w:r>
      <w:r w:rsidR="001935E8" w:rsidRPr="00DD65C2">
        <w:rPr>
          <w:rFonts w:ascii="Calibri" w:hAnsi="Calibri" w:cs="Calibri"/>
          <w:lang w:val="en-GB"/>
        </w:rPr>
        <w:t>s</w:t>
      </w:r>
      <w:r w:rsidR="004916E6" w:rsidRPr="00DD65C2">
        <w:rPr>
          <w:rFonts w:ascii="Calibri" w:hAnsi="Calibri" w:cs="Calibri"/>
          <w:lang w:val="en-GB"/>
        </w:rPr>
        <w:t xml:space="preserve"> ‘whores’ in Romanian) have been registered as trade marks in Europe.</w:t>
      </w:r>
      <w:r w:rsidR="00F602A7" w:rsidRPr="00DD65C2">
        <w:rPr>
          <w:rStyle w:val="FootnoteReference"/>
          <w:rFonts w:ascii="Calibri" w:hAnsi="Calibri" w:cs="Calibri"/>
        </w:rPr>
        <w:footnoteReference w:id="5"/>
      </w:r>
      <w:r w:rsidR="00DD614D" w:rsidRPr="00DD65C2">
        <w:rPr>
          <w:rFonts w:ascii="Calibri" w:hAnsi="Calibri" w:cs="Calibri"/>
          <w:lang w:val="en-GB"/>
        </w:rPr>
        <w:t xml:space="preserve"> </w:t>
      </w:r>
    </w:p>
    <w:p w14:paraId="036C5D14" w14:textId="56DABFD3" w:rsidR="004A4104" w:rsidRPr="00DD65C2" w:rsidRDefault="004A4104" w:rsidP="00D31E44">
      <w:pPr>
        <w:jc w:val="both"/>
        <w:rPr>
          <w:rFonts w:ascii="Calibri" w:hAnsi="Calibri" w:cs="Calibri"/>
          <w:lang w:val="en-GB"/>
        </w:rPr>
      </w:pPr>
    </w:p>
    <w:p w14:paraId="41F1E446" w14:textId="361511F5" w:rsidR="005B051B" w:rsidRPr="00DD65C2" w:rsidRDefault="00DD614D" w:rsidP="005B051B">
      <w:pPr>
        <w:pStyle w:val="FootnoteText"/>
        <w:jc w:val="both"/>
        <w:rPr>
          <w:rFonts w:ascii="Calibri" w:hAnsi="Calibri" w:cs="Calibri"/>
          <w:sz w:val="24"/>
          <w:szCs w:val="24"/>
        </w:rPr>
      </w:pPr>
      <w:r w:rsidRPr="00DD65C2">
        <w:rPr>
          <w:rFonts w:ascii="Calibri" w:hAnsi="Calibri" w:cs="Calibri"/>
          <w:sz w:val="24"/>
          <w:szCs w:val="24"/>
        </w:rPr>
        <w:t xml:space="preserve">The degree of </w:t>
      </w:r>
      <w:r w:rsidR="009E4B12" w:rsidRPr="00DD65C2">
        <w:rPr>
          <w:rFonts w:ascii="Calibri" w:hAnsi="Calibri" w:cs="Calibri"/>
          <w:sz w:val="24"/>
          <w:szCs w:val="24"/>
        </w:rPr>
        <w:t>inconsistency</w:t>
      </w:r>
      <w:r w:rsidRPr="00DD65C2">
        <w:rPr>
          <w:rFonts w:ascii="Calibri" w:hAnsi="Calibri" w:cs="Calibri"/>
          <w:sz w:val="24"/>
          <w:szCs w:val="24"/>
        </w:rPr>
        <w:t xml:space="preserve"> in this area is such that we even find instances where different trade mark offices have reached contrasting outcomes</w:t>
      </w:r>
      <w:r w:rsidR="00BF06EB" w:rsidRPr="00DD65C2">
        <w:rPr>
          <w:rFonts w:ascii="Calibri" w:hAnsi="Calibri" w:cs="Calibri"/>
          <w:sz w:val="24"/>
          <w:szCs w:val="24"/>
        </w:rPr>
        <w:t xml:space="preserve"> in relation to the same </w:t>
      </w:r>
      <w:r w:rsidR="00BF06EB" w:rsidRPr="00DD65C2">
        <w:rPr>
          <w:rFonts w:ascii="Calibri" w:hAnsi="Calibri" w:cs="Calibri"/>
          <w:sz w:val="24"/>
          <w:szCs w:val="24"/>
        </w:rPr>
        <w:lastRenderedPageBreak/>
        <w:t>sign</w:t>
      </w:r>
      <w:r w:rsidRPr="00DD65C2">
        <w:rPr>
          <w:rFonts w:ascii="Calibri" w:hAnsi="Calibri" w:cs="Calibri"/>
          <w:sz w:val="24"/>
          <w:szCs w:val="24"/>
        </w:rPr>
        <w:t xml:space="preserve">, denying registration in one jurisdiction </w:t>
      </w:r>
      <w:r w:rsidR="0095048A" w:rsidRPr="00DD65C2">
        <w:rPr>
          <w:rFonts w:ascii="Calibri" w:hAnsi="Calibri" w:cs="Calibri"/>
          <w:sz w:val="24"/>
          <w:szCs w:val="24"/>
        </w:rPr>
        <w:t>while</w:t>
      </w:r>
      <w:r w:rsidRPr="00DD65C2">
        <w:rPr>
          <w:rFonts w:ascii="Calibri" w:hAnsi="Calibri" w:cs="Calibri"/>
          <w:sz w:val="24"/>
          <w:szCs w:val="24"/>
        </w:rPr>
        <w:t xml:space="preserve"> granting it in another. For instance, the sign ‘F</w:t>
      </w:r>
      <w:r w:rsidR="0039757B" w:rsidRPr="00DD65C2">
        <w:rPr>
          <w:rFonts w:ascii="Calibri" w:hAnsi="Calibri" w:cs="Calibri"/>
          <w:sz w:val="24"/>
          <w:szCs w:val="24"/>
        </w:rPr>
        <w:t>ook</w:t>
      </w:r>
      <w:r w:rsidRPr="00DD65C2">
        <w:rPr>
          <w:rFonts w:ascii="Calibri" w:hAnsi="Calibri" w:cs="Calibri"/>
          <w:sz w:val="24"/>
          <w:szCs w:val="24"/>
        </w:rPr>
        <w:t>’ was denied registration as a national mark in the UK</w:t>
      </w:r>
      <w:r w:rsidR="00560041" w:rsidRPr="00DD65C2">
        <w:rPr>
          <w:rFonts w:ascii="Calibri" w:hAnsi="Calibri" w:cs="Calibri"/>
          <w:sz w:val="24"/>
          <w:szCs w:val="24"/>
        </w:rPr>
        <w:t xml:space="preserve"> by virtue of the decision of the Appointed Person</w:t>
      </w:r>
      <w:r w:rsidR="00E74CBB" w:rsidRPr="00DD65C2">
        <w:rPr>
          <w:rFonts w:ascii="Calibri" w:hAnsi="Calibri" w:cs="Calibri"/>
          <w:sz w:val="24"/>
          <w:szCs w:val="24"/>
        </w:rPr>
        <w:t xml:space="preserve"> (AP)</w:t>
      </w:r>
      <w:r w:rsidR="00560041" w:rsidRPr="00DD65C2">
        <w:rPr>
          <w:rFonts w:ascii="Calibri" w:hAnsi="Calibri" w:cs="Calibri"/>
          <w:sz w:val="24"/>
          <w:szCs w:val="24"/>
        </w:rPr>
        <w:t xml:space="preserve"> in </w:t>
      </w:r>
      <w:r w:rsidR="00560041" w:rsidRPr="00DD65C2">
        <w:rPr>
          <w:rFonts w:ascii="Calibri" w:hAnsi="Calibri" w:cs="Calibri"/>
          <w:i/>
          <w:iCs/>
          <w:sz w:val="24"/>
          <w:szCs w:val="24"/>
        </w:rPr>
        <w:t>Scranage’s Trade Mark Application</w:t>
      </w:r>
      <w:r w:rsidRPr="00DD65C2">
        <w:rPr>
          <w:rFonts w:ascii="Calibri" w:hAnsi="Calibri" w:cs="Calibri"/>
          <w:sz w:val="24"/>
          <w:szCs w:val="24"/>
        </w:rPr>
        <w:t>.</w:t>
      </w:r>
      <w:r w:rsidR="00560041" w:rsidRPr="00DD65C2">
        <w:rPr>
          <w:rStyle w:val="FootnoteReference"/>
          <w:rFonts w:ascii="Calibri" w:hAnsi="Calibri" w:cs="Calibri"/>
          <w:sz w:val="24"/>
          <w:szCs w:val="24"/>
        </w:rPr>
        <w:footnoteReference w:id="6"/>
      </w:r>
      <w:r w:rsidRPr="00DD65C2">
        <w:rPr>
          <w:rFonts w:ascii="Calibri" w:hAnsi="Calibri" w:cs="Calibri"/>
          <w:sz w:val="24"/>
          <w:szCs w:val="24"/>
        </w:rPr>
        <w:t xml:space="preserve"> However, </w:t>
      </w:r>
      <w:r w:rsidR="00560041" w:rsidRPr="00DD65C2">
        <w:rPr>
          <w:rFonts w:ascii="Calibri" w:hAnsi="Calibri" w:cs="Calibri"/>
          <w:sz w:val="24"/>
          <w:szCs w:val="24"/>
        </w:rPr>
        <w:t>this sign</w:t>
      </w:r>
      <w:r w:rsidRPr="00DD65C2">
        <w:rPr>
          <w:rFonts w:ascii="Calibri" w:hAnsi="Calibri" w:cs="Calibri"/>
          <w:sz w:val="24"/>
          <w:szCs w:val="24"/>
        </w:rPr>
        <w:t xml:space="preserve"> was subsequently granted registration </w:t>
      </w:r>
      <w:r w:rsidR="00560041" w:rsidRPr="00DD65C2">
        <w:rPr>
          <w:rFonts w:ascii="Calibri" w:hAnsi="Calibri" w:cs="Calibri"/>
          <w:sz w:val="24"/>
          <w:szCs w:val="24"/>
        </w:rPr>
        <w:t xml:space="preserve">to the same applicant </w:t>
      </w:r>
      <w:r w:rsidRPr="00DD65C2">
        <w:rPr>
          <w:rFonts w:ascii="Calibri" w:hAnsi="Calibri" w:cs="Calibri"/>
          <w:sz w:val="24"/>
          <w:szCs w:val="24"/>
        </w:rPr>
        <w:t>as an EU mark by the E</w:t>
      </w:r>
      <w:r w:rsidR="002F6853" w:rsidRPr="00DD65C2">
        <w:rPr>
          <w:rFonts w:ascii="Calibri" w:hAnsi="Calibri" w:cs="Calibri"/>
          <w:sz w:val="24"/>
          <w:szCs w:val="24"/>
        </w:rPr>
        <w:t>uropean Union Intellectual Property Office (EUIPO)</w:t>
      </w:r>
      <w:r w:rsidRPr="00DD65C2">
        <w:rPr>
          <w:rFonts w:ascii="Calibri" w:hAnsi="Calibri" w:cs="Calibri"/>
          <w:sz w:val="24"/>
          <w:szCs w:val="24"/>
        </w:rPr>
        <w:t xml:space="preserve">, thus </w:t>
      </w:r>
      <w:r w:rsidR="007B6551" w:rsidRPr="00DD65C2">
        <w:rPr>
          <w:rFonts w:ascii="Calibri" w:hAnsi="Calibri" w:cs="Calibri"/>
          <w:sz w:val="24"/>
          <w:szCs w:val="24"/>
        </w:rPr>
        <w:t>covering the territory of the</w:t>
      </w:r>
      <w:r w:rsidR="00A90F48" w:rsidRPr="00DD65C2">
        <w:rPr>
          <w:rFonts w:ascii="Calibri" w:hAnsi="Calibri" w:cs="Calibri"/>
          <w:sz w:val="24"/>
          <w:szCs w:val="24"/>
        </w:rPr>
        <w:t xml:space="preserve"> (then)</w:t>
      </w:r>
      <w:r w:rsidR="007B6551" w:rsidRPr="00DD65C2">
        <w:rPr>
          <w:rFonts w:ascii="Calibri" w:hAnsi="Calibri" w:cs="Calibri"/>
          <w:sz w:val="24"/>
          <w:szCs w:val="24"/>
        </w:rPr>
        <w:t xml:space="preserve"> 28 Member States, including </w:t>
      </w:r>
      <w:r w:rsidR="0014728B" w:rsidRPr="00DD65C2">
        <w:rPr>
          <w:rFonts w:ascii="Calibri" w:hAnsi="Calibri" w:cs="Calibri"/>
          <w:sz w:val="24"/>
          <w:szCs w:val="24"/>
        </w:rPr>
        <w:t xml:space="preserve">that of </w:t>
      </w:r>
      <w:r w:rsidR="007B6551" w:rsidRPr="00DD65C2">
        <w:rPr>
          <w:rFonts w:ascii="Calibri" w:hAnsi="Calibri" w:cs="Calibri"/>
          <w:sz w:val="24"/>
          <w:szCs w:val="24"/>
        </w:rPr>
        <w:t>the UK.</w:t>
      </w:r>
      <w:r w:rsidR="00F602A7" w:rsidRPr="00DD65C2">
        <w:rPr>
          <w:rStyle w:val="FootnoteReference"/>
          <w:rFonts w:ascii="Calibri" w:hAnsi="Calibri" w:cs="Calibri"/>
          <w:sz w:val="24"/>
          <w:szCs w:val="24"/>
        </w:rPr>
        <w:footnoteReference w:id="7"/>
      </w:r>
      <w:r w:rsidR="004A4104" w:rsidRPr="00DD65C2">
        <w:rPr>
          <w:rFonts w:ascii="Calibri" w:hAnsi="Calibri" w:cs="Calibri"/>
          <w:sz w:val="24"/>
          <w:szCs w:val="24"/>
        </w:rPr>
        <w:t xml:space="preserve"> </w:t>
      </w:r>
      <w:r w:rsidR="00DA06E7" w:rsidRPr="00DD65C2">
        <w:rPr>
          <w:rFonts w:ascii="Calibri" w:hAnsi="Calibri" w:cs="Calibri"/>
          <w:sz w:val="24"/>
          <w:szCs w:val="24"/>
        </w:rPr>
        <w:t>Admittedly</w:t>
      </w:r>
      <w:r w:rsidR="007E5F93" w:rsidRPr="00DD65C2">
        <w:rPr>
          <w:rFonts w:ascii="Calibri" w:hAnsi="Calibri" w:cs="Calibri"/>
          <w:sz w:val="24"/>
          <w:szCs w:val="24"/>
        </w:rPr>
        <w:t xml:space="preserve">, not all cases where different </w:t>
      </w:r>
      <w:r w:rsidR="00CA4514" w:rsidRPr="00DD65C2">
        <w:rPr>
          <w:rFonts w:ascii="Calibri" w:hAnsi="Calibri" w:cs="Calibri"/>
          <w:sz w:val="24"/>
          <w:szCs w:val="24"/>
        </w:rPr>
        <w:t>decision-maker</w:t>
      </w:r>
      <w:r w:rsidR="007E5F93" w:rsidRPr="00DD65C2">
        <w:rPr>
          <w:rFonts w:ascii="Calibri" w:hAnsi="Calibri" w:cs="Calibri"/>
          <w:sz w:val="24"/>
          <w:szCs w:val="24"/>
        </w:rPr>
        <w:t xml:space="preserve">s reach contrasting outcomes will be reflective of </w:t>
      </w:r>
      <w:r w:rsidR="00DA06E7" w:rsidRPr="00DD65C2">
        <w:rPr>
          <w:rFonts w:ascii="Calibri" w:hAnsi="Calibri" w:cs="Calibri"/>
          <w:sz w:val="24"/>
          <w:szCs w:val="24"/>
        </w:rPr>
        <w:t>an inconsistent application of the public policy and morality exclusions. In a pluri-national, multi-cultural setting such as the EU, the fact that the same sign has been registered in one Member State but refused in another does not necessarily serve as evidence of the fragmented state of the law, but may, instead, be the result of different moral values and/or sensitivity thresholds.</w:t>
      </w:r>
      <w:r w:rsidR="00225616" w:rsidRPr="00DD65C2">
        <w:rPr>
          <w:rFonts w:ascii="Calibri" w:hAnsi="Calibri" w:cs="Calibri"/>
          <w:sz w:val="24"/>
          <w:szCs w:val="24"/>
        </w:rPr>
        <w:t xml:space="preserve"> </w:t>
      </w:r>
      <w:r w:rsidR="005B051B" w:rsidRPr="00DD65C2">
        <w:rPr>
          <w:rFonts w:ascii="Calibri" w:hAnsi="Calibri" w:cs="Calibri"/>
          <w:sz w:val="24"/>
          <w:szCs w:val="24"/>
        </w:rPr>
        <w:t xml:space="preserve">This </w:t>
      </w:r>
      <w:r w:rsidR="0040373E" w:rsidRPr="00DD65C2">
        <w:rPr>
          <w:rFonts w:ascii="Calibri" w:hAnsi="Calibri" w:cs="Calibri"/>
          <w:sz w:val="24"/>
          <w:szCs w:val="24"/>
        </w:rPr>
        <w:t>has been</w:t>
      </w:r>
      <w:r w:rsidR="005B051B" w:rsidRPr="00DD65C2">
        <w:rPr>
          <w:rFonts w:ascii="Calibri" w:hAnsi="Calibri" w:cs="Calibri"/>
          <w:sz w:val="24"/>
          <w:szCs w:val="24"/>
        </w:rPr>
        <w:t xml:space="preserve"> acknowledged by </w:t>
      </w:r>
      <w:r w:rsidR="0040373E" w:rsidRPr="00DD65C2">
        <w:rPr>
          <w:rFonts w:ascii="Calibri" w:hAnsi="Calibri" w:cs="Calibri"/>
          <w:sz w:val="24"/>
          <w:szCs w:val="24"/>
        </w:rPr>
        <w:t>the</w:t>
      </w:r>
      <w:r w:rsidR="006C3D56" w:rsidRPr="00DD65C2">
        <w:rPr>
          <w:rFonts w:ascii="Calibri" w:hAnsi="Calibri" w:cs="Calibri"/>
          <w:sz w:val="24"/>
          <w:szCs w:val="24"/>
        </w:rPr>
        <w:t xml:space="preserve"> </w:t>
      </w:r>
      <w:r w:rsidR="005B051B" w:rsidRPr="00DD65C2">
        <w:rPr>
          <w:rFonts w:ascii="Calibri" w:hAnsi="Calibri" w:cs="Calibri"/>
          <w:sz w:val="24"/>
          <w:szCs w:val="24"/>
        </w:rPr>
        <w:t>EUIPO</w:t>
      </w:r>
      <w:r w:rsidR="0040373E" w:rsidRPr="00DD65C2">
        <w:rPr>
          <w:rFonts w:ascii="Calibri" w:hAnsi="Calibri" w:cs="Calibri"/>
          <w:sz w:val="24"/>
          <w:szCs w:val="24"/>
        </w:rPr>
        <w:t xml:space="preserve"> </w:t>
      </w:r>
      <w:r w:rsidR="005B051B" w:rsidRPr="00DD65C2">
        <w:rPr>
          <w:rFonts w:ascii="Calibri" w:hAnsi="Calibri" w:cs="Calibri"/>
          <w:sz w:val="24"/>
          <w:szCs w:val="24"/>
        </w:rPr>
        <w:t xml:space="preserve">in the following terms: </w:t>
      </w:r>
    </w:p>
    <w:p w14:paraId="77CF28B8" w14:textId="77777777" w:rsidR="005B051B" w:rsidRPr="00DD65C2" w:rsidRDefault="005B051B" w:rsidP="005B051B">
      <w:pPr>
        <w:pStyle w:val="FootnoteText"/>
        <w:jc w:val="both"/>
        <w:rPr>
          <w:rFonts w:ascii="Calibri" w:hAnsi="Calibri" w:cs="Calibri"/>
          <w:sz w:val="24"/>
          <w:szCs w:val="24"/>
        </w:rPr>
      </w:pPr>
    </w:p>
    <w:p w14:paraId="615A0C22" w14:textId="0DD331F9" w:rsidR="005B051B" w:rsidRPr="00DD65C2" w:rsidRDefault="005B051B" w:rsidP="005B051B">
      <w:pPr>
        <w:pStyle w:val="FootnoteText"/>
        <w:ind w:left="720"/>
        <w:jc w:val="both"/>
        <w:rPr>
          <w:rFonts w:ascii="Calibri" w:hAnsi="Calibri" w:cs="Calibri"/>
          <w:sz w:val="24"/>
          <w:szCs w:val="24"/>
          <w:lang w:val="en-ES"/>
        </w:rPr>
      </w:pPr>
      <w:r w:rsidRPr="00DD65C2">
        <w:rPr>
          <w:rFonts w:ascii="Calibri" w:hAnsi="Calibri" w:cs="Calibri"/>
          <w:sz w:val="24"/>
          <w:szCs w:val="24"/>
          <w:lang w:val="en-US"/>
        </w:rPr>
        <w:t>T</w:t>
      </w:r>
      <w:r w:rsidRPr="00DD65C2">
        <w:rPr>
          <w:rFonts w:ascii="Calibri" w:hAnsi="Calibri" w:cs="Calibri"/>
          <w:sz w:val="24"/>
          <w:szCs w:val="24"/>
          <w:lang w:val="en-ES"/>
        </w:rPr>
        <w:t xml:space="preserve">olerance thresholds </w:t>
      </w:r>
      <w:r w:rsidRPr="00DD65C2">
        <w:rPr>
          <w:rFonts w:ascii="Calibri" w:hAnsi="Calibri" w:cs="Calibri"/>
          <w:sz w:val="24"/>
          <w:szCs w:val="24"/>
          <w:lang w:val="en-US"/>
        </w:rPr>
        <w:t xml:space="preserve">[for purposes of Article 7(1)(f) EUTMR] </w:t>
      </w:r>
      <w:r w:rsidRPr="00DD65C2">
        <w:rPr>
          <w:rFonts w:ascii="Calibri" w:hAnsi="Calibri" w:cs="Calibri"/>
          <w:sz w:val="24"/>
          <w:szCs w:val="24"/>
          <w:lang w:val="en-ES"/>
        </w:rPr>
        <w:t>are not the same in all Member States; for instance, religious feelings can vary in intensity from one country to another. In this sense the mark ‘J</w:t>
      </w:r>
      <w:r w:rsidR="0039757B" w:rsidRPr="00DD65C2">
        <w:rPr>
          <w:rFonts w:ascii="Calibri" w:hAnsi="Calibri" w:cs="Calibri"/>
          <w:sz w:val="24"/>
          <w:szCs w:val="24"/>
          <w:lang w:val="en-US"/>
        </w:rPr>
        <w:t>esus</w:t>
      </w:r>
      <w:r w:rsidRPr="00DD65C2">
        <w:rPr>
          <w:rFonts w:ascii="Calibri" w:hAnsi="Calibri" w:cs="Calibri"/>
          <w:sz w:val="24"/>
          <w:szCs w:val="24"/>
          <w:lang w:val="en-ES"/>
        </w:rPr>
        <w:t xml:space="preserve">’ was found immoral in the UK </w:t>
      </w:r>
      <w:r w:rsidRPr="00DD65C2">
        <w:rPr>
          <w:rFonts w:ascii="Calibri" w:hAnsi="Calibri" w:cs="Calibri"/>
          <w:sz w:val="24"/>
          <w:szCs w:val="24"/>
          <w:lang w:val="en-US"/>
        </w:rPr>
        <w:t xml:space="preserve">[…] </w:t>
      </w:r>
      <w:r w:rsidRPr="00DD65C2">
        <w:rPr>
          <w:rFonts w:ascii="Calibri" w:hAnsi="Calibri" w:cs="Calibri"/>
          <w:sz w:val="24"/>
          <w:szCs w:val="24"/>
          <w:lang w:val="en-ES"/>
        </w:rPr>
        <w:t>but it was accepted without any objection by the Benelux Bureau for Intellectual Property.</w:t>
      </w:r>
      <w:r w:rsidRPr="00DD65C2">
        <w:rPr>
          <w:rStyle w:val="FootnoteReference"/>
          <w:rFonts w:ascii="Calibri" w:hAnsi="Calibri" w:cs="Calibri"/>
          <w:sz w:val="24"/>
          <w:szCs w:val="24"/>
        </w:rPr>
        <w:footnoteReference w:id="8"/>
      </w:r>
    </w:p>
    <w:p w14:paraId="3C3ECD24" w14:textId="77777777" w:rsidR="005B051B" w:rsidRPr="00DD65C2" w:rsidRDefault="005B051B" w:rsidP="00B77BA7">
      <w:pPr>
        <w:pStyle w:val="FootnoteText"/>
        <w:jc w:val="both"/>
        <w:rPr>
          <w:rFonts w:ascii="Calibri" w:hAnsi="Calibri" w:cs="Calibri"/>
          <w:sz w:val="24"/>
          <w:szCs w:val="24"/>
          <w:lang w:val="en-ES"/>
        </w:rPr>
      </w:pPr>
    </w:p>
    <w:p w14:paraId="6AA229E2" w14:textId="13C568ED" w:rsidR="00DA06E7" w:rsidRPr="00DD65C2" w:rsidRDefault="00225616" w:rsidP="00B77BA7">
      <w:pPr>
        <w:pStyle w:val="FootnoteText"/>
        <w:jc w:val="both"/>
        <w:rPr>
          <w:rFonts w:ascii="Calibri" w:hAnsi="Calibri" w:cs="Calibri"/>
          <w:sz w:val="24"/>
          <w:szCs w:val="24"/>
        </w:rPr>
      </w:pPr>
      <w:r w:rsidRPr="00DD65C2">
        <w:rPr>
          <w:rFonts w:ascii="Calibri" w:hAnsi="Calibri" w:cs="Calibri"/>
          <w:sz w:val="24"/>
          <w:szCs w:val="24"/>
        </w:rPr>
        <w:t xml:space="preserve">Because what is deemed to be immoral and/or contrary to public policy </w:t>
      </w:r>
      <w:r w:rsidR="0040373E" w:rsidRPr="00DD65C2">
        <w:rPr>
          <w:rFonts w:ascii="Calibri" w:hAnsi="Calibri" w:cs="Calibri"/>
          <w:sz w:val="24"/>
          <w:szCs w:val="24"/>
        </w:rPr>
        <w:t>can vary</w:t>
      </w:r>
      <w:r w:rsidRPr="00DD65C2">
        <w:rPr>
          <w:rFonts w:ascii="Calibri" w:hAnsi="Calibri" w:cs="Calibri"/>
          <w:sz w:val="24"/>
          <w:szCs w:val="24"/>
        </w:rPr>
        <w:t xml:space="preserve"> from one </w:t>
      </w:r>
      <w:r w:rsidR="00C72A8B" w:rsidRPr="00DD65C2">
        <w:rPr>
          <w:rFonts w:ascii="Calibri" w:hAnsi="Calibri" w:cs="Calibri"/>
          <w:sz w:val="24"/>
          <w:szCs w:val="24"/>
        </w:rPr>
        <w:t>country</w:t>
      </w:r>
      <w:r w:rsidRPr="00DD65C2">
        <w:rPr>
          <w:rFonts w:ascii="Calibri" w:hAnsi="Calibri" w:cs="Calibri"/>
          <w:sz w:val="24"/>
          <w:szCs w:val="24"/>
        </w:rPr>
        <w:t xml:space="preserve"> to the other, this article will not address the</w:t>
      </w:r>
      <w:r w:rsidR="00DA06E7" w:rsidRPr="00DD65C2">
        <w:rPr>
          <w:rFonts w:ascii="Calibri" w:hAnsi="Calibri" w:cs="Calibri"/>
          <w:sz w:val="24"/>
          <w:szCs w:val="24"/>
        </w:rPr>
        <w:t xml:space="preserve"> divergences between </w:t>
      </w:r>
      <w:r w:rsidR="00CA4514" w:rsidRPr="00DD65C2">
        <w:rPr>
          <w:rFonts w:ascii="Calibri" w:hAnsi="Calibri" w:cs="Calibri"/>
          <w:sz w:val="24"/>
          <w:szCs w:val="24"/>
        </w:rPr>
        <w:t>decision-maker</w:t>
      </w:r>
      <w:r w:rsidR="00DA06E7" w:rsidRPr="00DD65C2">
        <w:rPr>
          <w:rFonts w:ascii="Calibri" w:hAnsi="Calibri" w:cs="Calibri"/>
          <w:sz w:val="24"/>
          <w:szCs w:val="24"/>
        </w:rPr>
        <w:t>s operating out of different EU Member States.</w:t>
      </w:r>
      <w:r w:rsidR="00641C89" w:rsidRPr="00DD65C2">
        <w:rPr>
          <w:rFonts w:ascii="Calibri" w:hAnsi="Calibri" w:cs="Calibri"/>
          <w:sz w:val="24"/>
          <w:szCs w:val="24"/>
        </w:rPr>
        <w:t xml:space="preserve"> </w:t>
      </w:r>
      <w:r w:rsidR="00473C73" w:rsidRPr="00DD65C2">
        <w:rPr>
          <w:rFonts w:ascii="Calibri" w:hAnsi="Calibri" w:cs="Calibri"/>
          <w:sz w:val="24"/>
          <w:szCs w:val="24"/>
        </w:rPr>
        <w:t xml:space="preserve">Instead, it will focus on the inconsistencies: (a) between the EU and its Member States, notably the UK; and (b) within the EU, i.e. between the EUIPO, the General Court </w:t>
      </w:r>
      <w:r w:rsidR="007155C5" w:rsidRPr="00DD65C2">
        <w:rPr>
          <w:rFonts w:ascii="Calibri" w:hAnsi="Calibri" w:cs="Calibri"/>
          <w:sz w:val="24"/>
          <w:szCs w:val="24"/>
        </w:rPr>
        <w:t xml:space="preserve">(GC) </w:t>
      </w:r>
      <w:r w:rsidR="00473C73" w:rsidRPr="00DD65C2">
        <w:rPr>
          <w:rFonts w:ascii="Calibri" w:hAnsi="Calibri" w:cs="Calibri"/>
          <w:sz w:val="24"/>
          <w:szCs w:val="24"/>
        </w:rPr>
        <w:t xml:space="preserve">and the </w:t>
      </w:r>
      <w:r w:rsidR="002F6853" w:rsidRPr="00DD65C2">
        <w:rPr>
          <w:rFonts w:ascii="Calibri" w:hAnsi="Calibri" w:cs="Calibri"/>
          <w:sz w:val="24"/>
          <w:szCs w:val="24"/>
        </w:rPr>
        <w:t>Court of Justice of the European Union (</w:t>
      </w:r>
      <w:r w:rsidR="00473C73" w:rsidRPr="00DD65C2">
        <w:rPr>
          <w:rFonts w:ascii="Calibri" w:hAnsi="Calibri" w:cs="Calibri"/>
          <w:sz w:val="24"/>
          <w:szCs w:val="24"/>
        </w:rPr>
        <w:t>CJEU</w:t>
      </w:r>
      <w:r w:rsidR="002F6853" w:rsidRPr="00DD65C2">
        <w:rPr>
          <w:rFonts w:ascii="Calibri" w:hAnsi="Calibri" w:cs="Calibri"/>
          <w:sz w:val="24"/>
          <w:szCs w:val="24"/>
        </w:rPr>
        <w:t>)</w:t>
      </w:r>
      <w:r w:rsidR="00473C73" w:rsidRPr="00DD65C2">
        <w:rPr>
          <w:rFonts w:ascii="Calibri" w:hAnsi="Calibri" w:cs="Calibri"/>
          <w:sz w:val="24"/>
          <w:szCs w:val="24"/>
        </w:rPr>
        <w:t>.</w:t>
      </w:r>
    </w:p>
    <w:p w14:paraId="49EBB132" w14:textId="77777777" w:rsidR="005061DF" w:rsidRPr="00DD65C2" w:rsidRDefault="005061DF" w:rsidP="00D31E44">
      <w:pPr>
        <w:jc w:val="both"/>
        <w:rPr>
          <w:rFonts w:ascii="Calibri" w:hAnsi="Calibri" w:cs="Calibri"/>
          <w:lang w:val="en-GB"/>
        </w:rPr>
      </w:pPr>
    </w:p>
    <w:p w14:paraId="1E7AB59C" w14:textId="18AD38C2" w:rsidR="00093F9B" w:rsidRPr="00DD65C2" w:rsidRDefault="002D5BE6" w:rsidP="00093F9B">
      <w:pPr>
        <w:pStyle w:val="FootnoteText"/>
        <w:jc w:val="both"/>
        <w:rPr>
          <w:rFonts w:ascii="Calibri" w:hAnsi="Calibri" w:cs="Calibri"/>
          <w:sz w:val="24"/>
          <w:szCs w:val="24"/>
        </w:rPr>
      </w:pPr>
      <w:r w:rsidRPr="00DD65C2">
        <w:rPr>
          <w:rFonts w:ascii="Calibri" w:hAnsi="Calibri" w:cs="Calibri"/>
          <w:sz w:val="24"/>
          <w:szCs w:val="24"/>
        </w:rPr>
        <w:t xml:space="preserve">It is </w:t>
      </w:r>
      <w:r w:rsidR="00D31E44" w:rsidRPr="00DD65C2">
        <w:rPr>
          <w:rFonts w:ascii="Calibri" w:hAnsi="Calibri" w:cs="Calibri"/>
          <w:sz w:val="24"/>
          <w:szCs w:val="24"/>
        </w:rPr>
        <w:t xml:space="preserve">no easy endeavour to systematise the case law in this area. As acknowledged by Hobbs QC in </w:t>
      </w:r>
      <w:r w:rsidR="00D31E44" w:rsidRPr="00DD65C2">
        <w:rPr>
          <w:rFonts w:ascii="Calibri" w:hAnsi="Calibri" w:cs="Calibri"/>
          <w:i/>
          <w:iCs/>
          <w:sz w:val="24"/>
          <w:szCs w:val="24"/>
        </w:rPr>
        <w:t>Basic Trade</w:t>
      </w:r>
      <w:r w:rsidR="00046F8A" w:rsidRPr="00DD65C2">
        <w:rPr>
          <w:rFonts w:ascii="Calibri" w:hAnsi="Calibri" w:cs="Calibri"/>
          <w:i/>
          <w:iCs/>
          <w:sz w:val="24"/>
          <w:szCs w:val="24"/>
        </w:rPr>
        <w:t>m</w:t>
      </w:r>
      <w:r w:rsidR="00D31E44" w:rsidRPr="00DD65C2">
        <w:rPr>
          <w:rFonts w:ascii="Calibri" w:hAnsi="Calibri" w:cs="Calibri"/>
          <w:i/>
          <w:iCs/>
          <w:sz w:val="24"/>
          <w:szCs w:val="24"/>
        </w:rPr>
        <w:t xml:space="preserve">ark SA’s </w:t>
      </w:r>
      <w:r w:rsidR="00046F8A" w:rsidRPr="00DD65C2">
        <w:rPr>
          <w:rFonts w:ascii="Calibri" w:hAnsi="Calibri" w:cs="Calibri"/>
          <w:i/>
          <w:iCs/>
          <w:sz w:val="24"/>
          <w:szCs w:val="24"/>
        </w:rPr>
        <w:t xml:space="preserve">Trade Mark </w:t>
      </w:r>
      <w:r w:rsidR="00D31E44" w:rsidRPr="00DD65C2">
        <w:rPr>
          <w:rFonts w:ascii="Calibri" w:hAnsi="Calibri" w:cs="Calibri"/>
          <w:i/>
          <w:iCs/>
          <w:sz w:val="24"/>
          <w:szCs w:val="24"/>
        </w:rPr>
        <w:t>Application</w:t>
      </w:r>
      <w:r w:rsidR="00D31E44" w:rsidRPr="00DD65C2">
        <w:rPr>
          <w:rFonts w:ascii="Calibri" w:hAnsi="Calibri" w:cs="Calibri"/>
          <w:sz w:val="24"/>
          <w:szCs w:val="24"/>
        </w:rPr>
        <w:t xml:space="preserve">, an overview of the marks that have been denied registration on </w:t>
      </w:r>
      <w:r w:rsidR="00752779">
        <w:rPr>
          <w:rFonts w:ascii="Calibri" w:hAnsi="Calibri" w:cs="Calibri"/>
          <w:sz w:val="24"/>
          <w:szCs w:val="24"/>
        </w:rPr>
        <w:t xml:space="preserve">morality and/or public policy </w:t>
      </w:r>
      <w:r w:rsidR="00D31E44" w:rsidRPr="00DD65C2">
        <w:rPr>
          <w:rFonts w:ascii="Calibri" w:hAnsi="Calibri" w:cs="Calibri"/>
          <w:sz w:val="24"/>
          <w:szCs w:val="24"/>
        </w:rPr>
        <w:t>ground</w:t>
      </w:r>
      <w:r w:rsidR="00752779">
        <w:rPr>
          <w:rFonts w:ascii="Calibri" w:hAnsi="Calibri" w:cs="Calibri"/>
          <w:sz w:val="24"/>
          <w:szCs w:val="24"/>
        </w:rPr>
        <w:t>s</w:t>
      </w:r>
      <w:r w:rsidR="00D31E44" w:rsidRPr="00DD65C2">
        <w:rPr>
          <w:rFonts w:ascii="Calibri" w:hAnsi="Calibri" w:cs="Calibri"/>
          <w:sz w:val="24"/>
          <w:szCs w:val="24"/>
        </w:rPr>
        <w:t xml:space="preserve"> reveals the ‘difficulty (probably the impossibility) of formulating an all-purpose test for determining when the relevant prohibition is applicable’.</w:t>
      </w:r>
      <w:r w:rsidR="00D31E44" w:rsidRPr="00DD65C2">
        <w:rPr>
          <w:rStyle w:val="FootnoteReference"/>
          <w:rFonts w:ascii="Calibri" w:hAnsi="Calibri" w:cs="Calibri"/>
          <w:sz w:val="24"/>
          <w:szCs w:val="24"/>
        </w:rPr>
        <w:footnoteReference w:id="9"/>
      </w:r>
      <w:r w:rsidR="00D31E44" w:rsidRPr="00DD65C2">
        <w:rPr>
          <w:rFonts w:ascii="Calibri" w:hAnsi="Calibri" w:cs="Calibri"/>
          <w:sz w:val="24"/>
          <w:szCs w:val="24"/>
        </w:rPr>
        <w:t xml:space="preserve"> </w:t>
      </w:r>
      <w:r w:rsidR="003D4442" w:rsidRPr="00DD65C2">
        <w:rPr>
          <w:rFonts w:ascii="Calibri" w:hAnsi="Calibri" w:cs="Calibri"/>
          <w:sz w:val="24"/>
          <w:szCs w:val="24"/>
        </w:rPr>
        <w:t xml:space="preserve">Much of the ongoing controversy stems from </w:t>
      </w:r>
      <w:r w:rsidR="00CA4514" w:rsidRPr="00DD65C2">
        <w:rPr>
          <w:rFonts w:ascii="Calibri" w:hAnsi="Calibri" w:cs="Calibri"/>
          <w:sz w:val="24"/>
          <w:szCs w:val="24"/>
        </w:rPr>
        <w:t>decision-maker</w:t>
      </w:r>
      <w:r w:rsidR="00A90F48" w:rsidRPr="00DD65C2">
        <w:rPr>
          <w:rFonts w:ascii="Calibri" w:hAnsi="Calibri" w:cs="Calibri"/>
          <w:sz w:val="24"/>
          <w:szCs w:val="24"/>
        </w:rPr>
        <w:t>s’</w:t>
      </w:r>
      <w:r w:rsidR="003D4442" w:rsidRPr="00DD65C2">
        <w:rPr>
          <w:rFonts w:ascii="Calibri" w:hAnsi="Calibri" w:cs="Calibri"/>
          <w:sz w:val="24"/>
          <w:szCs w:val="24"/>
        </w:rPr>
        <w:t xml:space="preserve"> inability to reach a consensus as to the role that the protection afforded by freedom of expression under Article 10 </w:t>
      </w:r>
      <w:r w:rsidR="00F67949" w:rsidRPr="00DD65C2">
        <w:rPr>
          <w:rFonts w:ascii="Calibri" w:hAnsi="Calibri" w:cs="Calibri"/>
          <w:sz w:val="24"/>
          <w:szCs w:val="24"/>
        </w:rPr>
        <w:t>of the European Convention on Human Rights (</w:t>
      </w:r>
      <w:r w:rsidR="003D4442" w:rsidRPr="00DD65C2">
        <w:rPr>
          <w:rFonts w:ascii="Calibri" w:hAnsi="Calibri" w:cs="Calibri"/>
          <w:sz w:val="24"/>
          <w:szCs w:val="24"/>
        </w:rPr>
        <w:t>ECHR</w:t>
      </w:r>
      <w:r w:rsidR="00F67949" w:rsidRPr="00DD65C2">
        <w:rPr>
          <w:rFonts w:ascii="Calibri" w:hAnsi="Calibri" w:cs="Calibri"/>
          <w:sz w:val="24"/>
          <w:szCs w:val="24"/>
        </w:rPr>
        <w:t>)</w:t>
      </w:r>
      <w:r w:rsidR="003D4442" w:rsidRPr="00DD65C2">
        <w:rPr>
          <w:rFonts w:ascii="Calibri" w:hAnsi="Calibri" w:cs="Calibri"/>
          <w:sz w:val="24"/>
          <w:szCs w:val="24"/>
        </w:rPr>
        <w:t xml:space="preserve"> ought to play in trade mark law generally, and in the registration context specifically.</w:t>
      </w:r>
      <w:r w:rsidR="00F01EE7" w:rsidRPr="00DD65C2">
        <w:rPr>
          <w:rStyle w:val="FootnoteReference"/>
          <w:rFonts w:ascii="Calibri" w:hAnsi="Calibri" w:cs="Calibri"/>
          <w:sz w:val="24"/>
          <w:szCs w:val="24"/>
        </w:rPr>
        <w:footnoteReference w:id="10"/>
      </w:r>
      <w:r w:rsidR="00A230A6" w:rsidRPr="00DD65C2">
        <w:rPr>
          <w:rFonts w:ascii="Calibri" w:hAnsi="Calibri" w:cs="Calibri"/>
          <w:sz w:val="24"/>
          <w:szCs w:val="24"/>
        </w:rPr>
        <w:t xml:space="preserve"> An inquiry that has come to the forefront of the debate fuelled by applicants’ growing reliance on speech as a ground to challenge the validity of refusals to register their applied-for signs when they contravene public policy or morality. </w:t>
      </w:r>
      <w:r w:rsidR="006A1FE2" w:rsidRPr="00DD65C2">
        <w:rPr>
          <w:rFonts w:ascii="Calibri" w:hAnsi="Calibri" w:cs="Calibri"/>
          <w:sz w:val="24"/>
          <w:szCs w:val="24"/>
        </w:rPr>
        <w:t>A</w:t>
      </w:r>
      <w:r w:rsidR="003D4442" w:rsidRPr="00DD65C2">
        <w:rPr>
          <w:rFonts w:ascii="Calibri" w:hAnsi="Calibri" w:cs="Calibri"/>
          <w:sz w:val="24"/>
          <w:szCs w:val="24"/>
        </w:rPr>
        <w:t xml:space="preserve">pplicants argue that their inability to communicate their preferred messages in the </w:t>
      </w:r>
      <w:r w:rsidR="003D4442" w:rsidRPr="00DD65C2">
        <w:rPr>
          <w:rFonts w:ascii="Calibri" w:hAnsi="Calibri" w:cs="Calibri"/>
          <w:sz w:val="24"/>
          <w:szCs w:val="24"/>
        </w:rPr>
        <w:lastRenderedPageBreak/>
        <w:t>course of trade –i.e. through the exclusive use of their preferred signs resulting from registration– runs counter to the</w:t>
      </w:r>
      <w:r w:rsidR="009E6B24" w:rsidRPr="00DD65C2">
        <w:rPr>
          <w:rFonts w:ascii="Calibri" w:hAnsi="Calibri" w:cs="Calibri"/>
          <w:sz w:val="24"/>
          <w:szCs w:val="24"/>
        </w:rPr>
        <w:t xml:space="preserve">ir </w:t>
      </w:r>
      <w:r w:rsidR="003D4442" w:rsidRPr="00DD65C2">
        <w:rPr>
          <w:rFonts w:ascii="Calibri" w:hAnsi="Calibri" w:cs="Calibri"/>
          <w:sz w:val="24"/>
          <w:szCs w:val="24"/>
        </w:rPr>
        <w:t>Article 10 ECHR</w:t>
      </w:r>
      <w:r w:rsidR="009E6B24" w:rsidRPr="00DD65C2">
        <w:rPr>
          <w:rFonts w:ascii="Calibri" w:hAnsi="Calibri" w:cs="Calibri"/>
          <w:sz w:val="24"/>
          <w:szCs w:val="24"/>
        </w:rPr>
        <w:t xml:space="preserve"> rights.</w:t>
      </w:r>
    </w:p>
    <w:p w14:paraId="671E366F" w14:textId="77777777" w:rsidR="00093F9B" w:rsidRPr="00DD65C2" w:rsidRDefault="00093F9B" w:rsidP="00093F9B">
      <w:pPr>
        <w:pStyle w:val="FootnoteText"/>
        <w:jc w:val="both"/>
        <w:rPr>
          <w:rFonts w:ascii="Calibri" w:hAnsi="Calibri" w:cs="Calibri"/>
          <w:sz w:val="24"/>
          <w:szCs w:val="24"/>
        </w:rPr>
      </w:pPr>
    </w:p>
    <w:p w14:paraId="6B427735" w14:textId="584CBEA5" w:rsidR="009F6ADF" w:rsidRPr="00DD65C2" w:rsidRDefault="00093F9B" w:rsidP="009F6ADF">
      <w:pPr>
        <w:pStyle w:val="FootnoteText"/>
        <w:jc w:val="both"/>
        <w:rPr>
          <w:rFonts w:ascii="Calibri" w:hAnsi="Calibri" w:cs="Calibri"/>
          <w:sz w:val="24"/>
          <w:szCs w:val="24"/>
        </w:rPr>
      </w:pPr>
      <w:r w:rsidRPr="00DD65C2">
        <w:rPr>
          <w:rFonts w:ascii="Calibri" w:hAnsi="Calibri" w:cs="Calibri"/>
          <w:sz w:val="24"/>
          <w:szCs w:val="24"/>
        </w:rPr>
        <w:t xml:space="preserve">This phenomenon is not unique to the EU, nor to the registration context. </w:t>
      </w:r>
      <w:r w:rsidR="009F6ADF" w:rsidRPr="00DD65C2">
        <w:rPr>
          <w:rFonts w:ascii="Calibri" w:hAnsi="Calibri" w:cs="Calibri"/>
          <w:sz w:val="24"/>
          <w:szCs w:val="24"/>
        </w:rPr>
        <w:t>T</w:t>
      </w:r>
      <w:r w:rsidRPr="00DD65C2">
        <w:rPr>
          <w:rFonts w:ascii="Calibri" w:hAnsi="Calibri" w:cs="Calibri"/>
          <w:sz w:val="24"/>
          <w:szCs w:val="24"/>
        </w:rPr>
        <w:t xml:space="preserve">he debate as to whether speech protection is implicated in </w:t>
      </w:r>
      <w:r w:rsidR="004C1797" w:rsidRPr="00DD65C2">
        <w:rPr>
          <w:rFonts w:ascii="Calibri" w:hAnsi="Calibri" w:cs="Calibri"/>
          <w:sz w:val="24"/>
          <w:szCs w:val="24"/>
        </w:rPr>
        <w:t>trade mark</w:t>
      </w:r>
      <w:r w:rsidRPr="00DD65C2">
        <w:rPr>
          <w:rFonts w:ascii="Calibri" w:hAnsi="Calibri" w:cs="Calibri"/>
          <w:sz w:val="24"/>
          <w:szCs w:val="24"/>
        </w:rPr>
        <w:t xml:space="preserve"> registration has been particularly salient in the US. As a result of the recent Supreme Court decisions in </w:t>
      </w:r>
      <w:r w:rsidRPr="00DD65C2">
        <w:rPr>
          <w:rFonts w:ascii="Calibri" w:hAnsi="Calibri" w:cs="Calibri"/>
          <w:i/>
          <w:iCs/>
          <w:sz w:val="24"/>
          <w:szCs w:val="24"/>
        </w:rPr>
        <w:t>Matal v Tam</w:t>
      </w:r>
      <w:r w:rsidRPr="00DD65C2">
        <w:rPr>
          <w:rFonts w:ascii="Calibri" w:hAnsi="Calibri" w:cs="Calibri"/>
          <w:sz w:val="24"/>
          <w:szCs w:val="24"/>
        </w:rPr>
        <w:t xml:space="preserve"> (‘T</w:t>
      </w:r>
      <w:r w:rsidR="001F7352" w:rsidRPr="00DD65C2">
        <w:rPr>
          <w:rFonts w:ascii="Calibri" w:hAnsi="Calibri" w:cs="Calibri"/>
          <w:sz w:val="24"/>
          <w:szCs w:val="24"/>
        </w:rPr>
        <w:t>he</w:t>
      </w:r>
      <w:r w:rsidRPr="00DD65C2">
        <w:rPr>
          <w:rFonts w:ascii="Calibri" w:hAnsi="Calibri" w:cs="Calibri"/>
          <w:sz w:val="24"/>
          <w:szCs w:val="24"/>
        </w:rPr>
        <w:t xml:space="preserve"> S</w:t>
      </w:r>
      <w:r w:rsidR="001F7352" w:rsidRPr="00DD65C2">
        <w:rPr>
          <w:rFonts w:ascii="Calibri" w:hAnsi="Calibri" w:cs="Calibri"/>
          <w:sz w:val="24"/>
          <w:szCs w:val="24"/>
        </w:rPr>
        <w:t>lants</w:t>
      </w:r>
      <w:r w:rsidRPr="00DD65C2">
        <w:rPr>
          <w:rFonts w:ascii="Calibri" w:hAnsi="Calibri" w:cs="Calibri"/>
          <w:sz w:val="24"/>
          <w:szCs w:val="24"/>
        </w:rPr>
        <w:t xml:space="preserve">’) and </w:t>
      </w:r>
      <w:r w:rsidRPr="00DD65C2">
        <w:rPr>
          <w:rFonts w:ascii="Calibri" w:hAnsi="Calibri" w:cs="Calibri"/>
          <w:i/>
          <w:iCs/>
          <w:sz w:val="24"/>
          <w:szCs w:val="24"/>
        </w:rPr>
        <w:t>Iancu et al v Brunetti</w:t>
      </w:r>
      <w:r w:rsidRPr="00DD65C2">
        <w:rPr>
          <w:rFonts w:ascii="Calibri" w:hAnsi="Calibri" w:cs="Calibri"/>
          <w:sz w:val="24"/>
          <w:szCs w:val="24"/>
        </w:rPr>
        <w:t xml:space="preserve"> (‘F</w:t>
      </w:r>
      <w:r w:rsidR="001F7352" w:rsidRPr="00DD65C2">
        <w:rPr>
          <w:rFonts w:ascii="Calibri" w:hAnsi="Calibri" w:cs="Calibri"/>
          <w:sz w:val="24"/>
          <w:szCs w:val="24"/>
        </w:rPr>
        <w:t>UCT</w:t>
      </w:r>
      <w:r w:rsidRPr="00DD65C2">
        <w:rPr>
          <w:rFonts w:ascii="Calibri" w:hAnsi="Calibri" w:cs="Calibri"/>
          <w:sz w:val="24"/>
          <w:szCs w:val="24"/>
        </w:rPr>
        <w:t>’), the disparaging, scandalous and immoral clauses of the Lanham Act have now been struck down on First Amendment grounds.</w:t>
      </w:r>
      <w:r w:rsidRPr="00DD65C2">
        <w:rPr>
          <w:rStyle w:val="FootnoteReference"/>
          <w:rFonts w:ascii="Calibri" w:hAnsi="Calibri" w:cs="Calibri"/>
          <w:sz w:val="24"/>
          <w:szCs w:val="24"/>
        </w:rPr>
        <w:footnoteReference w:id="11"/>
      </w:r>
      <w:r w:rsidRPr="00DD65C2">
        <w:rPr>
          <w:rFonts w:ascii="Calibri" w:hAnsi="Calibri" w:cs="Calibri"/>
          <w:sz w:val="24"/>
          <w:szCs w:val="24"/>
        </w:rPr>
        <w:t xml:space="preserve"> A very different outcome to the ones we find in Europe, where freedom of expression plays</w:t>
      </w:r>
      <w:r w:rsidR="009F6ADF" w:rsidRPr="00DD65C2">
        <w:rPr>
          <w:rFonts w:ascii="Calibri" w:hAnsi="Calibri" w:cs="Calibri"/>
          <w:sz w:val="24"/>
          <w:szCs w:val="24"/>
        </w:rPr>
        <w:t xml:space="preserve"> a</w:t>
      </w:r>
      <w:r w:rsidRPr="00DD65C2">
        <w:rPr>
          <w:rFonts w:ascii="Calibri" w:hAnsi="Calibri" w:cs="Calibri"/>
          <w:sz w:val="24"/>
          <w:szCs w:val="24"/>
        </w:rPr>
        <w:t xml:space="preserve"> </w:t>
      </w:r>
      <w:r w:rsidR="009E6B24" w:rsidRPr="00DD65C2">
        <w:rPr>
          <w:rFonts w:ascii="Calibri" w:hAnsi="Calibri" w:cs="Calibri"/>
          <w:sz w:val="24"/>
          <w:szCs w:val="24"/>
        </w:rPr>
        <w:t>more modest</w:t>
      </w:r>
      <w:r w:rsidR="009F6ADF" w:rsidRPr="00DD65C2">
        <w:rPr>
          <w:rFonts w:ascii="Calibri" w:hAnsi="Calibri" w:cs="Calibri"/>
          <w:sz w:val="24"/>
          <w:szCs w:val="24"/>
        </w:rPr>
        <w:t xml:space="preserve"> role, if at all. Furthermore, free speech has been invoked in areas of trade mark law other than registration. </w:t>
      </w:r>
      <w:r w:rsidR="007E6922" w:rsidRPr="00DD65C2">
        <w:rPr>
          <w:rFonts w:ascii="Calibri" w:hAnsi="Calibri" w:cs="Calibri"/>
          <w:sz w:val="24"/>
          <w:szCs w:val="24"/>
        </w:rPr>
        <w:t>In infringement litigation, for instance, defendants are increasingly seeking to insulate their unauthorised uses of marks for expressive purposes on their Article 10 ECHR rights –with varying degrees of success throughout the EU.</w:t>
      </w:r>
      <w:r w:rsidR="007E6922" w:rsidRPr="00DD65C2">
        <w:rPr>
          <w:rStyle w:val="FootnoteReference"/>
          <w:rFonts w:ascii="Calibri" w:hAnsi="Calibri" w:cs="Calibri"/>
          <w:sz w:val="24"/>
          <w:szCs w:val="24"/>
        </w:rPr>
        <w:footnoteReference w:id="12"/>
      </w:r>
      <w:r w:rsidR="007E6922" w:rsidRPr="00DD65C2">
        <w:rPr>
          <w:rFonts w:ascii="Calibri" w:hAnsi="Calibri" w:cs="Calibri"/>
          <w:sz w:val="24"/>
          <w:szCs w:val="24"/>
        </w:rPr>
        <w:t xml:space="preserve"> </w:t>
      </w:r>
    </w:p>
    <w:p w14:paraId="1D1D7230" w14:textId="77777777" w:rsidR="009F6ADF" w:rsidRPr="00DD65C2" w:rsidRDefault="009F6ADF" w:rsidP="009F6ADF">
      <w:pPr>
        <w:pStyle w:val="FootnoteText"/>
        <w:jc w:val="both"/>
        <w:rPr>
          <w:rFonts w:ascii="Calibri" w:hAnsi="Calibri" w:cs="Calibri"/>
          <w:sz w:val="24"/>
          <w:szCs w:val="24"/>
        </w:rPr>
      </w:pPr>
    </w:p>
    <w:p w14:paraId="6D2B125B" w14:textId="0CF492A7" w:rsidR="00DB5BA7" w:rsidRPr="00DD65C2" w:rsidRDefault="00470792" w:rsidP="009F6ADF">
      <w:pPr>
        <w:pStyle w:val="FootnoteText"/>
        <w:jc w:val="both"/>
        <w:rPr>
          <w:rFonts w:ascii="Calibri" w:hAnsi="Calibri" w:cs="Calibri"/>
          <w:sz w:val="24"/>
          <w:szCs w:val="24"/>
        </w:rPr>
      </w:pPr>
      <w:r w:rsidRPr="00DD65C2">
        <w:rPr>
          <w:rFonts w:ascii="Calibri" w:hAnsi="Calibri" w:cs="Calibri"/>
          <w:sz w:val="24"/>
          <w:szCs w:val="24"/>
        </w:rPr>
        <w:t>This article</w:t>
      </w:r>
      <w:r w:rsidR="00B37290" w:rsidRPr="00DD65C2">
        <w:rPr>
          <w:rFonts w:ascii="Calibri" w:hAnsi="Calibri" w:cs="Calibri"/>
          <w:sz w:val="24"/>
          <w:szCs w:val="24"/>
        </w:rPr>
        <w:t xml:space="preserve"> does not explore the interaction between marks and speech in contexts other than registration</w:t>
      </w:r>
      <w:r w:rsidR="00DE46ED" w:rsidRPr="00DD65C2">
        <w:rPr>
          <w:rFonts w:ascii="Calibri" w:hAnsi="Calibri" w:cs="Calibri"/>
          <w:sz w:val="24"/>
          <w:szCs w:val="24"/>
        </w:rPr>
        <w:t>.</w:t>
      </w:r>
      <w:r w:rsidR="00B37290" w:rsidRPr="00DD65C2">
        <w:rPr>
          <w:rFonts w:ascii="Calibri" w:hAnsi="Calibri" w:cs="Calibri"/>
          <w:sz w:val="24"/>
          <w:szCs w:val="24"/>
        </w:rPr>
        <w:t xml:space="preserve"> </w:t>
      </w:r>
      <w:r w:rsidR="00DE46ED" w:rsidRPr="00DD65C2">
        <w:rPr>
          <w:rFonts w:ascii="Calibri" w:hAnsi="Calibri" w:cs="Calibri"/>
          <w:sz w:val="24"/>
          <w:szCs w:val="24"/>
        </w:rPr>
        <w:t xml:space="preserve">However, </w:t>
      </w:r>
      <w:r w:rsidR="00B37290" w:rsidRPr="00DD65C2">
        <w:rPr>
          <w:rFonts w:ascii="Calibri" w:hAnsi="Calibri" w:cs="Calibri"/>
          <w:sz w:val="24"/>
          <w:szCs w:val="24"/>
        </w:rPr>
        <w:t xml:space="preserve">awareness of the </w:t>
      </w:r>
      <w:r w:rsidR="00DE46ED" w:rsidRPr="00DD65C2">
        <w:rPr>
          <w:rFonts w:ascii="Calibri" w:hAnsi="Calibri" w:cs="Calibri"/>
          <w:sz w:val="24"/>
          <w:szCs w:val="24"/>
        </w:rPr>
        <w:t xml:space="preserve">full range of instances where </w:t>
      </w:r>
      <w:r w:rsidR="003F7948" w:rsidRPr="00DD65C2">
        <w:rPr>
          <w:rFonts w:ascii="Calibri" w:hAnsi="Calibri" w:cs="Calibri"/>
          <w:sz w:val="24"/>
          <w:szCs w:val="24"/>
        </w:rPr>
        <w:t>both sets of</w:t>
      </w:r>
      <w:r w:rsidR="00DE46ED" w:rsidRPr="00DD65C2">
        <w:rPr>
          <w:rFonts w:ascii="Calibri" w:hAnsi="Calibri" w:cs="Calibri"/>
          <w:sz w:val="24"/>
          <w:szCs w:val="24"/>
        </w:rPr>
        <w:t xml:space="preserve"> rights interact </w:t>
      </w:r>
      <w:r w:rsidR="003A47D6" w:rsidRPr="00DD65C2">
        <w:rPr>
          <w:rFonts w:ascii="Calibri" w:hAnsi="Calibri" w:cs="Calibri"/>
          <w:sz w:val="24"/>
          <w:szCs w:val="24"/>
        </w:rPr>
        <w:t>serves</w:t>
      </w:r>
      <w:r w:rsidR="00DE46ED" w:rsidRPr="00DD65C2">
        <w:rPr>
          <w:rFonts w:ascii="Calibri" w:hAnsi="Calibri" w:cs="Calibri"/>
          <w:sz w:val="24"/>
          <w:szCs w:val="24"/>
        </w:rPr>
        <w:t xml:space="preserve"> to highligh</w:t>
      </w:r>
      <w:r w:rsidR="003A47D6" w:rsidRPr="00DD65C2">
        <w:rPr>
          <w:rFonts w:ascii="Calibri" w:hAnsi="Calibri" w:cs="Calibri"/>
          <w:sz w:val="24"/>
          <w:szCs w:val="24"/>
        </w:rPr>
        <w:t>t</w:t>
      </w:r>
      <w:r w:rsidR="00DE46ED" w:rsidRPr="00DD65C2">
        <w:rPr>
          <w:rFonts w:ascii="Calibri" w:hAnsi="Calibri" w:cs="Calibri"/>
          <w:sz w:val="24"/>
          <w:szCs w:val="24"/>
        </w:rPr>
        <w:t xml:space="preserve"> the potential ramifications that a court’s finding in registration litigation could have in other areas of trade mark law. This</w:t>
      </w:r>
      <w:r w:rsidR="00584177" w:rsidRPr="00DD65C2">
        <w:rPr>
          <w:rFonts w:ascii="Calibri" w:hAnsi="Calibri" w:cs="Calibri"/>
          <w:sz w:val="24"/>
          <w:szCs w:val="24"/>
        </w:rPr>
        <w:t xml:space="preserve"> might, in turn,</w:t>
      </w:r>
      <w:r w:rsidR="00DE46ED" w:rsidRPr="00DD65C2">
        <w:rPr>
          <w:rFonts w:ascii="Calibri" w:hAnsi="Calibri" w:cs="Calibri"/>
          <w:sz w:val="24"/>
          <w:szCs w:val="24"/>
        </w:rPr>
        <w:t xml:space="preserve"> explain </w:t>
      </w:r>
      <w:r w:rsidR="00CA4514" w:rsidRPr="00DD65C2">
        <w:rPr>
          <w:rFonts w:ascii="Calibri" w:hAnsi="Calibri" w:cs="Calibri"/>
          <w:sz w:val="24"/>
          <w:szCs w:val="24"/>
        </w:rPr>
        <w:t>decision-maker</w:t>
      </w:r>
      <w:r w:rsidR="003F7948" w:rsidRPr="00DD65C2">
        <w:rPr>
          <w:rFonts w:ascii="Calibri" w:hAnsi="Calibri" w:cs="Calibri"/>
          <w:sz w:val="24"/>
          <w:szCs w:val="24"/>
        </w:rPr>
        <w:t>s’</w:t>
      </w:r>
      <w:r w:rsidR="00584177" w:rsidRPr="00DD65C2">
        <w:rPr>
          <w:rFonts w:ascii="Calibri" w:hAnsi="Calibri" w:cs="Calibri"/>
          <w:sz w:val="24"/>
          <w:szCs w:val="24"/>
        </w:rPr>
        <w:t xml:space="preserve"> –</w:t>
      </w:r>
      <w:r w:rsidR="00DE46ED" w:rsidRPr="00DD65C2">
        <w:rPr>
          <w:rFonts w:ascii="Calibri" w:hAnsi="Calibri" w:cs="Calibri"/>
          <w:sz w:val="24"/>
          <w:szCs w:val="24"/>
        </w:rPr>
        <w:t>and even scholars’</w:t>
      </w:r>
      <w:r w:rsidR="00584177" w:rsidRPr="00DD65C2">
        <w:rPr>
          <w:rFonts w:ascii="Calibri" w:hAnsi="Calibri" w:cs="Calibri"/>
          <w:sz w:val="24"/>
          <w:szCs w:val="24"/>
        </w:rPr>
        <w:t>–</w:t>
      </w:r>
      <w:r w:rsidR="00DE46ED" w:rsidRPr="00DD65C2">
        <w:rPr>
          <w:rFonts w:ascii="Calibri" w:hAnsi="Calibri" w:cs="Calibri"/>
          <w:sz w:val="24"/>
          <w:szCs w:val="24"/>
        </w:rPr>
        <w:t xml:space="preserve"> hesitation to </w:t>
      </w:r>
      <w:r w:rsidR="00584177" w:rsidRPr="00DD65C2">
        <w:rPr>
          <w:rFonts w:ascii="Calibri" w:hAnsi="Calibri" w:cs="Calibri"/>
          <w:sz w:val="24"/>
          <w:szCs w:val="24"/>
        </w:rPr>
        <w:t>fully engage with the complex questions raised by the interaction between marks and speech</w:t>
      </w:r>
      <w:r w:rsidR="00ED6097" w:rsidRPr="00DD65C2">
        <w:rPr>
          <w:rFonts w:ascii="Calibri" w:hAnsi="Calibri" w:cs="Calibri"/>
          <w:sz w:val="24"/>
          <w:szCs w:val="24"/>
        </w:rPr>
        <w:t xml:space="preserve"> to date</w:t>
      </w:r>
      <w:r w:rsidR="00584177" w:rsidRPr="00DD65C2">
        <w:rPr>
          <w:rFonts w:ascii="Calibri" w:hAnsi="Calibri" w:cs="Calibri"/>
          <w:sz w:val="24"/>
          <w:szCs w:val="24"/>
        </w:rPr>
        <w:t xml:space="preserve">. </w:t>
      </w:r>
      <w:r w:rsidR="00827296" w:rsidRPr="00DD65C2">
        <w:rPr>
          <w:rFonts w:ascii="Calibri" w:hAnsi="Calibri" w:cs="Calibri"/>
          <w:sz w:val="24"/>
          <w:szCs w:val="24"/>
        </w:rPr>
        <w:t>But this is likely not the only reason.</w:t>
      </w:r>
      <w:r w:rsidR="003A47D6" w:rsidRPr="00DD65C2">
        <w:rPr>
          <w:rFonts w:ascii="Calibri" w:hAnsi="Calibri" w:cs="Calibri"/>
          <w:sz w:val="24"/>
          <w:szCs w:val="24"/>
        </w:rPr>
        <w:t xml:space="preserve"> This interaction remains, for the most part, uncharted territory.</w:t>
      </w:r>
      <w:r w:rsidR="0071664E" w:rsidRPr="00DD65C2">
        <w:rPr>
          <w:rFonts w:ascii="Calibri" w:hAnsi="Calibri" w:cs="Calibri"/>
          <w:sz w:val="24"/>
          <w:szCs w:val="24"/>
        </w:rPr>
        <w:t xml:space="preserve"> </w:t>
      </w:r>
      <w:r w:rsidR="00827296" w:rsidRPr="00DD65C2">
        <w:rPr>
          <w:rFonts w:ascii="Calibri" w:hAnsi="Calibri" w:cs="Calibri"/>
          <w:sz w:val="24"/>
          <w:szCs w:val="24"/>
        </w:rPr>
        <w:t xml:space="preserve">The ways in which </w:t>
      </w:r>
      <w:r w:rsidR="00D86FFC" w:rsidRPr="00DD65C2">
        <w:rPr>
          <w:rFonts w:ascii="Calibri" w:hAnsi="Calibri" w:cs="Calibri"/>
          <w:sz w:val="24"/>
          <w:szCs w:val="24"/>
        </w:rPr>
        <w:t>both sets of rights</w:t>
      </w:r>
      <w:r w:rsidR="00827296" w:rsidRPr="00DD65C2">
        <w:rPr>
          <w:rFonts w:ascii="Calibri" w:hAnsi="Calibri" w:cs="Calibri"/>
          <w:sz w:val="24"/>
          <w:szCs w:val="24"/>
        </w:rPr>
        <w:t xml:space="preserve"> interact</w:t>
      </w:r>
      <w:r w:rsidR="00D86FFC" w:rsidRPr="00DD65C2">
        <w:rPr>
          <w:rFonts w:ascii="Calibri" w:hAnsi="Calibri" w:cs="Calibri"/>
          <w:sz w:val="24"/>
          <w:szCs w:val="24"/>
        </w:rPr>
        <w:t xml:space="preserve"> </w:t>
      </w:r>
      <w:r w:rsidR="00827296" w:rsidRPr="00DD65C2">
        <w:rPr>
          <w:rFonts w:ascii="Calibri" w:hAnsi="Calibri" w:cs="Calibri"/>
          <w:sz w:val="24"/>
          <w:szCs w:val="24"/>
        </w:rPr>
        <w:t>have not been sufficiently explored to date</w:t>
      </w:r>
      <w:r w:rsidR="00D86FFC" w:rsidRPr="00DD65C2">
        <w:rPr>
          <w:rFonts w:ascii="Calibri" w:hAnsi="Calibri" w:cs="Calibri"/>
          <w:sz w:val="24"/>
          <w:szCs w:val="24"/>
        </w:rPr>
        <w:t>, let alone the legal implications that ought to ensue from their interaction</w:t>
      </w:r>
      <w:r w:rsidR="00827296" w:rsidRPr="00DD65C2">
        <w:rPr>
          <w:rFonts w:ascii="Calibri" w:hAnsi="Calibri" w:cs="Calibri"/>
          <w:sz w:val="24"/>
          <w:szCs w:val="24"/>
        </w:rPr>
        <w:t xml:space="preserve">. </w:t>
      </w:r>
      <w:r w:rsidR="008D5F95" w:rsidRPr="00DD65C2">
        <w:rPr>
          <w:rFonts w:ascii="Calibri" w:hAnsi="Calibri" w:cs="Calibri"/>
          <w:sz w:val="24"/>
          <w:szCs w:val="24"/>
        </w:rPr>
        <w:t>There is no denying that</w:t>
      </w:r>
      <w:r w:rsidR="00827296" w:rsidRPr="00DD65C2">
        <w:rPr>
          <w:rFonts w:ascii="Calibri" w:hAnsi="Calibri" w:cs="Calibri"/>
          <w:sz w:val="24"/>
          <w:szCs w:val="24"/>
        </w:rPr>
        <w:t xml:space="preserve"> </w:t>
      </w:r>
      <w:r w:rsidR="008D5F95" w:rsidRPr="00DD65C2">
        <w:rPr>
          <w:rFonts w:ascii="Calibri" w:hAnsi="Calibri" w:cs="Calibri"/>
          <w:sz w:val="24"/>
          <w:szCs w:val="24"/>
        </w:rPr>
        <w:t>leading this</w:t>
      </w:r>
      <w:r w:rsidR="00827296" w:rsidRPr="00DD65C2">
        <w:rPr>
          <w:rFonts w:ascii="Calibri" w:hAnsi="Calibri" w:cs="Calibri"/>
          <w:sz w:val="24"/>
          <w:szCs w:val="24"/>
        </w:rPr>
        <w:t xml:space="preserve"> journey </w:t>
      </w:r>
      <w:r w:rsidR="00D86FFC" w:rsidRPr="00DD65C2">
        <w:rPr>
          <w:rFonts w:ascii="Calibri" w:hAnsi="Calibri" w:cs="Calibri"/>
          <w:sz w:val="24"/>
          <w:szCs w:val="24"/>
        </w:rPr>
        <w:t>can</w:t>
      </w:r>
      <w:r w:rsidR="00827296" w:rsidRPr="00DD65C2">
        <w:rPr>
          <w:rFonts w:ascii="Calibri" w:hAnsi="Calibri" w:cs="Calibri"/>
          <w:sz w:val="24"/>
          <w:szCs w:val="24"/>
        </w:rPr>
        <w:t xml:space="preserve"> be daunting</w:t>
      </w:r>
      <w:r w:rsidR="008D5F95" w:rsidRPr="00DD65C2">
        <w:rPr>
          <w:rFonts w:ascii="Calibri" w:hAnsi="Calibri" w:cs="Calibri"/>
          <w:sz w:val="24"/>
          <w:szCs w:val="24"/>
        </w:rPr>
        <w:t xml:space="preserve"> for </w:t>
      </w:r>
      <w:r w:rsidR="00CA4514" w:rsidRPr="00DD65C2">
        <w:rPr>
          <w:rFonts w:ascii="Calibri" w:hAnsi="Calibri" w:cs="Calibri"/>
          <w:sz w:val="24"/>
          <w:szCs w:val="24"/>
        </w:rPr>
        <w:t>decision-maker</w:t>
      </w:r>
      <w:r w:rsidR="008D5F95" w:rsidRPr="00DD65C2">
        <w:rPr>
          <w:rFonts w:ascii="Calibri" w:hAnsi="Calibri" w:cs="Calibri"/>
          <w:sz w:val="24"/>
          <w:szCs w:val="24"/>
        </w:rPr>
        <w:t>s</w:t>
      </w:r>
      <w:r w:rsidR="00827296" w:rsidRPr="00DD65C2">
        <w:rPr>
          <w:rFonts w:ascii="Calibri" w:hAnsi="Calibri" w:cs="Calibri"/>
          <w:sz w:val="24"/>
          <w:szCs w:val="24"/>
        </w:rPr>
        <w:t xml:space="preserve">. Insofar as marks are, at their core, units of language, the repercussions that </w:t>
      </w:r>
      <w:r w:rsidR="008D5F95" w:rsidRPr="00DD65C2">
        <w:rPr>
          <w:rFonts w:ascii="Calibri" w:hAnsi="Calibri" w:cs="Calibri"/>
          <w:sz w:val="24"/>
          <w:szCs w:val="24"/>
        </w:rPr>
        <w:t xml:space="preserve">the infusion of speech protection into trade mark law can have in the field are not only difficult to predict, but </w:t>
      </w:r>
      <w:r w:rsidR="008A6401" w:rsidRPr="00DD65C2">
        <w:rPr>
          <w:rFonts w:ascii="Calibri" w:hAnsi="Calibri" w:cs="Calibri"/>
          <w:sz w:val="24"/>
          <w:szCs w:val="24"/>
        </w:rPr>
        <w:t>potentially</w:t>
      </w:r>
      <w:r w:rsidR="008D5F95" w:rsidRPr="00DD65C2">
        <w:rPr>
          <w:rFonts w:ascii="Calibri" w:hAnsi="Calibri" w:cs="Calibri"/>
          <w:sz w:val="24"/>
          <w:szCs w:val="24"/>
        </w:rPr>
        <w:t xml:space="preserve"> far-reaching</w:t>
      </w:r>
      <w:r w:rsidR="008A6401" w:rsidRPr="00DD65C2">
        <w:rPr>
          <w:rFonts w:ascii="Calibri" w:hAnsi="Calibri" w:cs="Calibri"/>
          <w:sz w:val="24"/>
          <w:szCs w:val="24"/>
        </w:rPr>
        <w:t xml:space="preserve"> too.</w:t>
      </w:r>
      <w:r w:rsidR="00873483" w:rsidRPr="00DD65C2">
        <w:rPr>
          <w:rFonts w:ascii="Calibri" w:hAnsi="Calibri" w:cs="Calibri"/>
          <w:sz w:val="24"/>
          <w:szCs w:val="24"/>
        </w:rPr>
        <w:t xml:space="preserve"> </w:t>
      </w:r>
      <w:r w:rsidR="003F7948" w:rsidRPr="00DD65C2">
        <w:rPr>
          <w:rFonts w:ascii="Calibri" w:hAnsi="Calibri" w:cs="Calibri"/>
          <w:sz w:val="24"/>
          <w:szCs w:val="24"/>
        </w:rPr>
        <w:t>Nevertheless</w:t>
      </w:r>
      <w:r w:rsidR="006E1C1C" w:rsidRPr="00DD65C2">
        <w:rPr>
          <w:rFonts w:ascii="Calibri" w:hAnsi="Calibri" w:cs="Calibri"/>
          <w:sz w:val="24"/>
          <w:szCs w:val="24"/>
        </w:rPr>
        <w:t xml:space="preserve">, the time is ripe for </w:t>
      </w:r>
      <w:r w:rsidR="00CA4514" w:rsidRPr="00DD65C2">
        <w:rPr>
          <w:rFonts w:ascii="Calibri" w:hAnsi="Calibri" w:cs="Calibri"/>
          <w:sz w:val="24"/>
          <w:szCs w:val="24"/>
        </w:rPr>
        <w:t>decision-maker</w:t>
      </w:r>
      <w:r w:rsidR="003F7948" w:rsidRPr="00DD65C2">
        <w:rPr>
          <w:rFonts w:ascii="Calibri" w:hAnsi="Calibri" w:cs="Calibri"/>
          <w:sz w:val="24"/>
          <w:szCs w:val="24"/>
        </w:rPr>
        <w:t>s</w:t>
      </w:r>
      <w:r w:rsidR="006E1C1C" w:rsidRPr="00DD65C2">
        <w:rPr>
          <w:rFonts w:ascii="Calibri" w:hAnsi="Calibri" w:cs="Calibri"/>
          <w:sz w:val="24"/>
          <w:szCs w:val="24"/>
        </w:rPr>
        <w:t xml:space="preserve"> to shed ligh</w:t>
      </w:r>
      <w:r w:rsidR="00A15D45" w:rsidRPr="00DD65C2">
        <w:rPr>
          <w:rFonts w:ascii="Calibri" w:hAnsi="Calibri" w:cs="Calibri"/>
          <w:sz w:val="24"/>
          <w:szCs w:val="24"/>
        </w:rPr>
        <w:t xml:space="preserve">t </w:t>
      </w:r>
      <w:r w:rsidR="006E1C1C" w:rsidRPr="00DD65C2">
        <w:rPr>
          <w:rFonts w:ascii="Calibri" w:hAnsi="Calibri" w:cs="Calibri"/>
          <w:sz w:val="24"/>
          <w:szCs w:val="24"/>
        </w:rPr>
        <w:t xml:space="preserve">on </w:t>
      </w:r>
      <w:r w:rsidR="00B457B6" w:rsidRPr="00DD65C2">
        <w:rPr>
          <w:rFonts w:ascii="Calibri" w:hAnsi="Calibri" w:cs="Calibri"/>
          <w:sz w:val="24"/>
          <w:szCs w:val="24"/>
        </w:rPr>
        <w:t xml:space="preserve">this controversial topic. Otherwise, the lack of guidance on the relationship between marks and speech will lead to even higher degrees of </w:t>
      </w:r>
      <w:r w:rsidR="009E4B12" w:rsidRPr="00DD65C2">
        <w:rPr>
          <w:rFonts w:ascii="Calibri" w:hAnsi="Calibri" w:cs="Calibri"/>
          <w:sz w:val="24"/>
          <w:szCs w:val="24"/>
        </w:rPr>
        <w:t>unpredictability</w:t>
      </w:r>
      <w:r w:rsidR="00B457B6" w:rsidRPr="00DD65C2">
        <w:rPr>
          <w:rFonts w:ascii="Calibri" w:hAnsi="Calibri" w:cs="Calibri"/>
          <w:sz w:val="24"/>
          <w:szCs w:val="24"/>
        </w:rPr>
        <w:t xml:space="preserve"> in the coming years, further threatening the consistency of the field.</w:t>
      </w:r>
      <w:r w:rsidR="00ED6097" w:rsidRPr="00DD65C2">
        <w:rPr>
          <w:rFonts w:ascii="Calibri" w:hAnsi="Calibri" w:cs="Calibri"/>
          <w:sz w:val="24"/>
          <w:szCs w:val="24"/>
        </w:rPr>
        <w:t xml:space="preserve"> </w:t>
      </w:r>
    </w:p>
    <w:p w14:paraId="05D2E263" w14:textId="007ED8E3" w:rsidR="00754777" w:rsidRPr="00DD65C2" w:rsidRDefault="00754777" w:rsidP="00754777">
      <w:pPr>
        <w:jc w:val="both"/>
        <w:rPr>
          <w:rFonts w:ascii="Calibri" w:hAnsi="Calibri" w:cs="Calibri"/>
          <w:lang w:val="en-GB"/>
        </w:rPr>
      </w:pPr>
    </w:p>
    <w:p w14:paraId="3728041F" w14:textId="2607CEE9" w:rsidR="005616F9" w:rsidRPr="00DD65C2" w:rsidRDefault="00470792" w:rsidP="00754777">
      <w:pPr>
        <w:jc w:val="both"/>
        <w:rPr>
          <w:rFonts w:ascii="Calibri" w:hAnsi="Calibri" w:cs="Calibri"/>
          <w:lang w:val="en-GB"/>
        </w:rPr>
      </w:pPr>
      <w:r w:rsidRPr="00DD65C2">
        <w:rPr>
          <w:rFonts w:ascii="Calibri" w:hAnsi="Calibri" w:cs="Calibri"/>
          <w:lang w:val="en-GB"/>
        </w:rPr>
        <w:t>T</w:t>
      </w:r>
      <w:r w:rsidR="007177D1" w:rsidRPr="00DD65C2">
        <w:rPr>
          <w:rFonts w:ascii="Calibri" w:hAnsi="Calibri" w:cs="Calibri"/>
          <w:lang w:val="en-GB"/>
        </w:rPr>
        <w:t>he only way to prevent this is</w:t>
      </w:r>
      <w:r w:rsidR="008F2029" w:rsidRPr="00DD65C2">
        <w:rPr>
          <w:rFonts w:ascii="Calibri" w:hAnsi="Calibri" w:cs="Calibri"/>
          <w:lang w:val="en-GB"/>
        </w:rPr>
        <w:t xml:space="preserve"> –</w:t>
      </w:r>
      <w:r w:rsidR="007177D1" w:rsidRPr="00DD65C2">
        <w:rPr>
          <w:rFonts w:ascii="Calibri" w:hAnsi="Calibri" w:cs="Calibri"/>
          <w:lang w:val="en-GB"/>
        </w:rPr>
        <w:t>perhaps counterintuitively</w:t>
      </w:r>
      <w:r w:rsidR="008F2029" w:rsidRPr="00DD65C2">
        <w:rPr>
          <w:rFonts w:ascii="Calibri" w:hAnsi="Calibri" w:cs="Calibri"/>
          <w:lang w:val="en-GB"/>
        </w:rPr>
        <w:t>–</w:t>
      </w:r>
      <w:r w:rsidR="00A90159">
        <w:rPr>
          <w:rFonts w:ascii="Calibri" w:hAnsi="Calibri" w:cs="Calibri"/>
          <w:lang w:val="en-GB"/>
        </w:rPr>
        <w:t xml:space="preserve"> </w:t>
      </w:r>
      <w:r w:rsidR="007177D1" w:rsidRPr="00DD65C2">
        <w:rPr>
          <w:rFonts w:ascii="Calibri" w:hAnsi="Calibri" w:cs="Calibri"/>
          <w:lang w:val="en-GB"/>
        </w:rPr>
        <w:t xml:space="preserve">by moving away from the widespread notion that </w:t>
      </w:r>
      <w:r w:rsidR="009E4B12" w:rsidRPr="00DD65C2">
        <w:rPr>
          <w:rFonts w:ascii="Calibri" w:hAnsi="Calibri" w:cs="Calibri"/>
          <w:lang w:val="en-GB"/>
        </w:rPr>
        <w:t>inconsistencies</w:t>
      </w:r>
      <w:r w:rsidR="007177D1" w:rsidRPr="00DD65C2">
        <w:rPr>
          <w:rFonts w:ascii="Calibri" w:hAnsi="Calibri" w:cs="Calibri"/>
          <w:lang w:val="en-GB"/>
        </w:rPr>
        <w:t xml:space="preserve"> in this area of law </w:t>
      </w:r>
      <w:r w:rsidR="009E4B12" w:rsidRPr="00DD65C2">
        <w:rPr>
          <w:rFonts w:ascii="Calibri" w:hAnsi="Calibri" w:cs="Calibri"/>
          <w:lang w:val="en-GB"/>
        </w:rPr>
        <w:t>are</w:t>
      </w:r>
      <w:r w:rsidR="007177D1" w:rsidRPr="00DD65C2">
        <w:rPr>
          <w:rFonts w:ascii="Calibri" w:hAnsi="Calibri" w:cs="Calibri"/>
          <w:lang w:val="en-GB"/>
        </w:rPr>
        <w:t xml:space="preserve"> fundamentally the result of </w:t>
      </w:r>
      <w:r w:rsidR="00CA4514" w:rsidRPr="00DD65C2">
        <w:rPr>
          <w:rFonts w:ascii="Calibri" w:hAnsi="Calibri" w:cs="Calibri"/>
          <w:lang w:val="en-GB"/>
        </w:rPr>
        <w:t>decision-maker</w:t>
      </w:r>
      <w:r w:rsidR="007177D1" w:rsidRPr="00DD65C2">
        <w:rPr>
          <w:rFonts w:ascii="Calibri" w:hAnsi="Calibri" w:cs="Calibri"/>
          <w:lang w:val="en-GB"/>
        </w:rPr>
        <w:t xml:space="preserve">s’ inability to </w:t>
      </w:r>
      <w:r w:rsidR="00E747DB" w:rsidRPr="00DD65C2">
        <w:rPr>
          <w:rFonts w:ascii="Calibri" w:hAnsi="Calibri" w:cs="Calibri"/>
          <w:lang w:val="en-GB"/>
        </w:rPr>
        <w:t>address</w:t>
      </w:r>
      <w:r w:rsidR="007177D1" w:rsidRPr="00DD65C2">
        <w:rPr>
          <w:rFonts w:ascii="Calibri" w:hAnsi="Calibri" w:cs="Calibri"/>
          <w:lang w:val="en-GB"/>
        </w:rPr>
        <w:t xml:space="preserve"> the interaction between marks and speech</w:t>
      </w:r>
      <w:r w:rsidR="007C6CC4" w:rsidRPr="00DD65C2">
        <w:rPr>
          <w:rFonts w:ascii="Calibri" w:hAnsi="Calibri" w:cs="Calibri"/>
          <w:lang w:val="en-GB"/>
        </w:rPr>
        <w:t xml:space="preserve"> adequately</w:t>
      </w:r>
      <w:r w:rsidR="007177D1" w:rsidRPr="00DD65C2">
        <w:rPr>
          <w:rFonts w:ascii="Calibri" w:hAnsi="Calibri" w:cs="Calibri"/>
          <w:lang w:val="en-GB"/>
        </w:rPr>
        <w:t xml:space="preserve">. To this day, efforts by </w:t>
      </w:r>
      <w:r w:rsidR="00473C73" w:rsidRPr="00DD65C2">
        <w:rPr>
          <w:rFonts w:ascii="Calibri" w:hAnsi="Calibri" w:cs="Calibri"/>
          <w:lang w:val="en-GB"/>
        </w:rPr>
        <w:t>commentators</w:t>
      </w:r>
      <w:r w:rsidR="007177D1" w:rsidRPr="00DD65C2">
        <w:rPr>
          <w:rFonts w:ascii="Calibri" w:hAnsi="Calibri" w:cs="Calibri"/>
          <w:lang w:val="en-GB"/>
        </w:rPr>
        <w:t xml:space="preserve"> to bring clarity to the interpretation </w:t>
      </w:r>
      <w:r w:rsidR="007177D1" w:rsidRPr="00DD65C2">
        <w:rPr>
          <w:rFonts w:ascii="Calibri" w:hAnsi="Calibri" w:cs="Calibri"/>
          <w:lang w:val="en-GB"/>
        </w:rPr>
        <w:lastRenderedPageBreak/>
        <w:t>of the public policy</w:t>
      </w:r>
      <w:r w:rsidR="009F7290" w:rsidRPr="00DD65C2">
        <w:rPr>
          <w:rFonts w:ascii="Calibri" w:hAnsi="Calibri" w:cs="Calibri"/>
          <w:lang w:val="en-GB"/>
        </w:rPr>
        <w:t xml:space="preserve"> and </w:t>
      </w:r>
      <w:r w:rsidR="007177D1" w:rsidRPr="00DD65C2">
        <w:rPr>
          <w:rFonts w:ascii="Calibri" w:hAnsi="Calibri" w:cs="Calibri"/>
          <w:lang w:val="en-GB"/>
        </w:rPr>
        <w:t>morality exclusion</w:t>
      </w:r>
      <w:r w:rsidR="008F2029" w:rsidRPr="00DD65C2">
        <w:rPr>
          <w:rFonts w:ascii="Calibri" w:hAnsi="Calibri" w:cs="Calibri"/>
          <w:lang w:val="en-GB"/>
        </w:rPr>
        <w:t>s</w:t>
      </w:r>
      <w:r w:rsidR="007177D1" w:rsidRPr="00DD65C2">
        <w:rPr>
          <w:rFonts w:ascii="Calibri" w:hAnsi="Calibri" w:cs="Calibri"/>
          <w:lang w:val="en-GB"/>
        </w:rPr>
        <w:t xml:space="preserve"> have </w:t>
      </w:r>
      <w:r w:rsidR="00E747DB" w:rsidRPr="00DD65C2">
        <w:rPr>
          <w:rFonts w:ascii="Calibri" w:hAnsi="Calibri" w:cs="Calibri"/>
          <w:lang w:val="en-GB"/>
        </w:rPr>
        <w:t>focused</w:t>
      </w:r>
      <w:r w:rsidR="008F2029" w:rsidRPr="00DD65C2">
        <w:rPr>
          <w:rFonts w:ascii="Calibri" w:hAnsi="Calibri" w:cs="Calibri"/>
          <w:lang w:val="en-GB"/>
        </w:rPr>
        <w:t xml:space="preserve"> on this interaction.</w:t>
      </w:r>
      <w:r w:rsidR="002F6751" w:rsidRPr="00DD65C2">
        <w:rPr>
          <w:rStyle w:val="FootnoteReference"/>
          <w:rFonts w:ascii="Calibri" w:hAnsi="Calibri" w:cs="Calibri"/>
        </w:rPr>
        <w:footnoteReference w:id="13"/>
      </w:r>
      <w:r w:rsidR="008F2029" w:rsidRPr="00DD65C2">
        <w:rPr>
          <w:rFonts w:ascii="Calibri" w:hAnsi="Calibri" w:cs="Calibri"/>
          <w:lang w:val="en-GB"/>
        </w:rPr>
        <w:t xml:space="preserve"> This has been to the detriment of other aspects of Article 7(1)(f) EUTMR </w:t>
      </w:r>
      <w:r w:rsidR="005616F9" w:rsidRPr="00DD65C2">
        <w:rPr>
          <w:rFonts w:ascii="Calibri" w:hAnsi="Calibri" w:cs="Calibri"/>
          <w:lang w:val="en-GB"/>
        </w:rPr>
        <w:t>on which</w:t>
      </w:r>
      <w:r w:rsidR="008F2029" w:rsidRPr="00DD65C2">
        <w:rPr>
          <w:rFonts w:ascii="Calibri" w:hAnsi="Calibri" w:cs="Calibri"/>
          <w:lang w:val="en-GB"/>
        </w:rPr>
        <w:t xml:space="preserve"> European </w:t>
      </w:r>
      <w:r w:rsidR="00CA4514" w:rsidRPr="00DD65C2">
        <w:rPr>
          <w:rFonts w:ascii="Calibri" w:hAnsi="Calibri" w:cs="Calibri"/>
          <w:lang w:val="en-GB"/>
        </w:rPr>
        <w:t>decision-maker</w:t>
      </w:r>
      <w:r w:rsidR="008F2029" w:rsidRPr="00DD65C2">
        <w:rPr>
          <w:rFonts w:ascii="Calibri" w:hAnsi="Calibri" w:cs="Calibri"/>
          <w:lang w:val="en-GB"/>
        </w:rPr>
        <w:t>s have been unable to reach a consensus</w:t>
      </w:r>
      <w:r w:rsidR="005616F9" w:rsidRPr="00DD65C2">
        <w:rPr>
          <w:rFonts w:ascii="Calibri" w:hAnsi="Calibri" w:cs="Calibri"/>
          <w:lang w:val="en-GB"/>
        </w:rPr>
        <w:t xml:space="preserve">, </w:t>
      </w:r>
      <w:r w:rsidR="008F2029" w:rsidRPr="00DD65C2">
        <w:rPr>
          <w:rFonts w:ascii="Calibri" w:hAnsi="Calibri" w:cs="Calibri"/>
          <w:lang w:val="en-GB"/>
        </w:rPr>
        <w:t xml:space="preserve">which have remained largely unaddressed. The aim of this article is to bring these additional aspects </w:t>
      </w:r>
      <w:r w:rsidR="005616F9" w:rsidRPr="00DD65C2">
        <w:rPr>
          <w:rFonts w:ascii="Calibri" w:hAnsi="Calibri" w:cs="Calibri"/>
          <w:lang w:val="en-GB"/>
        </w:rPr>
        <w:t xml:space="preserve">to the forefront of the debate as well, proposing a holistic approach to redressing the inconsistencies identified in the field. </w:t>
      </w:r>
    </w:p>
    <w:p w14:paraId="3765483E" w14:textId="43914099" w:rsidR="005616F9" w:rsidRPr="00DD65C2" w:rsidRDefault="005616F9" w:rsidP="00754777">
      <w:pPr>
        <w:jc w:val="both"/>
        <w:rPr>
          <w:rFonts w:ascii="Calibri" w:hAnsi="Calibri" w:cs="Calibri"/>
          <w:lang w:val="en-GB"/>
        </w:rPr>
      </w:pPr>
    </w:p>
    <w:p w14:paraId="517E3A0F" w14:textId="7F20B9EF" w:rsidR="005616F9" w:rsidRPr="00DD65C2" w:rsidRDefault="005616F9" w:rsidP="005616F9">
      <w:pPr>
        <w:jc w:val="both"/>
        <w:rPr>
          <w:rFonts w:ascii="Calibri" w:hAnsi="Calibri" w:cs="Calibri"/>
          <w:lang w:val="en-GB"/>
        </w:rPr>
      </w:pPr>
      <w:r w:rsidRPr="00DD65C2">
        <w:rPr>
          <w:rFonts w:ascii="Calibri" w:hAnsi="Calibri" w:cs="Calibri"/>
          <w:lang w:val="en-GB"/>
        </w:rPr>
        <w:t xml:space="preserve">Current approaches to </w:t>
      </w:r>
      <w:r w:rsidR="000518AA" w:rsidRPr="00DD65C2">
        <w:rPr>
          <w:rFonts w:ascii="Calibri" w:hAnsi="Calibri" w:cs="Calibri"/>
          <w:lang w:val="en-GB"/>
        </w:rPr>
        <w:t>Article 7(1)(f) EUTMR</w:t>
      </w:r>
      <w:r w:rsidRPr="00DD65C2">
        <w:rPr>
          <w:rFonts w:ascii="Calibri" w:hAnsi="Calibri" w:cs="Calibri"/>
          <w:lang w:val="en-GB"/>
        </w:rPr>
        <w:t xml:space="preserve"> are also </w:t>
      </w:r>
      <w:r w:rsidR="00390459" w:rsidRPr="00DD65C2">
        <w:rPr>
          <w:rFonts w:ascii="Calibri" w:hAnsi="Calibri" w:cs="Calibri"/>
          <w:lang w:val="en-GB"/>
        </w:rPr>
        <w:t>inconsistent</w:t>
      </w:r>
      <w:r w:rsidRPr="00DD65C2">
        <w:rPr>
          <w:rFonts w:ascii="Calibri" w:hAnsi="Calibri" w:cs="Calibri"/>
          <w:lang w:val="en-GB"/>
        </w:rPr>
        <w:t xml:space="preserve"> as regards the correct interpretation of each ground for refusal, including: (a) </w:t>
      </w:r>
      <w:r w:rsidR="004474A4" w:rsidRPr="00DD65C2">
        <w:rPr>
          <w:rFonts w:ascii="Calibri" w:hAnsi="Calibri" w:cs="Calibri"/>
          <w:lang w:val="en-GB"/>
        </w:rPr>
        <w:t xml:space="preserve">their conceptual boundaries, i.e. </w:t>
      </w:r>
      <w:r w:rsidR="001842BA" w:rsidRPr="00DD65C2">
        <w:rPr>
          <w:rFonts w:ascii="Calibri" w:hAnsi="Calibri" w:cs="Calibri"/>
          <w:lang w:val="en-GB"/>
        </w:rPr>
        <w:t xml:space="preserve">whether </w:t>
      </w:r>
      <w:r w:rsidR="004474A4" w:rsidRPr="00DD65C2">
        <w:rPr>
          <w:rFonts w:ascii="Calibri" w:hAnsi="Calibri" w:cs="Calibri"/>
          <w:lang w:val="en-GB"/>
        </w:rPr>
        <w:t>they</w:t>
      </w:r>
      <w:r w:rsidR="001842BA" w:rsidRPr="00DD65C2">
        <w:rPr>
          <w:rFonts w:ascii="Calibri" w:hAnsi="Calibri" w:cs="Calibri"/>
          <w:lang w:val="en-GB"/>
        </w:rPr>
        <w:t xml:space="preserve"> overlap or, on the contrary,</w:t>
      </w:r>
      <w:r w:rsidR="004474A4" w:rsidRPr="00DD65C2">
        <w:rPr>
          <w:rFonts w:ascii="Calibri" w:hAnsi="Calibri" w:cs="Calibri"/>
          <w:lang w:val="en-GB"/>
        </w:rPr>
        <w:t xml:space="preserve"> they</w:t>
      </w:r>
      <w:r w:rsidR="001842BA" w:rsidRPr="00DD65C2">
        <w:rPr>
          <w:rFonts w:ascii="Calibri" w:hAnsi="Calibri" w:cs="Calibri"/>
          <w:lang w:val="en-GB"/>
        </w:rPr>
        <w:t xml:space="preserve"> impose different requirements on trade mark applicants;</w:t>
      </w:r>
      <w:r w:rsidR="000518AA" w:rsidRPr="00DD65C2">
        <w:rPr>
          <w:rStyle w:val="FootnoteReference"/>
          <w:rFonts w:ascii="Calibri" w:hAnsi="Calibri" w:cs="Calibri"/>
        </w:rPr>
        <w:footnoteReference w:id="14"/>
      </w:r>
      <w:r w:rsidR="001842BA" w:rsidRPr="00DD65C2">
        <w:rPr>
          <w:rFonts w:ascii="Calibri" w:hAnsi="Calibri" w:cs="Calibri"/>
          <w:lang w:val="en-GB"/>
        </w:rPr>
        <w:t xml:space="preserve"> (b) </w:t>
      </w:r>
      <w:r w:rsidR="006F702B" w:rsidRPr="00DD65C2">
        <w:rPr>
          <w:rFonts w:ascii="Calibri" w:hAnsi="Calibri" w:cs="Calibri"/>
          <w:lang w:val="en-GB"/>
        </w:rPr>
        <w:t xml:space="preserve">how to correctly define the relevant public for purposes of these exclusions; </w:t>
      </w:r>
      <w:r w:rsidRPr="00DD65C2">
        <w:rPr>
          <w:rFonts w:ascii="Calibri" w:hAnsi="Calibri" w:cs="Calibri"/>
          <w:lang w:val="en-GB"/>
        </w:rPr>
        <w:t>and (c) the test</w:t>
      </w:r>
      <w:r w:rsidR="00A90159">
        <w:rPr>
          <w:rFonts w:ascii="Calibri" w:hAnsi="Calibri" w:cs="Calibri"/>
          <w:lang w:val="en-GB"/>
        </w:rPr>
        <w:t>(</w:t>
      </w:r>
      <w:r w:rsidRPr="00DD65C2">
        <w:rPr>
          <w:rFonts w:ascii="Calibri" w:hAnsi="Calibri" w:cs="Calibri"/>
          <w:lang w:val="en-GB"/>
        </w:rPr>
        <w:t>s</w:t>
      </w:r>
      <w:r w:rsidR="00A90159">
        <w:rPr>
          <w:rFonts w:ascii="Calibri" w:hAnsi="Calibri" w:cs="Calibri"/>
          <w:lang w:val="en-GB"/>
        </w:rPr>
        <w:t>)</w:t>
      </w:r>
      <w:r w:rsidRPr="00DD65C2">
        <w:rPr>
          <w:rFonts w:ascii="Calibri" w:hAnsi="Calibri" w:cs="Calibri"/>
          <w:lang w:val="en-GB"/>
        </w:rPr>
        <w:t xml:space="preserve"> to be applied to determining whether an applied-for sign is immoral and/or contrary to public policy. The prevailing legal uncertainty in this area does not, therefore, result from one single source of </w:t>
      </w:r>
      <w:r w:rsidR="00214094" w:rsidRPr="00DD65C2">
        <w:rPr>
          <w:rFonts w:ascii="Calibri" w:hAnsi="Calibri" w:cs="Calibri"/>
          <w:lang w:val="en-GB"/>
        </w:rPr>
        <w:t>inconsistency</w:t>
      </w:r>
      <w:r w:rsidRPr="00DD65C2">
        <w:rPr>
          <w:rFonts w:ascii="Calibri" w:hAnsi="Calibri" w:cs="Calibri"/>
          <w:lang w:val="en-GB"/>
        </w:rPr>
        <w:t>, but rather has several ax</w:t>
      </w:r>
      <w:r w:rsidR="00A920C4" w:rsidRPr="00DD65C2">
        <w:rPr>
          <w:rFonts w:ascii="Calibri" w:hAnsi="Calibri" w:cs="Calibri"/>
          <w:lang w:val="en-GB"/>
        </w:rPr>
        <w:t>e</w:t>
      </w:r>
      <w:r w:rsidRPr="00DD65C2">
        <w:rPr>
          <w:rFonts w:ascii="Calibri" w:hAnsi="Calibri" w:cs="Calibri"/>
          <w:lang w:val="en-GB"/>
        </w:rPr>
        <w:t xml:space="preserve">s. Being aware of this diversity is crucial to properly engage with, and put an end to, </w:t>
      </w:r>
      <w:r w:rsidR="00CA4514" w:rsidRPr="00DD65C2">
        <w:rPr>
          <w:rFonts w:ascii="Calibri" w:hAnsi="Calibri" w:cs="Calibri"/>
          <w:lang w:val="en-GB"/>
        </w:rPr>
        <w:t>decision-maker</w:t>
      </w:r>
      <w:r w:rsidRPr="00DD65C2">
        <w:rPr>
          <w:rFonts w:ascii="Calibri" w:hAnsi="Calibri" w:cs="Calibri"/>
          <w:lang w:val="en-GB"/>
        </w:rPr>
        <w:t xml:space="preserve">s’ </w:t>
      </w:r>
      <w:r w:rsidR="00214094" w:rsidRPr="00DD65C2">
        <w:rPr>
          <w:rFonts w:ascii="Calibri" w:hAnsi="Calibri" w:cs="Calibri"/>
          <w:lang w:val="en-GB"/>
        </w:rPr>
        <w:t>contrasting</w:t>
      </w:r>
      <w:r w:rsidRPr="00DD65C2">
        <w:rPr>
          <w:rFonts w:ascii="Calibri" w:hAnsi="Calibri" w:cs="Calibri"/>
          <w:lang w:val="en-GB"/>
        </w:rPr>
        <w:t xml:space="preserve"> approach</w:t>
      </w:r>
      <w:r w:rsidR="00214094" w:rsidRPr="00DD65C2">
        <w:rPr>
          <w:rFonts w:ascii="Calibri" w:hAnsi="Calibri" w:cs="Calibri"/>
          <w:lang w:val="en-GB"/>
        </w:rPr>
        <w:t>es</w:t>
      </w:r>
      <w:r w:rsidRPr="00DD65C2">
        <w:rPr>
          <w:rFonts w:ascii="Calibri" w:hAnsi="Calibri" w:cs="Calibri"/>
          <w:lang w:val="en-GB"/>
        </w:rPr>
        <w:t xml:space="preserve"> to the interpretation of </w:t>
      </w:r>
      <w:r w:rsidR="000518AA" w:rsidRPr="00DD65C2">
        <w:rPr>
          <w:rFonts w:ascii="Calibri" w:hAnsi="Calibri" w:cs="Calibri"/>
          <w:lang w:val="en-GB"/>
        </w:rPr>
        <w:t>Article 7(1)(f) EUTMR</w:t>
      </w:r>
      <w:r w:rsidRPr="00DD65C2">
        <w:rPr>
          <w:rFonts w:ascii="Calibri" w:hAnsi="Calibri" w:cs="Calibri"/>
          <w:lang w:val="en-GB"/>
        </w:rPr>
        <w:t>. To this end, this article will study in detail all three ax</w:t>
      </w:r>
      <w:r w:rsidR="00CD6863" w:rsidRPr="00DD65C2">
        <w:rPr>
          <w:rFonts w:ascii="Calibri" w:hAnsi="Calibri" w:cs="Calibri"/>
          <w:lang w:val="en-GB"/>
        </w:rPr>
        <w:t>e</w:t>
      </w:r>
      <w:r w:rsidRPr="00DD65C2">
        <w:rPr>
          <w:rFonts w:ascii="Calibri" w:hAnsi="Calibri" w:cs="Calibri"/>
          <w:lang w:val="en-GB"/>
        </w:rPr>
        <w:t xml:space="preserve">s of </w:t>
      </w:r>
      <w:r w:rsidR="00214094" w:rsidRPr="00DD65C2">
        <w:rPr>
          <w:rFonts w:ascii="Calibri" w:hAnsi="Calibri" w:cs="Calibri"/>
          <w:lang w:val="en-GB"/>
        </w:rPr>
        <w:t>inconsistency</w:t>
      </w:r>
      <w:r w:rsidRPr="00DD65C2">
        <w:rPr>
          <w:rFonts w:ascii="Calibri" w:hAnsi="Calibri" w:cs="Calibri"/>
          <w:lang w:val="en-GB"/>
        </w:rPr>
        <w:t xml:space="preserve"> identified</w:t>
      </w:r>
      <w:r w:rsidR="001917D7" w:rsidRPr="00DD65C2">
        <w:rPr>
          <w:rFonts w:ascii="Calibri" w:hAnsi="Calibri" w:cs="Calibri"/>
          <w:lang w:val="en-GB"/>
        </w:rPr>
        <w:t>,</w:t>
      </w:r>
      <w:r w:rsidRPr="00DD65C2">
        <w:rPr>
          <w:rFonts w:ascii="Calibri" w:hAnsi="Calibri" w:cs="Calibri"/>
          <w:lang w:val="en-GB"/>
        </w:rPr>
        <w:t xml:space="preserve"> in addition to the interaction between marks and speech.</w:t>
      </w:r>
    </w:p>
    <w:p w14:paraId="366811C3" w14:textId="77777777" w:rsidR="005616F9" w:rsidRPr="00DD65C2" w:rsidRDefault="005616F9" w:rsidP="00754777">
      <w:pPr>
        <w:jc w:val="both"/>
        <w:rPr>
          <w:rFonts w:ascii="Calibri" w:hAnsi="Calibri" w:cs="Calibri"/>
          <w:lang w:val="en-GB"/>
        </w:rPr>
      </w:pPr>
    </w:p>
    <w:p w14:paraId="6B7D964E" w14:textId="41D6DB28" w:rsidR="002F6751" w:rsidRPr="00DD65C2" w:rsidRDefault="00C06B9E" w:rsidP="002F6751">
      <w:pPr>
        <w:jc w:val="both"/>
        <w:rPr>
          <w:rFonts w:ascii="Calibri" w:hAnsi="Calibri" w:cs="Calibri"/>
          <w:lang w:val="en-GB"/>
        </w:rPr>
      </w:pPr>
      <w:r w:rsidRPr="00DD65C2">
        <w:rPr>
          <w:rFonts w:ascii="Calibri" w:hAnsi="Calibri" w:cs="Calibri"/>
          <w:lang w:val="en-GB"/>
        </w:rPr>
        <w:t>T</w:t>
      </w:r>
      <w:r w:rsidR="002F6751" w:rsidRPr="00DD65C2">
        <w:rPr>
          <w:rFonts w:ascii="Calibri" w:hAnsi="Calibri" w:cs="Calibri"/>
          <w:lang w:val="en-GB"/>
        </w:rPr>
        <w:t>his article</w:t>
      </w:r>
      <w:r w:rsidR="00D55809" w:rsidRPr="00DD65C2">
        <w:rPr>
          <w:rFonts w:ascii="Calibri" w:hAnsi="Calibri" w:cs="Calibri"/>
          <w:lang w:val="en-GB"/>
        </w:rPr>
        <w:t xml:space="preserve"> </w:t>
      </w:r>
      <w:r w:rsidR="009E6B24" w:rsidRPr="00DD65C2">
        <w:rPr>
          <w:rFonts w:ascii="Calibri" w:hAnsi="Calibri" w:cs="Calibri"/>
          <w:lang w:val="en-GB"/>
        </w:rPr>
        <w:t xml:space="preserve">will </w:t>
      </w:r>
      <w:r w:rsidR="00214094" w:rsidRPr="00DD65C2">
        <w:rPr>
          <w:rFonts w:ascii="Calibri" w:hAnsi="Calibri" w:cs="Calibri"/>
          <w:lang w:val="en-GB"/>
        </w:rPr>
        <w:t>seek to move</w:t>
      </w:r>
      <w:r w:rsidR="00D55809" w:rsidRPr="00DD65C2">
        <w:rPr>
          <w:rFonts w:ascii="Calibri" w:hAnsi="Calibri" w:cs="Calibri"/>
          <w:lang w:val="en-GB"/>
        </w:rPr>
        <w:t xml:space="preserve"> us forward in</w:t>
      </w:r>
      <w:r w:rsidR="00214094" w:rsidRPr="00DD65C2">
        <w:rPr>
          <w:rFonts w:ascii="Calibri" w:hAnsi="Calibri" w:cs="Calibri"/>
          <w:lang w:val="en-GB"/>
        </w:rPr>
        <w:t xml:space="preserve"> our understanding of the public policy and morality exclusion</w:t>
      </w:r>
      <w:r w:rsidR="009E6B24" w:rsidRPr="00DD65C2">
        <w:rPr>
          <w:rFonts w:ascii="Calibri" w:hAnsi="Calibri" w:cs="Calibri"/>
          <w:lang w:val="en-GB"/>
        </w:rPr>
        <w:t>s</w:t>
      </w:r>
      <w:r w:rsidR="00214094" w:rsidRPr="00DD65C2">
        <w:rPr>
          <w:rFonts w:ascii="Calibri" w:hAnsi="Calibri" w:cs="Calibri"/>
          <w:lang w:val="en-GB"/>
        </w:rPr>
        <w:t xml:space="preserve"> in</w:t>
      </w:r>
      <w:r w:rsidR="00D55809" w:rsidRPr="00DD65C2">
        <w:rPr>
          <w:rFonts w:ascii="Calibri" w:hAnsi="Calibri" w:cs="Calibri"/>
          <w:lang w:val="en-GB"/>
        </w:rPr>
        <w:t xml:space="preserve"> </w:t>
      </w:r>
      <w:r w:rsidR="009E6B24" w:rsidRPr="00DD65C2">
        <w:rPr>
          <w:rFonts w:ascii="Calibri" w:hAnsi="Calibri" w:cs="Calibri"/>
          <w:lang w:val="en-GB"/>
        </w:rPr>
        <w:t>two</w:t>
      </w:r>
      <w:r w:rsidR="00D55809" w:rsidRPr="00DD65C2">
        <w:rPr>
          <w:rFonts w:ascii="Calibri" w:hAnsi="Calibri" w:cs="Calibri"/>
          <w:lang w:val="en-GB"/>
        </w:rPr>
        <w:t xml:space="preserve"> other ways</w:t>
      </w:r>
      <w:r w:rsidR="002F6751" w:rsidRPr="00DD65C2">
        <w:rPr>
          <w:rFonts w:ascii="Calibri" w:hAnsi="Calibri" w:cs="Calibri"/>
          <w:lang w:val="en-GB"/>
        </w:rPr>
        <w:t>. First, and precisely as a result of the previous shortcoming, existing materials on this topic have failed to address how the different ax</w:t>
      </w:r>
      <w:r w:rsidR="00CD6863" w:rsidRPr="00DD65C2">
        <w:rPr>
          <w:rFonts w:ascii="Calibri" w:hAnsi="Calibri" w:cs="Calibri"/>
          <w:lang w:val="en-GB"/>
        </w:rPr>
        <w:t>e</w:t>
      </w:r>
      <w:r w:rsidR="002F6751" w:rsidRPr="00DD65C2">
        <w:rPr>
          <w:rFonts w:ascii="Calibri" w:hAnsi="Calibri" w:cs="Calibri"/>
          <w:lang w:val="en-GB"/>
        </w:rPr>
        <w:t xml:space="preserve">s of </w:t>
      </w:r>
      <w:r w:rsidR="00214094" w:rsidRPr="00DD65C2">
        <w:rPr>
          <w:rFonts w:ascii="Calibri" w:hAnsi="Calibri" w:cs="Calibri"/>
          <w:lang w:val="en-GB"/>
        </w:rPr>
        <w:t>inconsistency</w:t>
      </w:r>
      <w:r w:rsidR="002F6751" w:rsidRPr="00DD65C2">
        <w:rPr>
          <w:rFonts w:ascii="Calibri" w:hAnsi="Calibri" w:cs="Calibri"/>
          <w:lang w:val="en-GB"/>
        </w:rPr>
        <w:t xml:space="preserve"> relate to each other. Insofar as the different areas where </w:t>
      </w:r>
      <w:r w:rsidR="00CA4514" w:rsidRPr="00DD65C2">
        <w:rPr>
          <w:rFonts w:ascii="Calibri" w:hAnsi="Calibri" w:cs="Calibri"/>
          <w:lang w:val="en-GB"/>
        </w:rPr>
        <w:t>decision-maker</w:t>
      </w:r>
      <w:r w:rsidR="00A920C4" w:rsidRPr="00DD65C2">
        <w:rPr>
          <w:rFonts w:ascii="Calibri" w:hAnsi="Calibri" w:cs="Calibri"/>
          <w:lang w:val="en-GB"/>
        </w:rPr>
        <w:t>s</w:t>
      </w:r>
      <w:r w:rsidR="002F6751" w:rsidRPr="00DD65C2">
        <w:rPr>
          <w:rFonts w:ascii="Calibri" w:hAnsi="Calibri" w:cs="Calibri"/>
          <w:lang w:val="en-GB"/>
        </w:rPr>
        <w:t xml:space="preserve"> have not reached a consensus do not operate in a vacuum, understanding how they influence each other is key to proposing interpretations that can put an end to the </w:t>
      </w:r>
      <w:r w:rsidR="00A920C4" w:rsidRPr="00DD65C2">
        <w:rPr>
          <w:rFonts w:ascii="Calibri" w:hAnsi="Calibri" w:cs="Calibri"/>
          <w:lang w:val="en-GB"/>
        </w:rPr>
        <w:t>prevailing</w:t>
      </w:r>
      <w:r w:rsidR="00214094" w:rsidRPr="00DD65C2">
        <w:rPr>
          <w:rFonts w:ascii="Calibri" w:hAnsi="Calibri" w:cs="Calibri"/>
          <w:lang w:val="en-GB"/>
        </w:rPr>
        <w:t xml:space="preserve"> uncertainty</w:t>
      </w:r>
      <w:r w:rsidR="002F6751" w:rsidRPr="00DD65C2">
        <w:rPr>
          <w:rFonts w:ascii="Calibri" w:hAnsi="Calibri" w:cs="Calibri"/>
          <w:lang w:val="en-GB"/>
        </w:rPr>
        <w:t>. This article will aim to show how the different ax</w:t>
      </w:r>
      <w:r w:rsidR="00CD6863" w:rsidRPr="00DD65C2">
        <w:rPr>
          <w:rFonts w:ascii="Calibri" w:hAnsi="Calibri" w:cs="Calibri"/>
          <w:lang w:val="en-GB"/>
        </w:rPr>
        <w:t>e</w:t>
      </w:r>
      <w:r w:rsidR="002F6751" w:rsidRPr="00DD65C2">
        <w:rPr>
          <w:rFonts w:ascii="Calibri" w:hAnsi="Calibri" w:cs="Calibri"/>
          <w:lang w:val="en-GB"/>
        </w:rPr>
        <w:t xml:space="preserve">s of </w:t>
      </w:r>
      <w:r w:rsidR="00214094" w:rsidRPr="00DD65C2">
        <w:rPr>
          <w:rFonts w:ascii="Calibri" w:hAnsi="Calibri" w:cs="Calibri"/>
          <w:lang w:val="en-GB"/>
        </w:rPr>
        <w:t>inconsistency</w:t>
      </w:r>
      <w:r w:rsidR="002F6751" w:rsidRPr="00DD65C2">
        <w:rPr>
          <w:rFonts w:ascii="Calibri" w:hAnsi="Calibri" w:cs="Calibri"/>
          <w:lang w:val="en-GB"/>
        </w:rPr>
        <w:t xml:space="preserve"> identified are, to a large extent, intertwined</w:t>
      </w:r>
      <w:r w:rsidR="00CB064E" w:rsidRPr="00DD65C2">
        <w:rPr>
          <w:rFonts w:ascii="Calibri" w:hAnsi="Calibri" w:cs="Calibri"/>
          <w:lang w:val="en-GB"/>
        </w:rPr>
        <w:t>, i.e. each axis</w:t>
      </w:r>
      <w:r w:rsidR="002F6751" w:rsidRPr="00DD65C2">
        <w:rPr>
          <w:rFonts w:ascii="Calibri" w:hAnsi="Calibri" w:cs="Calibri"/>
          <w:lang w:val="en-GB"/>
        </w:rPr>
        <w:t xml:space="preserve"> is the result, and contributes to, the others. For instance, </w:t>
      </w:r>
      <w:r w:rsidR="00CA4514" w:rsidRPr="00DD65C2">
        <w:rPr>
          <w:rFonts w:ascii="Calibri" w:hAnsi="Calibri" w:cs="Calibri"/>
          <w:lang w:val="en-GB"/>
        </w:rPr>
        <w:t>decision-maker</w:t>
      </w:r>
      <w:r w:rsidR="003F0B08" w:rsidRPr="00DD65C2">
        <w:rPr>
          <w:rFonts w:ascii="Calibri" w:hAnsi="Calibri" w:cs="Calibri"/>
          <w:lang w:val="en-GB"/>
        </w:rPr>
        <w:t>s’</w:t>
      </w:r>
      <w:r w:rsidR="002F6751" w:rsidRPr="00DD65C2">
        <w:rPr>
          <w:rFonts w:ascii="Calibri" w:hAnsi="Calibri" w:cs="Calibri"/>
          <w:lang w:val="en-GB"/>
        </w:rPr>
        <w:t xml:space="preserve"> inability to reach a common position on whether speech protection is implicated in the registration context greatly determines how they interpret the morality and public policy exclusions, notably their applicable test(s). </w:t>
      </w:r>
    </w:p>
    <w:p w14:paraId="1150C168" w14:textId="77777777" w:rsidR="007177D1" w:rsidRPr="00DD65C2" w:rsidRDefault="007177D1" w:rsidP="00754777">
      <w:pPr>
        <w:jc w:val="both"/>
        <w:rPr>
          <w:rFonts w:ascii="Calibri" w:hAnsi="Calibri" w:cs="Calibri"/>
          <w:lang w:val="en-GB"/>
        </w:rPr>
      </w:pPr>
    </w:p>
    <w:p w14:paraId="228529BF" w14:textId="11930098" w:rsidR="005061DF" w:rsidRPr="00DD65C2" w:rsidRDefault="002F6751" w:rsidP="007E6922">
      <w:pPr>
        <w:jc w:val="both"/>
        <w:rPr>
          <w:rFonts w:ascii="Calibri" w:hAnsi="Calibri" w:cs="Calibri"/>
          <w:lang w:val="en-GB"/>
        </w:rPr>
      </w:pPr>
      <w:r w:rsidRPr="00DD65C2">
        <w:rPr>
          <w:rFonts w:ascii="Calibri" w:hAnsi="Calibri" w:cs="Calibri"/>
          <w:lang w:val="en-GB"/>
        </w:rPr>
        <w:t xml:space="preserve">And, second, as regards the interaction between marks and speech, attempts at exploring this interaction </w:t>
      </w:r>
      <w:r w:rsidR="00916F9A" w:rsidRPr="00DD65C2">
        <w:rPr>
          <w:rFonts w:ascii="Calibri" w:hAnsi="Calibri" w:cs="Calibri"/>
          <w:lang w:val="en-GB"/>
        </w:rPr>
        <w:t xml:space="preserve">in the registration context are characterised by a lack of </w:t>
      </w:r>
      <w:r w:rsidR="00916F9A" w:rsidRPr="00DD65C2">
        <w:rPr>
          <w:rFonts w:ascii="Calibri" w:hAnsi="Calibri" w:cs="Calibri"/>
          <w:lang w:val="en-GB"/>
        </w:rPr>
        <w:lastRenderedPageBreak/>
        <w:t xml:space="preserve">nuance. This is </w:t>
      </w:r>
      <w:r w:rsidR="008042D0" w:rsidRPr="00DD65C2">
        <w:rPr>
          <w:rFonts w:ascii="Calibri" w:hAnsi="Calibri" w:cs="Calibri"/>
          <w:lang w:val="en-GB"/>
        </w:rPr>
        <w:t xml:space="preserve">partly </w:t>
      </w:r>
      <w:r w:rsidR="00916F9A" w:rsidRPr="00DD65C2">
        <w:rPr>
          <w:rFonts w:ascii="Calibri" w:hAnsi="Calibri" w:cs="Calibri"/>
          <w:lang w:val="en-GB"/>
        </w:rPr>
        <w:t>due</w:t>
      </w:r>
      <w:r w:rsidR="008042D0" w:rsidRPr="00DD65C2">
        <w:rPr>
          <w:rFonts w:ascii="Calibri" w:hAnsi="Calibri" w:cs="Calibri"/>
          <w:lang w:val="en-GB"/>
        </w:rPr>
        <w:t xml:space="preserve"> </w:t>
      </w:r>
      <w:r w:rsidR="00916F9A" w:rsidRPr="00DD65C2">
        <w:rPr>
          <w:rFonts w:ascii="Calibri" w:hAnsi="Calibri" w:cs="Calibri"/>
          <w:lang w:val="en-GB"/>
        </w:rPr>
        <w:t xml:space="preserve">to </w:t>
      </w:r>
      <w:r w:rsidR="00CA4514" w:rsidRPr="00DD65C2">
        <w:rPr>
          <w:rFonts w:ascii="Calibri" w:hAnsi="Calibri" w:cs="Calibri"/>
          <w:lang w:val="en-GB"/>
        </w:rPr>
        <w:t>decision-maker</w:t>
      </w:r>
      <w:r w:rsidR="00333F9D" w:rsidRPr="00DD65C2">
        <w:rPr>
          <w:rFonts w:ascii="Calibri" w:hAnsi="Calibri" w:cs="Calibri"/>
          <w:lang w:val="en-GB"/>
        </w:rPr>
        <w:t>s’</w:t>
      </w:r>
      <w:r w:rsidR="00916F9A" w:rsidRPr="00DD65C2">
        <w:rPr>
          <w:rFonts w:ascii="Calibri" w:hAnsi="Calibri" w:cs="Calibri"/>
          <w:lang w:val="en-GB"/>
        </w:rPr>
        <w:t xml:space="preserve"> failure to conduct a detailed analysis of the ways in which refusals </w:t>
      </w:r>
      <w:r w:rsidR="00DB20D2" w:rsidRPr="00DD65C2">
        <w:rPr>
          <w:rFonts w:ascii="Calibri" w:hAnsi="Calibri" w:cs="Calibri"/>
          <w:lang w:val="en-GB"/>
        </w:rPr>
        <w:t>of</w:t>
      </w:r>
      <w:r w:rsidR="00916F9A" w:rsidRPr="00DD65C2">
        <w:rPr>
          <w:rFonts w:ascii="Calibri" w:hAnsi="Calibri" w:cs="Calibri"/>
          <w:lang w:val="en-GB"/>
        </w:rPr>
        <w:t xml:space="preserve"> registration can impact applicants’ speech interests. </w:t>
      </w:r>
      <w:r w:rsidR="00333F9D" w:rsidRPr="00DD65C2">
        <w:rPr>
          <w:rFonts w:ascii="Calibri" w:hAnsi="Calibri" w:cs="Calibri"/>
          <w:lang w:val="en-GB"/>
        </w:rPr>
        <w:t>Trade mark offices and appeal courts</w:t>
      </w:r>
      <w:r w:rsidR="00916F9A" w:rsidRPr="00DD65C2">
        <w:rPr>
          <w:rFonts w:ascii="Calibri" w:hAnsi="Calibri" w:cs="Calibri"/>
          <w:lang w:val="en-GB"/>
        </w:rPr>
        <w:t xml:space="preserve"> cannot be expected to navigate the interaction between marks and speech adequately if they lack a robust understanding of the underlying policy considerations. </w:t>
      </w:r>
      <w:r w:rsidR="009E6B24" w:rsidRPr="00DD65C2">
        <w:rPr>
          <w:rFonts w:ascii="Calibri" w:hAnsi="Calibri" w:cs="Calibri"/>
          <w:lang w:val="en-GB"/>
        </w:rPr>
        <w:t>Furthermore</w:t>
      </w:r>
      <w:r w:rsidR="008136AA" w:rsidRPr="00DD65C2">
        <w:rPr>
          <w:rFonts w:ascii="Calibri" w:hAnsi="Calibri" w:cs="Calibri"/>
          <w:lang w:val="en-GB"/>
        </w:rPr>
        <w:t xml:space="preserve">, </w:t>
      </w:r>
      <w:r w:rsidR="00070BAA" w:rsidRPr="00DD65C2">
        <w:rPr>
          <w:rFonts w:ascii="Calibri" w:hAnsi="Calibri" w:cs="Calibri"/>
          <w:lang w:val="en-GB"/>
        </w:rPr>
        <w:t xml:space="preserve">the vast majority of </w:t>
      </w:r>
      <w:r w:rsidR="00CA4514" w:rsidRPr="00DD65C2">
        <w:rPr>
          <w:rFonts w:ascii="Calibri" w:hAnsi="Calibri" w:cs="Calibri"/>
          <w:lang w:val="en-GB"/>
        </w:rPr>
        <w:t>decision-maker</w:t>
      </w:r>
      <w:r w:rsidR="008136AA" w:rsidRPr="00DD65C2">
        <w:rPr>
          <w:rFonts w:ascii="Calibri" w:hAnsi="Calibri" w:cs="Calibri"/>
          <w:lang w:val="en-GB"/>
        </w:rPr>
        <w:t xml:space="preserve">s hearing registration cases seem to lack </w:t>
      </w:r>
      <w:r w:rsidR="00642333" w:rsidRPr="00DD65C2">
        <w:rPr>
          <w:rFonts w:ascii="Calibri" w:hAnsi="Calibri" w:cs="Calibri"/>
          <w:lang w:val="en-GB"/>
        </w:rPr>
        <w:t xml:space="preserve">the required familiarity with the </w:t>
      </w:r>
      <w:r w:rsidR="00645F7A" w:rsidRPr="00DD65C2">
        <w:rPr>
          <w:rFonts w:ascii="Calibri" w:hAnsi="Calibri" w:cs="Calibri"/>
          <w:lang w:val="en-GB"/>
        </w:rPr>
        <w:t>legal</w:t>
      </w:r>
      <w:r w:rsidR="00642333" w:rsidRPr="00DD65C2">
        <w:rPr>
          <w:rFonts w:ascii="Calibri" w:hAnsi="Calibri" w:cs="Calibri"/>
          <w:lang w:val="en-GB"/>
        </w:rPr>
        <w:t xml:space="preserve"> test </w:t>
      </w:r>
      <w:r w:rsidR="00645F7A" w:rsidRPr="00DD65C2">
        <w:rPr>
          <w:rFonts w:ascii="Calibri" w:hAnsi="Calibri" w:cs="Calibri"/>
          <w:lang w:val="en-GB"/>
        </w:rPr>
        <w:t xml:space="preserve">developed by the European Court of Human Rights (ECtHR) </w:t>
      </w:r>
      <w:r w:rsidR="00642333" w:rsidRPr="00DD65C2">
        <w:rPr>
          <w:rFonts w:ascii="Calibri" w:hAnsi="Calibri" w:cs="Calibri"/>
          <w:lang w:val="en-GB"/>
        </w:rPr>
        <w:t>under Article 10 ECHR to undertake a solid assessment of the compatibility of refusals of registration with speech requirements.</w:t>
      </w:r>
      <w:r w:rsidR="003007D7" w:rsidRPr="00DD65C2">
        <w:rPr>
          <w:rFonts w:ascii="Calibri" w:hAnsi="Calibri" w:cs="Calibri"/>
          <w:lang w:val="en-GB"/>
        </w:rPr>
        <w:t xml:space="preserve"> </w:t>
      </w:r>
      <w:r w:rsidR="00651437" w:rsidRPr="00DD65C2">
        <w:rPr>
          <w:rFonts w:ascii="Calibri" w:hAnsi="Calibri" w:cs="Calibri"/>
          <w:lang w:val="en-GB"/>
        </w:rPr>
        <w:t xml:space="preserve">Although </w:t>
      </w:r>
      <w:r w:rsidR="00333F9D" w:rsidRPr="00DD65C2">
        <w:rPr>
          <w:rFonts w:ascii="Calibri" w:hAnsi="Calibri" w:cs="Calibri"/>
          <w:lang w:val="en-GB"/>
        </w:rPr>
        <w:t>their</w:t>
      </w:r>
      <w:r w:rsidR="00651437" w:rsidRPr="00DD65C2">
        <w:rPr>
          <w:rFonts w:ascii="Calibri" w:hAnsi="Calibri" w:cs="Calibri"/>
          <w:lang w:val="en-GB"/>
        </w:rPr>
        <w:t xml:space="preserve"> analys</w:t>
      </w:r>
      <w:r w:rsidR="00B92ECD" w:rsidRPr="00DD65C2">
        <w:rPr>
          <w:rFonts w:ascii="Calibri" w:hAnsi="Calibri" w:cs="Calibri"/>
          <w:lang w:val="en-GB"/>
        </w:rPr>
        <w:t>e</w:t>
      </w:r>
      <w:r w:rsidR="00651437" w:rsidRPr="00DD65C2">
        <w:rPr>
          <w:rFonts w:ascii="Calibri" w:hAnsi="Calibri" w:cs="Calibri"/>
          <w:lang w:val="en-GB"/>
        </w:rPr>
        <w:t xml:space="preserve">s of applicants’ speech concerns </w:t>
      </w:r>
      <w:r w:rsidR="00B92ECD" w:rsidRPr="00DD65C2">
        <w:rPr>
          <w:rFonts w:ascii="Calibri" w:hAnsi="Calibri" w:cs="Calibri"/>
          <w:lang w:val="en-GB"/>
        </w:rPr>
        <w:t xml:space="preserve">are </w:t>
      </w:r>
      <w:r w:rsidR="003007D7" w:rsidRPr="00DD65C2">
        <w:rPr>
          <w:rFonts w:ascii="Calibri" w:hAnsi="Calibri" w:cs="Calibri"/>
          <w:lang w:val="en-GB"/>
        </w:rPr>
        <w:t xml:space="preserve">often conceptualised in terms of balancing opposing interests, their inquiries are not framed within the proportionality exercise mandated </w:t>
      </w:r>
      <w:r w:rsidR="00142269" w:rsidRPr="00DD65C2">
        <w:rPr>
          <w:rFonts w:ascii="Calibri" w:hAnsi="Calibri" w:cs="Calibri"/>
          <w:lang w:val="en-GB"/>
        </w:rPr>
        <w:t xml:space="preserve">under the Convention </w:t>
      </w:r>
      <w:r w:rsidR="003007D7" w:rsidRPr="00DD65C2">
        <w:rPr>
          <w:rFonts w:ascii="Calibri" w:hAnsi="Calibri" w:cs="Calibri"/>
          <w:lang w:val="en-GB"/>
        </w:rPr>
        <w:t>in instances where freedom of expression is interfered with by public authorities.</w:t>
      </w:r>
      <w:r w:rsidR="00C67FEF" w:rsidRPr="00DD65C2">
        <w:rPr>
          <w:rStyle w:val="FootnoteReference"/>
          <w:rFonts w:ascii="Calibri" w:hAnsi="Calibri" w:cs="Calibri"/>
        </w:rPr>
        <w:footnoteReference w:id="15"/>
      </w:r>
      <w:r w:rsidR="003007D7" w:rsidRPr="00DD65C2">
        <w:rPr>
          <w:rFonts w:ascii="Calibri" w:hAnsi="Calibri" w:cs="Calibri"/>
          <w:lang w:val="en-GB"/>
        </w:rPr>
        <w:t xml:space="preserve"> </w:t>
      </w:r>
      <w:r w:rsidR="009B6C70" w:rsidRPr="00DD65C2">
        <w:rPr>
          <w:rFonts w:ascii="Calibri" w:hAnsi="Calibri" w:cs="Calibri"/>
          <w:lang w:val="en-GB"/>
        </w:rPr>
        <w:t xml:space="preserve">This article will assist </w:t>
      </w:r>
      <w:r w:rsidR="00CA4514" w:rsidRPr="00DD65C2">
        <w:rPr>
          <w:rFonts w:ascii="Calibri" w:hAnsi="Calibri" w:cs="Calibri"/>
          <w:lang w:val="en-GB"/>
        </w:rPr>
        <w:t>decision-maker</w:t>
      </w:r>
      <w:r w:rsidR="009B6C70" w:rsidRPr="00DD65C2">
        <w:rPr>
          <w:rFonts w:ascii="Calibri" w:hAnsi="Calibri" w:cs="Calibri"/>
          <w:lang w:val="en-GB"/>
        </w:rPr>
        <w:t xml:space="preserve">s in both </w:t>
      </w:r>
      <w:r w:rsidR="00B45AE0" w:rsidRPr="00DD65C2">
        <w:rPr>
          <w:rFonts w:ascii="Calibri" w:hAnsi="Calibri" w:cs="Calibri"/>
          <w:lang w:val="en-GB"/>
        </w:rPr>
        <w:t xml:space="preserve">of these </w:t>
      </w:r>
      <w:r w:rsidR="009B6C70" w:rsidRPr="00DD65C2">
        <w:rPr>
          <w:rFonts w:ascii="Calibri" w:hAnsi="Calibri" w:cs="Calibri"/>
          <w:lang w:val="en-GB"/>
        </w:rPr>
        <w:t>areas by</w:t>
      </w:r>
      <w:r w:rsidR="00BC5727" w:rsidRPr="00DD65C2">
        <w:rPr>
          <w:rFonts w:ascii="Calibri" w:hAnsi="Calibri" w:cs="Calibri"/>
          <w:lang w:val="en-GB"/>
        </w:rPr>
        <w:t>: (a)</w:t>
      </w:r>
      <w:r w:rsidR="00B07C3D" w:rsidRPr="00DD65C2">
        <w:rPr>
          <w:rFonts w:ascii="Calibri" w:hAnsi="Calibri" w:cs="Calibri"/>
          <w:lang w:val="en-GB"/>
        </w:rPr>
        <w:t xml:space="preserve"> </w:t>
      </w:r>
      <w:r w:rsidR="009B6C70" w:rsidRPr="00DD65C2">
        <w:rPr>
          <w:rFonts w:ascii="Calibri" w:hAnsi="Calibri" w:cs="Calibri"/>
          <w:lang w:val="en-GB"/>
        </w:rPr>
        <w:t xml:space="preserve">exploring how refusals of registration can interfere with applicants’ </w:t>
      </w:r>
      <w:r w:rsidR="00B92ECD" w:rsidRPr="00DD65C2">
        <w:rPr>
          <w:rFonts w:ascii="Calibri" w:hAnsi="Calibri" w:cs="Calibri"/>
          <w:lang w:val="en-GB"/>
        </w:rPr>
        <w:t xml:space="preserve">speech </w:t>
      </w:r>
      <w:r w:rsidR="009B6C70" w:rsidRPr="00DD65C2">
        <w:rPr>
          <w:rFonts w:ascii="Calibri" w:hAnsi="Calibri" w:cs="Calibri"/>
          <w:lang w:val="en-GB"/>
        </w:rPr>
        <w:t>right</w:t>
      </w:r>
      <w:r w:rsidR="00B92ECD" w:rsidRPr="00DD65C2">
        <w:rPr>
          <w:rFonts w:ascii="Calibri" w:hAnsi="Calibri" w:cs="Calibri"/>
          <w:lang w:val="en-GB"/>
        </w:rPr>
        <w:t>s</w:t>
      </w:r>
      <w:r w:rsidR="009B6C70" w:rsidRPr="00DD65C2">
        <w:rPr>
          <w:rFonts w:ascii="Calibri" w:hAnsi="Calibri" w:cs="Calibri"/>
          <w:lang w:val="en-GB"/>
        </w:rPr>
        <w:t>;</w:t>
      </w:r>
      <w:r w:rsidR="00BC5727" w:rsidRPr="00DD65C2">
        <w:rPr>
          <w:rFonts w:ascii="Calibri" w:hAnsi="Calibri" w:cs="Calibri"/>
          <w:lang w:val="en-GB"/>
        </w:rPr>
        <w:t xml:space="preserve"> (b) illustrating how the proportionality test</w:t>
      </w:r>
      <w:r w:rsidR="00142269" w:rsidRPr="00DD65C2">
        <w:rPr>
          <w:rFonts w:ascii="Calibri" w:hAnsi="Calibri" w:cs="Calibri"/>
          <w:lang w:val="en-GB"/>
        </w:rPr>
        <w:t xml:space="preserve"> </w:t>
      </w:r>
      <w:r w:rsidR="001509C2" w:rsidRPr="00DD65C2">
        <w:rPr>
          <w:rFonts w:ascii="Calibri" w:hAnsi="Calibri" w:cs="Calibri"/>
          <w:lang w:val="en-GB"/>
        </w:rPr>
        <w:t>mandated</w:t>
      </w:r>
      <w:r w:rsidR="00142269" w:rsidRPr="00DD65C2">
        <w:rPr>
          <w:rFonts w:ascii="Calibri" w:hAnsi="Calibri" w:cs="Calibri"/>
          <w:lang w:val="en-GB"/>
        </w:rPr>
        <w:t xml:space="preserve"> under</w:t>
      </w:r>
      <w:r w:rsidR="00BC5727" w:rsidRPr="00DD65C2">
        <w:rPr>
          <w:rFonts w:ascii="Calibri" w:hAnsi="Calibri" w:cs="Calibri"/>
          <w:lang w:val="en-GB"/>
        </w:rPr>
        <w:t xml:space="preserve"> Article 10 ECHR ought to be applied to refusals of registration; and (c) explaining</w:t>
      </w:r>
      <w:r w:rsidR="00B07C3D" w:rsidRPr="00DD65C2">
        <w:rPr>
          <w:rFonts w:ascii="Calibri" w:hAnsi="Calibri" w:cs="Calibri"/>
          <w:lang w:val="en-GB"/>
        </w:rPr>
        <w:t xml:space="preserve"> </w:t>
      </w:r>
      <w:r w:rsidR="00E77A41" w:rsidRPr="00DD65C2">
        <w:rPr>
          <w:rFonts w:ascii="Calibri" w:hAnsi="Calibri" w:cs="Calibri"/>
          <w:lang w:val="en-GB"/>
        </w:rPr>
        <w:t xml:space="preserve">what is to be gained from application of </w:t>
      </w:r>
      <w:r w:rsidR="00BC5727" w:rsidRPr="00DD65C2">
        <w:rPr>
          <w:rFonts w:ascii="Calibri" w:hAnsi="Calibri" w:cs="Calibri"/>
          <w:lang w:val="en-GB"/>
        </w:rPr>
        <w:t>this</w:t>
      </w:r>
      <w:r w:rsidR="00E77A41" w:rsidRPr="00DD65C2">
        <w:rPr>
          <w:rFonts w:ascii="Calibri" w:hAnsi="Calibri" w:cs="Calibri"/>
          <w:lang w:val="en-GB"/>
        </w:rPr>
        <w:t xml:space="preserve"> test. </w:t>
      </w:r>
    </w:p>
    <w:p w14:paraId="379A64A0" w14:textId="30FCB887" w:rsidR="003A47D6" w:rsidRPr="00DD65C2" w:rsidRDefault="003A47D6" w:rsidP="003B2105">
      <w:pPr>
        <w:jc w:val="both"/>
        <w:rPr>
          <w:rFonts w:ascii="Calibri" w:hAnsi="Calibri" w:cs="Calibri"/>
          <w:lang w:val="en-GB"/>
        </w:rPr>
      </w:pPr>
    </w:p>
    <w:p w14:paraId="1991B08F" w14:textId="2EB122C4" w:rsidR="007127A2" w:rsidRPr="00DD65C2" w:rsidRDefault="006B324E" w:rsidP="007127A2">
      <w:pPr>
        <w:jc w:val="both"/>
        <w:rPr>
          <w:rFonts w:ascii="Calibri" w:hAnsi="Calibri" w:cs="Calibri"/>
          <w:lang w:val="en-GB"/>
        </w:rPr>
      </w:pPr>
      <w:r w:rsidRPr="00DD65C2">
        <w:rPr>
          <w:rFonts w:ascii="Calibri" w:hAnsi="Calibri" w:cs="Calibri"/>
          <w:lang w:val="en-GB"/>
        </w:rPr>
        <w:t xml:space="preserve">Against this backdrop, it is surprising that the </w:t>
      </w:r>
      <w:r w:rsidR="003E006E" w:rsidRPr="00DD65C2">
        <w:rPr>
          <w:rFonts w:ascii="Calibri" w:hAnsi="Calibri" w:cs="Calibri"/>
          <w:lang w:val="en-GB"/>
        </w:rPr>
        <w:t>CJEU</w:t>
      </w:r>
      <w:r w:rsidRPr="00DD65C2">
        <w:rPr>
          <w:rFonts w:ascii="Calibri" w:hAnsi="Calibri" w:cs="Calibri"/>
          <w:lang w:val="en-GB"/>
        </w:rPr>
        <w:t xml:space="preserve"> had remained silent on this topic for so long</w:t>
      </w:r>
      <w:r w:rsidR="0046234E" w:rsidRPr="00DD65C2">
        <w:rPr>
          <w:rFonts w:ascii="Calibri" w:hAnsi="Calibri" w:cs="Calibri"/>
          <w:lang w:val="en-GB"/>
        </w:rPr>
        <w:t xml:space="preserve"> –contributing to the prevailing sense of uncertainty. </w:t>
      </w:r>
      <w:r w:rsidRPr="00DD65C2">
        <w:rPr>
          <w:rFonts w:ascii="Calibri" w:hAnsi="Calibri" w:cs="Calibri"/>
          <w:lang w:val="en-GB"/>
        </w:rPr>
        <w:t xml:space="preserve">No reference for a preliminary ruling has been launched </w:t>
      </w:r>
      <w:r w:rsidR="0091722D" w:rsidRPr="00DD65C2">
        <w:rPr>
          <w:rFonts w:ascii="Calibri" w:hAnsi="Calibri" w:cs="Calibri"/>
          <w:lang w:val="en-GB"/>
        </w:rPr>
        <w:t xml:space="preserve">to date </w:t>
      </w:r>
      <w:r w:rsidRPr="00DD65C2">
        <w:rPr>
          <w:rFonts w:ascii="Calibri" w:hAnsi="Calibri" w:cs="Calibri"/>
          <w:lang w:val="en-GB"/>
        </w:rPr>
        <w:t xml:space="preserve">before the </w:t>
      </w:r>
      <w:r w:rsidR="002B335F" w:rsidRPr="00DD65C2">
        <w:rPr>
          <w:rFonts w:ascii="Calibri" w:hAnsi="Calibri" w:cs="Calibri"/>
          <w:lang w:val="en-GB"/>
        </w:rPr>
        <w:t>CJEU</w:t>
      </w:r>
      <w:r w:rsidRPr="00DD65C2">
        <w:rPr>
          <w:rFonts w:ascii="Calibri" w:hAnsi="Calibri" w:cs="Calibri"/>
          <w:lang w:val="en-GB"/>
        </w:rPr>
        <w:t xml:space="preserve"> by the courts of Member States asking for guidance on the interpretation of </w:t>
      </w:r>
      <w:r w:rsidR="002B335F" w:rsidRPr="00DD65C2">
        <w:rPr>
          <w:rFonts w:ascii="Calibri" w:hAnsi="Calibri" w:cs="Calibri"/>
          <w:lang w:val="en-GB"/>
        </w:rPr>
        <w:t>Article 7(1)(f) EUTMR.</w:t>
      </w:r>
      <w:r w:rsidRPr="00DD65C2">
        <w:rPr>
          <w:rFonts w:ascii="Calibri" w:hAnsi="Calibri" w:cs="Calibri"/>
          <w:lang w:val="en-GB"/>
        </w:rPr>
        <w:t xml:space="preserve"> </w:t>
      </w:r>
      <w:r w:rsidR="00DB0411" w:rsidRPr="00DD65C2">
        <w:rPr>
          <w:rFonts w:ascii="Calibri" w:hAnsi="Calibri" w:cs="Calibri"/>
          <w:lang w:val="en-GB"/>
        </w:rPr>
        <w:t>Fortunately, g</w:t>
      </w:r>
      <w:r w:rsidRPr="00DD65C2">
        <w:rPr>
          <w:rFonts w:ascii="Calibri" w:hAnsi="Calibri" w:cs="Calibri"/>
          <w:lang w:val="en-GB"/>
        </w:rPr>
        <w:t>uidance can</w:t>
      </w:r>
      <w:r w:rsidR="007503EA" w:rsidRPr="00DD65C2">
        <w:rPr>
          <w:rFonts w:ascii="Calibri" w:hAnsi="Calibri" w:cs="Calibri"/>
          <w:lang w:val="en-GB"/>
        </w:rPr>
        <w:t xml:space="preserve"> now </w:t>
      </w:r>
      <w:r w:rsidRPr="00DD65C2">
        <w:rPr>
          <w:rFonts w:ascii="Calibri" w:hAnsi="Calibri" w:cs="Calibri"/>
          <w:lang w:val="en-GB"/>
        </w:rPr>
        <w:t xml:space="preserve">be found in its recent decision in </w:t>
      </w:r>
      <w:r w:rsidRPr="00DD65C2">
        <w:rPr>
          <w:rFonts w:ascii="Calibri" w:hAnsi="Calibri" w:cs="Calibri"/>
          <w:i/>
          <w:iCs/>
          <w:lang w:val="en-GB"/>
        </w:rPr>
        <w:t>Constantin Film Produktion</w:t>
      </w:r>
      <w:r w:rsidR="00667CBB" w:rsidRPr="00DD65C2">
        <w:rPr>
          <w:rFonts w:ascii="Calibri" w:hAnsi="Calibri" w:cs="Calibri"/>
          <w:i/>
          <w:iCs/>
          <w:lang w:val="en-GB"/>
        </w:rPr>
        <w:t xml:space="preserve"> v EUIPO</w:t>
      </w:r>
      <w:r w:rsidRPr="00DD65C2">
        <w:rPr>
          <w:rFonts w:ascii="Calibri" w:hAnsi="Calibri" w:cs="Calibri"/>
          <w:lang w:val="en-GB"/>
        </w:rPr>
        <w:t xml:space="preserve">, where the Court was asked to </w:t>
      </w:r>
      <w:r w:rsidR="0046234E" w:rsidRPr="00DD65C2">
        <w:rPr>
          <w:rFonts w:ascii="Calibri" w:hAnsi="Calibri" w:cs="Calibri"/>
          <w:lang w:val="en-GB"/>
        </w:rPr>
        <w:t xml:space="preserve">rule on the interpretation of </w:t>
      </w:r>
      <w:r w:rsidR="002B335F" w:rsidRPr="00DD65C2">
        <w:rPr>
          <w:rFonts w:ascii="Calibri" w:hAnsi="Calibri" w:cs="Calibri"/>
          <w:lang w:val="en-GB"/>
        </w:rPr>
        <w:t>this provision</w:t>
      </w:r>
      <w:r w:rsidR="0046234E" w:rsidRPr="00DD65C2">
        <w:rPr>
          <w:rFonts w:ascii="Calibri" w:hAnsi="Calibri" w:cs="Calibri"/>
          <w:lang w:val="en-GB"/>
        </w:rPr>
        <w:t xml:space="preserve"> for the first time.</w:t>
      </w:r>
      <w:r w:rsidR="002B335F" w:rsidRPr="00DD65C2">
        <w:rPr>
          <w:rStyle w:val="FootnoteReference"/>
          <w:rFonts w:ascii="Calibri" w:hAnsi="Calibri" w:cs="Calibri"/>
        </w:rPr>
        <w:footnoteReference w:id="16"/>
      </w:r>
      <w:r w:rsidR="0046234E" w:rsidRPr="00DD65C2">
        <w:rPr>
          <w:rFonts w:ascii="Calibri" w:hAnsi="Calibri" w:cs="Calibri"/>
          <w:lang w:val="en-GB"/>
        </w:rPr>
        <w:t xml:space="preserve"> </w:t>
      </w:r>
      <w:r w:rsidR="00C06B9E" w:rsidRPr="00DD65C2">
        <w:rPr>
          <w:rFonts w:ascii="Calibri" w:hAnsi="Calibri" w:cs="Calibri"/>
          <w:lang w:val="en-GB"/>
        </w:rPr>
        <w:t>A</w:t>
      </w:r>
      <w:r w:rsidR="007127A2" w:rsidRPr="00DD65C2">
        <w:rPr>
          <w:rFonts w:ascii="Calibri" w:hAnsi="Calibri" w:cs="Calibri"/>
          <w:lang w:val="en-GB"/>
        </w:rPr>
        <w:t xml:space="preserve">ppellant had requested the </w:t>
      </w:r>
      <w:r w:rsidR="0070133B" w:rsidRPr="00DD65C2">
        <w:rPr>
          <w:rFonts w:ascii="Calibri" w:hAnsi="Calibri" w:cs="Calibri"/>
          <w:lang w:val="en-GB"/>
        </w:rPr>
        <w:t>CJEU</w:t>
      </w:r>
      <w:r w:rsidR="007127A2" w:rsidRPr="00DD65C2">
        <w:rPr>
          <w:rFonts w:ascii="Calibri" w:hAnsi="Calibri" w:cs="Calibri"/>
          <w:lang w:val="en-GB"/>
        </w:rPr>
        <w:t xml:space="preserve"> to overturn the decisions of the </w:t>
      </w:r>
      <w:r w:rsidR="0070133B" w:rsidRPr="00DD65C2">
        <w:rPr>
          <w:rFonts w:ascii="Calibri" w:hAnsi="Calibri" w:cs="Calibri"/>
          <w:lang w:val="en-GB"/>
        </w:rPr>
        <w:t>GC</w:t>
      </w:r>
      <w:r w:rsidR="003E006E" w:rsidRPr="00DD65C2">
        <w:rPr>
          <w:rFonts w:ascii="Calibri" w:hAnsi="Calibri" w:cs="Calibri"/>
          <w:lang w:val="en-GB"/>
        </w:rPr>
        <w:t xml:space="preserve"> </w:t>
      </w:r>
      <w:r w:rsidR="007127A2" w:rsidRPr="00DD65C2">
        <w:rPr>
          <w:rFonts w:ascii="Calibri" w:hAnsi="Calibri" w:cs="Calibri"/>
          <w:lang w:val="en-GB"/>
        </w:rPr>
        <w:t xml:space="preserve">and the EUIPO </w:t>
      </w:r>
      <w:r w:rsidR="0040373E" w:rsidRPr="00DD65C2">
        <w:rPr>
          <w:rFonts w:ascii="Calibri" w:hAnsi="Calibri" w:cs="Calibri"/>
          <w:lang w:val="en-GB"/>
        </w:rPr>
        <w:t>Board of Appeal (BoA)</w:t>
      </w:r>
      <w:r w:rsidR="007127A2" w:rsidRPr="00DD65C2">
        <w:rPr>
          <w:rFonts w:ascii="Calibri" w:hAnsi="Calibri" w:cs="Calibri"/>
          <w:lang w:val="en-GB"/>
        </w:rPr>
        <w:t xml:space="preserve"> denying registration to the sign ‘</w:t>
      </w:r>
      <w:r w:rsidR="00083E5E" w:rsidRPr="00DD65C2">
        <w:rPr>
          <w:rFonts w:ascii="Calibri" w:hAnsi="Calibri" w:cs="Calibri"/>
          <w:lang w:val="en-GB"/>
        </w:rPr>
        <w:t>F</w:t>
      </w:r>
      <w:r w:rsidR="00FC28F5" w:rsidRPr="00DD65C2">
        <w:rPr>
          <w:rFonts w:ascii="Calibri" w:hAnsi="Calibri" w:cs="Calibri"/>
          <w:lang w:val="en-GB"/>
        </w:rPr>
        <w:t>ack Ju Göhte</w:t>
      </w:r>
      <w:r w:rsidR="007127A2" w:rsidRPr="00DD65C2">
        <w:rPr>
          <w:rFonts w:ascii="Calibri" w:hAnsi="Calibri" w:cs="Calibri"/>
          <w:lang w:val="en-GB"/>
        </w:rPr>
        <w:t xml:space="preserve">’ for a wide range of goods and services on, amongst others, free speech grounds. In siding with </w:t>
      </w:r>
      <w:r w:rsidR="0091722D" w:rsidRPr="00DD65C2">
        <w:rPr>
          <w:rFonts w:ascii="Calibri" w:hAnsi="Calibri" w:cs="Calibri"/>
          <w:lang w:val="en-GB"/>
        </w:rPr>
        <w:t>appellant</w:t>
      </w:r>
      <w:r w:rsidR="007127A2" w:rsidRPr="00DD65C2">
        <w:rPr>
          <w:rFonts w:ascii="Calibri" w:hAnsi="Calibri" w:cs="Calibri"/>
          <w:lang w:val="en-GB"/>
        </w:rPr>
        <w:t xml:space="preserve">, the Court has moved away from an abstract assessment of the morality exclusion, opting instead for an evidence-based inquiry as to whether the applied-for sign is liable to cause outrage amongst the </w:t>
      </w:r>
      <w:r w:rsidR="00645F7A" w:rsidRPr="00DD65C2">
        <w:rPr>
          <w:rFonts w:ascii="Calibri" w:hAnsi="Calibri" w:cs="Calibri"/>
          <w:lang w:val="en-GB"/>
        </w:rPr>
        <w:t xml:space="preserve">relevant </w:t>
      </w:r>
      <w:r w:rsidR="007127A2" w:rsidRPr="00DD65C2">
        <w:rPr>
          <w:rFonts w:ascii="Calibri" w:hAnsi="Calibri" w:cs="Calibri"/>
          <w:lang w:val="en-GB"/>
        </w:rPr>
        <w:t xml:space="preserve">public. Given that this judgment was handed down only quite recently, this article will </w:t>
      </w:r>
      <w:r w:rsidR="004F0369" w:rsidRPr="00DD65C2">
        <w:rPr>
          <w:rFonts w:ascii="Calibri" w:hAnsi="Calibri" w:cs="Calibri"/>
          <w:lang w:val="en-GB"/>
        </w:rPr>
        <w:t xml:space="preserve">engage with the Court’s findings in quite some detail in an attempt to lead the way for future commentators and </w:t>
      </w:r>
      <w:r w:rsidR="00CA4514" w:rsidRPr="00DD65C2">
        <w:rPr>
          <w:rFonts w:ascii="Calibri" w:hAnsi="Calibri" w:cs="Calibri"/>
          <w:lang w:val="en-GB"/>
        </w:rPr>
        <w:t>decision-maker</w:t>
      </w:r>
      <w:r w:rsidR="004F0369" w:rsidRPr="00DD65C2">
        <w:rPr>
          <w:rFonts w:ascii="Calibri" w:hAnsi="Calibri" w:cs="Calibri"/>
          <w:lang w:val="en-GB"/>
        </w:rPr>
        <w:t xml:space="preserve">s working in this field. </w:t>
      </w:r>
    </w:p>
    <w:p w14:paraId="3C780284" w14:textId="77777777" w:rsidR="006B324E" w:rsidRPr="00DD65C2" w:rsidRDefault="006B324E" w:rsidP="006B324E">
      <w:pPr>
        <w:jc w:val="both"/>
        <w:rPr>
          <w:rFonts w:ascii="Calibri" w:hAnsi="Calibri" w:cs="Calibri"/>
          <w:lang w:val="en-GB"/>
        </w:rPr>
      </w:pPr>
    </w:p>
    <w:p w14:paraId="1D06CF6D" w14:textId="4718A823" w:rsidR="00F66F87" w:rsidRPr="00DD65C2" w:rsidRDefault="003E0F7D" w:rsidP="003B2105">
      <w:pPr>
        <w:jc w:val="both"/>
        <w:rPr>
          <w:rFonts w:ascii="Calibri" w:hAnsi="Calibri" w:cs="Calibri"/>
          <w:lang w:val="en-GB"/>
        </w:rPr>
      </w:pPr>
      <w:r w:rsidRPr="00DD65C2">
        <w:rPr>
          <w:rFonts w:ascii="Calibri" w:hAnsi="Calibri" w:cs="Calibri"/>
          <w:lang w:val="en-GB"/>
        </w:rPr>
        <w:t>This</w:t>
      </w:r>
      <w:r w:rsidR="006B324E" w:rsidRPr="00DD65C2">
        <w:rPr>
          <w:rFonts w:ascii="Calibri" w:hAnsi="Calibri" w:cs="Calibri"/>
          <w:lang w:val="en-GB"/>
        </w:rPr>
        <w:t xml:space="preserve"> decision ultimately constitutes a missed opportunity on the part of the Court to harmonize an area of law that has proved to be particularly problematic. Although regrettable, there is, however, reason to remain optimistic. First, the Court should be praised for putting an end to the ongoing debate as to whether freedom of expression is implicated in trade mark </w:t>
      </w:r>
      <w:r w:rsidR="00972319" w:rsidRPr="00DD65C2">
        <w:rPr>
          <w:rFonts w:ascii="Calibri" w:hAnsi="Calibri" w:cs="Calibri"/>
          <w:lang w:val="en-GB"/>
        </w:rPr>
        <w:t>registration</w:t>
      </w:r>
      <w:r w:rsidR="006B324E" w:rsidRPr="00DD65C2">
        <w:rPr>
          <w:rFonts w:ascii="Calibri" w:hAnsi="Calibri" w:cs="Calibri"/>
          <w:lang w:val="en-GB"/>
        </w:rPr>
        <w:t xml:space="preserve"> by holding that speech interests must be taken into account upon interpretation of </w:t>
      </w:r>
      <w:r w:rsidR="00973FB0" w:rsidRPr="00DD65C2">
        <w:rPr>
          <w:rFonts w:ascii="Calibri" w:hAnsi="Calibri" w:cs="Calibri"/>
          <w:lang w:val="en-GB"/>
        </w:rPr>
        <w:t>Article 7(1)(f) EUTMR</w:t>
      </w:r>
      <w:r w:rsidR="006B324E" w:rsidRPr="00DD65C2">
        <w:rPr>
          <w:rFonts w:ascii="Calibri" w:hAnsi="Calibri" w:cs="Calibri"/>
          <w:lang w:val="en-GB"/>
        </w:rPr>
        <w:t xml:space="preserve">. How they must be taken into account, and whether they extend to other areas of trade mark law </w:t>
      </w:r>
      <w:r w:rsidR="00A50D22" w:rsidRPr="00DD65C2">
        <w:rPr>
          <w:rFonts w:ascii="Calibri" w:hAnsi="Calibri" w:cs="Calibri"/>
          <w:lang w:val="en-GB"/>
        </w:rPr>
        <w:t>(</w:t>
      </w:r>
      <w:r w:rsidR="006B324E" w:rsidRPr="00DD65C2">
        <w:rPr>
          <w:rFonts w:ascii="Calibri" w:hAnsi="Calibri" w:cs="Calibri"/>
          <w:lang w:val="en-GB"/>
        </w:rPr>
        <w:t>notably, infringement</w:t>
      </w:r>
      <w:r w:rsidR="00A50D22" w:rsidRPr="00DD65C2">
        <w:rPr>
          <w:rFonts w:ascii="Calibri" w:hAnsi="Calibri" w:cs="Calibri"/>
          <w:lang w:val="en-GB"/>
        </w:rPr>
        <w:t>)</w:t>
      </w:r>
      <w:r w:rsidR="006B324E" w:rsidRPr="00DD65C2">
        <w:rPr>
          <w:rFonts w:ascii="Calibri" w:hAnsi="Calibri" w:cs="Calibri"/>
          <w:lang w:val="en-GB"/>
        </w:rPr>
        <w:t xml:space="preserve"> remains, however, a contentious issue that the Court </w:t>
      </w:r>
      <w:r w:rsidR="000E7861" w:rsidRPr="00DD65C2">
        <w:rPr>
          <w:rFonts w:ascii="Calibri" w:hAnsi="Calibri" w:cs="Calibri"/>
          <w:lang w:val="en-GB"/>
        </w:rPr>
        <w:t>must</w:t>
      </w:r>
      <w:r w:rsidR="006B324E" w:rsidRPr="00DD65C2">
        <w:rPr>
          <w:rFonts w:ascii="Calibri" w:hAnsi="Calibri" w:cs="Calibri"/>
          <w:lang w:val="en-GB"/>
        </w:rPr>
        <w:t xml:space="preserve"> explore in future cases. And, second, the Court proposes a fact-sensitive, contextual test to interpreting what ought to be deemed a morally</w:t>
      </w:r>
      <w:r w:rsidR="00354193">
        <w:rPr>
          <w:rFonts w:ascii="Calibri" w:hAnsi="Calibri" w:cs="Calibri"/>
          <w:lang w:val="en-GB"/>
        </w:rPr>
        <w:t xml:space="preserve"> </w:t>
      </w:r>
      <w:r w:rsidR="006B324E" w:rsidRPr="00DD65C2">
        <w:rPr>
          <w:rFonts w:ascii="Calibri" w:hAnsi="Calibri" w:cs="Calibri"/>
          <w:lang w:val="en-GB"/>
        </w:rPr>
        <w:t xml:space="preserve">objectionable sign for purposes of European trade mark law. In so doing, the Court is not only harmonising the interpretation of the morality </w:t>
      </w:r>
      <w:r w:rsidR="00677EDA" w:rsidRPr="00DD65C2">
        <w:rPr>
          <w:rFonts w:ascii="Calibri" w:hAnsi="Calibri" w:cs="Calibri"/>
          <w:lang w:val="en-GB"/>
        </w:rPr>
        <w:t>exclusion but</w:t>
      </w:r>
      <w:r w:rsidR="006B324E" w:rsidRPr="00DD65C2">
        <w:rPr>
          <w:rFonts w:ascii="Calibri" w:hAnsi="Calibri" w:cs="Calibri"/>
          <w:lang w:val="en-GB"/>
        </w:rPr>
        <w:t xml:space="preserve"> is arguably also broadening the range of </w:t>
      </w:r>
      <w:r w:rsidR="006B324E" w:rsidRPr="00DD65C2">
        <w:rPr>
          <w:rFonts w:ascii="Calibri" w:hAnsi="Calibri" w:cs="Calibri"/>
          <w:lang w:val="en-GB"/>
        </w:rPr>
        <w:lastRenderedPageBreak/>
        <w:t xml:space="preserve">marks that can be registered under the exclusion. These are no minor developments in this area. Though lacking in ambition, this decision is thus perhaps best characterised as a much-needed first step in the right direction. </w:t>
      </w:r>
    </w:p>
    <w:p w14:paraId="05DE396C" w14:textId="77777777" w:rsidR="00F66F87" w:rsidRPr="00DD65C2" w:rsidRDefault="00F66F87" w:rsidP="003B2105">
      <w:pPr>
        <w:jc w:val="both"/>
        <w:rPr>
          <w:rFonts w:ascii="Calibri" w:hAnsi="Calibri" w:cs="Calibri"/>
          <w:lang w:val="en-GB"/>
        </w:rPr>
      </w:pPr>
    </w:p>
    <w:p w14:paraId="5B47C4D1" w14:textId="3FB30032" w:rsidR="00827296" w:rsidRPr="00DD65C2" w:rsidRDefault="003E0F7D" w:rsidP="00827296">
      <w:pPr>
        <w:jc w:val="both"/>
        <w:rPr>
          <w:rFonts w:ascii="Calibri" w:hAnsi="Calibri" w:cs="Calibri"/>
          <w:lang w:val="en-GB"/>
        </w:rPr>
      </w:pPr>
      <w:r w:rsidRPr="00DD65C2">
        <w:rPr>
          <w:rFonts w:ascii="Calibri" w:hAnsi="Calibri" w:cs="Calibri"/>
          <w:lang w:val="en-GB"/>
        </w:rPr>
        <w:t>To explore these ideas in further detail,</w:t>
      </w:r>
      <w:r w:rsidR="003B2105" w:rsidRPr="00DD65C2">
        <w:rPr>
          <w:rFonts w:ascii="Calibri" w:hAnsi="Calibri" w:cs="Calibri"/>
          <w:lang w:val="en-GB"/>
        </w:rPr>
        <w:t xml:space="preserve"> Sections </w:t>
      </w:r>
      <w:r w:rsidR="00645F7A" w:rsidRPr="00DD65C2">
        <w:rPr>
          <w:rFonts w:ascii="Calibri" w:hAnsi="Calibri" w:cs="Calibri"/>
          <w:lang w:val="en-GB"/>
        </w:rPr>
        <w:t>2</w:t>
      </w:r>
      <w:r w:rsidR="003B2105" w:rsidRPr="00DD65C2">
        <w:rPr>
          <w:rFonts w:ascii="Calibri" w:hAnsi="Calibri" w:cs="Calibri"/>
          <w:lang w:val="en-GB"/>
        </w:rPr>
        <w:t xml:space="preserve"> and </w:t>
      </w:r>
      <w:r w:rsidR="00645F7A" w:rsidRPr="00DD65C2">
        <w:rPr>
          <w:rFonts w:ascii="Calibri" w:hAnsi="Calibri" w:cs="Calibri"/>
          <w:lang w:val="en-GB"/>
        </w:rPr>
        <w:t>3</w:t>
      </w:r>
      <w:r w:rsidR="003B2105" w:rsidRPr="00DD65C2">
        <w:rPr>
          <w:rFonts w:ascii="Calibri" w:hAnsi="Calibri" w:cs="Calibri"/>
          <w:lang w:val="en-GB"/>
        </w:rPr>
        <w:t xml:space="preserve"> will provide an overview of the state of disarray in which the field found itself prior to the decision of the CJEU in </w:t>
      </w:r>
      <w:r w:rsidR="003B2105" w:rsidRPr="00DD65C2">
        <w:rPr>
          <w:rFonts w:ascii="Calibri" w:hAnsi="Calibri" w:cs="Calibri"/>
          <w:i/>
          <w:iCs/>
          <w:lang w:val="en-GB"/>
        </w:rPr>
        <w:t>Constantin Film Produktion</w:t>
      </w:r>
      <w:r w:rsidR="003B2105" w:rsidRPr="00DD65C2">
        <w:rPr>
          <w:rFonts w:ascii="Calibri" w:hAnsi="Calibri" w:cs="Calibri"/>
          <w:lang w:val="en-GB"/>
        </w:rPr>
        <w:t xml:space="preserve">. </w:t>
      </w:r>
      <w:r w:rsidR="009938D9" w:rsidRPr="00DD65C2">
        <w:rPr>
          <w:rFonts w:ascii="Calibri" w:hAnsi="Calibri" w:cs="Calibri"/>
          <w:lang w:val="en-GB"/>
        </w:rPr>
        <w:t xml:space="preserve">Section </w:t>
      </w:r>
      <w:r w:rsidR="00645F7A" w:rsidRPr="00DD65C2">
        <w:rPr>
          <w:rFonts w:ascii="Calibri" w:hAnsi="Calibri" w:cs="Calibri"/>
          <w:lang w:val="en-GB"/>
        </w:rPr>
        <w:t>2</w:t>
      </w:r>
      <w:r w:rsidR="009938D9" w:rsidRPr="00DD65C2">
        <w:rPr>
          <w:rFonts w:ascii="Calibri" w:hAnsi="Calibri" w:cs="Calibri"/>
          <w:lang w:val="en-GB"/>
        </w:rPr>
        <w:t xml:space="preserve"> will </w:t>
      </w:r>
      <w:r w:rsidR="001C329D" w:rsidRPr="00DD65C2">
        <w:rPr>
          <w:rFonts w:ascii="Calibri" w:hAnsi="Calibri" w:cs="Calibri"/>
          <w:lang w:val="en-GB"/>
        </w:rPr>
        <w:t xml:space="preserve">look at </w:t>
      </w:r>
      <w:r w:rsidR="003B2105" w:rsidRPr="00DD65C2">
        <w:rPr>
          <w:rFonts w:ascii="Calibri" w:hAnsi="Calibri" w:cs="Calibri"/>
          <w:lang w:val="en-GB"/>
        </w:rPr>
        <w:t xml:space="preserve">the </w:t>
      </w:r>
      <w:r w:rsidR="009938D9" w:rsidRPr="00DD65C2">
        <w:rPr>
          <w:rFonts w:ascii="Calibri" w:hAnsi="Calibri" w:cs="Calibri"/>
          <w:lang w:val="en-GB"/>
        </w:rPr>
        <w:t>three</w:t>
      </w:r>
      <w:r w:rsidR="003B2105" w:rsidRPr="00DD65C2">
        <w:rPr>
          <w:rFonts w:ascii="Calibri" w:hAnsi="Calibri" w:cs="Calibri"/>
          <w:lang w:val="en-GB"/>
        </w:rPr>
        <w:t xml:space="preserve"> shortcomings identified earlier </w:t>
      </w:r>
      <w:r w:rsidR="001C329D" w:rsidRPr="00DD65C2">
        <w:rPr>
          <w:rFonts w:ascii="Calibri" w:hAnsi="Calibri" w:cs="Calibri"/>
          <w:lang w:val="en-GB"/>
        </w:rPr>
        <w:t>stemming from the (mis)interpretation of the p</w:t>
      </w:r>
      <w:r w:rsidR="00645F7A" w:rsidRPr="00DD65C2">
        <w:rPr>
          <w:rFonts w:ascii="Calibri" w:hAnsi="Calibri" w:cs="Calibri"/>
          <w:lang w:val="en-GB"/>
        </w:rPr>
        <w:t>ublic policy and morality exclusions, i.e.</w:t>
      </w:r>
      <w:r w:rsidR="001C329D" w:rsidRPr="00DD65C2">
        <w:rPr>
          <w:rFonts w:ascii="Calibri" w:hAnsi="Calibri" w:cs="Calibri"/>
          <w:lang w:val="en-GB"/>
        </w:rPr>
        <w:t xml:space="preserve"> (a) their conceptual boundaries; (b) how to correctly define the relevant public; and (c) the</w:t>
      </w:r>
      <w:r w:rsidR="00F45AA2" w:rsidRPr="00DD65C2">
        <w:rPr>
          <w:rFonts w:ascii="Calibri" w:hAnsi="Calibri" w:cs="Calibri"/>
          <w:lang w:val="en-GB"/>
        </w:rPr>
        <w:t>ir applicable legal</w:t>
      </w:r>
      <w:r w:rsidR="001C329D" w:rsidRPr="00DD65C2">
        <w:rPr>
          <w:rFonts w:ascii="Calibri" w:hAnsi="Calibri" w:cs="Calibri"/>
          <w:lang w:val="en-GB"/>
        </w:rPr>
        <w:t xml:space="preserve"> test</w:t>
      </w:r>
      <w:r w:rsidR="00F45AA2" w:rsidRPr="00DD65C2">
        <w:rPr>
          <w:rFonts w:ascii="Calibri" w:hAnsi="Calibri" w:cs="Calibri"/>
          <w:lang w:val="en-GB"/>
        </w:rPr>
        <w:t>(s)</w:t>
      </w:r>
      <w:r w:rsidR="00645F7A" w:rsidRPr="00DD65C2">
        <w:rPr>
          <w:rFonts w:ascii="Calibri" w:hAnsi="Calibri" w:cs="Calibri"/>
          <w:lang w:val="en-GB"/>
        </w:rPr>
        <w:t xml:space="preserve">. </w:t>
      </w:r>
      <w:r w:rsidR="003B2105" w:rsidRPr="00DD65C2">
        <w:rPr>
          <w:rFonts w:ascii="Calibri" w:hAnsi="Calibri" w:cs="Calibri"/>
          <w:lang w:val="en-GB"/>
        </w:rPr>
        <w:t xml:space="preserve">This will be followed, in Section </w:t>
      </w:r>
      <w:r w:rsidR="00645F7A" w:rsidRPr="00DD65C2">
        <w:rPr>
          <w:rFonts w:ascii="Calibri" w:hAnsi="Calibri" w:cs="Calibri"/>
          <w:lang w:val="en-GB"/>
        </w:rPr>
        <w:t>3</w:t>
      </w:r>
      <w:r w:rsidR="003B2105" w:rsidRPr="00DD65C2">
        <w:rPr>
          <w:rFonts w:ascii="Calibri" w:hAnsi="Calibri" w:cs="Calibri"/>
          <w:lang w:val="en-GB"/>
        </w:rPr>
        <w:t>, by a detailed analysis of the role</w:t>
      </w:r>
      <w:r w:rsidR="001C329D" w:rsidRPr="00DD65C2">
        <w:rPr>
          <w:rFonts w:ascii="Calibri" w:hAnsi="Calibri" w:cs="Calibri"/>
          <w:lang w:val="en-GB"/>
        </w:rPr>
        <w:t xml:space="preserve"> </w:t>
      </w:r>
      <w:r w:rsidR="003B2105" w:rsidRPr="00DD65C2">
        <w:rPr>
          <w:rFonts w:ascii="Calibri" w:hAnsi="Calibri" w:cs="Calibri"/>
          <w:lang w:val="en-GB"/>
        </w:rPr>
        <w:t xml:space="preserve">that speech protection has thus far played in the registration context. The aim in doing so is to set the ground for critical engagement with the decision of the CJEU in </w:t>
      </w:r>
      <w:r w:rsidR="003B2105" w:rsidRPr="00DD65C2">
        <w:rPr>
          <w:rFonts w:ascii="Calibri" w:hAnsi="Calibri" w:cs="Calibri"/>
          <w:i/>
          <w:iCs/>
          <w:lang w:val="en-GB"/>
        </w:rPr>
        <w:t>Constantin Film Produktion</w:t>
      </w:r>
      <w:r w:rsidR="003B2105" w:rsidRPr="00DD65C2">
        <w:rPr>
          <w:rFonts w:ascii="Calibri" w:hAnsi="Calibri" w:cs="Calibri"/>
          <w:lang w:val="en-GB"/>
        </w:rPr>
        <w:t xml:space="preserve">, in Section </w:t>
      </w:r>
      <w:r w:rsidR="00645F7A" w:rsidRPr="00DD65C2">
        <w:rPr>
          <w:rFonts w:ascii="Calibri" w:hAnsi="Calibri" w:cs="Calibri"/>
          <w:lang w:val="en-GB"/>
        </w:rPr>
        <w:t>4</w:t>
      </w:r>
      <w:r w:rsidR="003B2105" w:rsidRPr="00DD65C2">
        <w:rPr>
          <w:rFonts w:ascii="Calibri" w:hAnsi="Calibri" w:cs="Calibri"/>
          <w:lang w:val="en-GB"/>
        </w:rPr>
        <w:t xml:space="preserve">, in an attempt to elucidate the extent to which the shortcomings previously identified have now been redressed by the Court. Concluding remarks will follow in Section </w:t>
      </w:r>
      <w:r w:rsidR="00645F7A" w:rsidRPr="00DD65C2">
        <w:rPr>
          <w:rFonts w:ascii="Calibri" w:hAnsi="Calibri" w:cs="Calibri"/>
          <w:lang w:val="en-GB"/>
        </w:rPr>
        <w:t>5</w:t>
      </w:r>
      <w:r w:rsidR="003B2105" w:rsidRPr="00DD65C2">
        <w:rPr>
          <w:rFonts w:ascii="Calibri" w:hAnsi="Calibri" w:cs="Calibri"/>
          <w:lang w:val="en-GB"/>
        </w:rPr>
        <w:t>.</w:t>
      </w:r>
    </w:p>
    <w:p w14:paraId="74465FEC" w14:textId="42170256" w:rsidR="00827296" w:rsidRPr="00DD65C2" w:rsidRDefault="00827296" w:rsidP="007E6922">
      <w:pPr>
        <w:jc w:val="both"/>
        <w:rPr>
          <w:rFonts w:ascii="Calibri" w:hAnsi="Calibri" w:cs="Calibri"/>
          <w:lang w:val="en-GB"/>
        </w:rPr>
      </w:pPr>
    </w:p>
    <w:p w14:paraId="7B0F6760" w14:textId="7B9BDE45" w:rsidR="003833A7" w:rsidRPr="00DD65C2" w:rsidRDefault="002E7E3C" w:rsidP="003833A7">
      <w:pPr>
        <w:pStyle w:val="ListParagraph"/>
        <w:numPr>
          <w:ilvl w:val="0"/>
          <w:numId w:val="13"/>
        </w:numPr>
        <w:jc w:val="both"/>
        <w:rPr>
          <w:rFonts w:ascii="Calibri" w:hAnsi="Calibri" w:cs="Calibri"/>
          <w:b/>
          <w:bCs/>
        </w:rPr>
      </w:pPr>
      <w:r w:rsidRPr="00DD65C2">
        <w:rPr>
          <w:rFonts w:ascii="Calibri" w:hAnsi="Calibri" w:cs="Calibri"/>
          <w:b/>
          <w:bCs/>
        </w:rPr>
        <w:t xml:space="preserve">The </w:t>
      </w:r>
      <w:r w:rsidR="00390459" w:rsidRPr="00DD65C2">
        <w:rPr>
          <w:rFonts w:ascii="Calibri" w:hAnsi="Calibri" w:cs="Calibri"/>
          <w:b/>
          <w:bCs/>
        </w:rPr>
        <w:t>Inconsistent</w:t>
      </w:r>
      <w:r w:rsidRPr="00DD65C2">
        <w:rPr>
          <w:rFonts w:ascii="Calibri" w:hAnsi="Calibri" w:cs="Calibri"/>
          <w:b/>
          <w:bCs/>
        </w:rPr>
        <w:t xml:space="preserve"> Interpretation of the Public Policy and Morality Exclusions in Europe (I): Overlooked </w:t>
      </w:r>
      <w:r w:rsidR="008F1093" w:rsidRPr="00DD65C2">
        <w:rPr>
          <w:rFonts w:ascii="Calibri" w:hAnsi="Calibri" w:cs="Calibri"/>
          <w:b/>
          <w:bCs/>
        </w:rPr>
        <w:t>Sources</w:t>
      </w:r>
      <w:r w:rsidRPr="00DD65C2">
        <w:rPr>
          <w:rFonts w:ascii="Calibri" w:hAnsi="Calibri" w:cs="Calibri"/>
          <w:b/>
          <w:bCs/>
        </w:rPr>
        <w:t xml:space="preserve"> of </w:t>
      </w:r>
      <w:r w:rsidR="00CB064E" w:rsidRPr="00DD65C2">
        <w:rPr>
          <w:rFonts w:ascii="Calibri" w:hAnsi="Calibri" w:cs="Calibri"/>
          <w:b/>
          <w:bCs/>
        </w:rPr>
        <w:t>Inconsistency</w:t>
      </w:r>
    </w:p>
    <w:p w14:paraId="1B7C8C81" w14:textId="77777777" w:rsidR="00596921" w:rsidRPr="00DD65C2" w:rsidRDefault="00596921" w:rsidP="00504F94">
      <w:pPr>
        <w:jc w:val="both"/>
        <w:rPr>
          <w:rFonts w:ascii="Calibri" w:hAnsi="Calibri" w:cs="Calibri"/>
          <w:lang w:val="en-GB"/>
        </w:rPr>
      </w:pPr>
    </w:p>
    <w:p w14:paraId="5326FF58" w14:textId="69B81601" w:rsidR="004474A4" w:rsidRPr="00DD65C2" w:rsidRDefault="00E01174" w:rsidP="007565DC">
      <w:pPr>
        <w:jc w:val="both"/>
        <w:rPr>
          <w:rFonts w:ascii="Calibri" w:hAnsi="Calibri" w:cs="Calibri"/>
          <w:lang w:val="en-GB"/>
        </w:rPr>
      </w:pPr>
      <w:r w:rsidRPr="00DD65C2">
        <w:rPr>
          <w:rFonts w:ascii="Calibri" w:hAnsi="Calibri" w:cs="Calibri"/>
          <w:lang w:val="en-GB"/>
        </w:rPr>
        <w:t xml:space="preserve">An overview of the case law in this </w:t>
      </w:r>
      <w:r w:rsidR="00EC5353" w:rsidRPr="00DD65C2">
        <w:rPr>
          <w:rFonts w:ascii="Calibri" w:hAnsi="Calibri" w:cs="Calibri"/>
          <w:lang w:val="en-GB"/>
        </w:rPr>
        <w:t>area</w:t>
      </w:r>
      <w:r w:rsidRPr="00DD65C2">
        <w:rPr>
          <w:rFonts w:ascii="Calibri" w:hAnsi="Calibri" w:cs="Calibri"/>
          <w:lang w:val="en-GB"/>
        </w:rPr>
        <w:t xml:space="preserve"> reveals </w:t>
      </w:r>
      <w:r w:rsidR="006A53B4" w:rsidRPr="00DD65C2">
        <w:rPr>
          <w:rFonts w:ascii="Calibri" w:hAnsi="Calibri" w:cs="Calibri"/>
          <w:lang w:val="en-GB"/>
        </w:rPr>
        <w:t>a lack of consensus as to the correct interpretation of each of the grounds for refusal</w:t>
      </w:r>
      <w:r w:rsidRPr="00DD65C2">
        <w:rPr>
          <w:rFonts w:ascii="Calibri" w:hAnsi="Calibri" w:cs="Calibri"/>
          <w:lang w:val="en-GB"/>
        </w:rPr>
        <w:t xml:space="preserve"> contained in Article</w:t>
      </w:r>
      <w:r w:rsidR="00973FB0" w:rsidRPr="00DD65C2">
        <w:rPr>
          <w:rFonts w:ascii="Calibri" w:hAnsi="Calibri" w:cs="Calibri"/>
          <w:lang w:val="en-GB"/>
        </w:rPr>
        <w:t xml:space="preserve"> </w:t>
      </w:r>
      <w:r w:rsidR="001268CC" w:rsidRPr="00DD65C2">
        <w:rPr>
          <w:rFonts w:ascii="Calibri" w:hAnsi="Calibri" w:cs="Calibri"/>
          <w:lang w:val="en-GB" w:eastAsia="en-US"/>
        </w:rPr>
        <w:t>7(1)(f) EUTMR</w:t>
      </w:r>
      <w:r w:rsidR="006A53B4" w:rsidRPr="00DD65C2">
        <w:rPr>
          <w:rFonts w:ascii="Calibri" w:hAnsi="Calibri" w:cs="Calibri"/>
          <w:lang w:val="en-GB"/>
        </w:rPr>
        <w:t>, including</w:t>
      </w:r>
      <w:r w:rsidR="007565DC" w:rsidRPr="00DD65C2">
        <w:rPr>
          <w:rFonts w:ascii="Calibri" w:hAnsi="Calibri" w:cs="Calibri"/>
          <w:lang w:val="en-GB"/>
        </w:rPr>
        <w:t xml:space="preserve">: (a) </w:t>
      </w:r>
      <w:r w:rsidR="004474A4" w:rsidRPr="00DD65C2">
        <w:rPr>
          <w:rFonts w:ascii="Calibri" w:hAnsi="Calibri" w:cs="Calibri"/>
          <w:lang w:val="en-GB"/>
        </w:rPr>
        <w:t>their conceptual boundaries</w:t>
      </w:r>
      <w:r w:rsidR="001842BA" w:rsidRPr="00DD65C2">
        <w:rPr>
          <w:rFonts w:ascii="Calibri" w:hAnsi="Calibri" w:cs="Calibri"/>
          <w:lang w:val="en-GB"/>
        </w:rPr>
        <w:t xml:space="preserve">; (b) </w:t>
      </w:r>
      <w:r w:rsidR="00705DC4" w:rsidRPr="00DD65C2">
        <w:rPr>
          <w:rFonts w:ascii="Calibri" w:hAnsi="Calibri" w:cs="Calibri"/>
          <w:lang w:val="en-GB"/>
        </w:rPr>
        <w:t xml:space="preserve">how to correctly define the relevant public; </w:t>
      </w:r>
      <w:r w:rsidR="007565DC" w:rsidRPr="00DD65C2">
        <w:rPr>
          <w:rFonts w:ascii="Calibri" w:hAnsi="Calibri" w:cs="Calibri"/>
          <w:lang w:val="en-GB"/>
        </w:rPr>
        <w:t>and (</w:t>
      </w:r>
      <w:r w:rsidR="00973FB0" w:rsidRPr="00DD65C2">
        <w:rPr>
          <w:rFonts w:ascii="Calibri" w:hAnsi="Calibri" w:cs="Calibri"/>
          <w:lang w:val="en-GB"/>
        </w:rPr>
        <w:t>c</w:t>
      </w:r>
      <w:r w:rsidR="007565DC" w:rsidRPr="00DD65C2">
        <w:rPr>
          <w:rFonts w:ascii="Calibri" w:hAnsi="Calibri" w:cs="Calibri"/>
          <w:lang w:val="en-GB"/>
        </w:rPr>
        <w:t>) the</w:t>
      </w:r>
      <w:r w:rsidR="006512DA" w:rsidRPr="00DD65C2">
        <w:rPr>
          <w:rFonts w:ascii="Calibri" w:hAnsi="Calibri" w:cs="Calibri"/>
          <w:lang w:val="en-GB"/>
        </w:rPr>
        <w:t>ir applicable</w:t>
      </w:r>
      <w:r w:rsidR="007565DC" w:rsidRPr="00DD65C2">
        <w:rPr>
          <w:rFonts w:ascii="Calibri" w:hAnsi="Calibri" w:cs="Calibri"/>
          <w:lang w:val="en-GB"/>
        </w:rPr>
        <w:t xml:space="preserve"> legal test</w:t>
      </w:r>
      <w:r w:rsidR="006512DA" w:rsidRPr="00DD65C2">
        <w:rPr>
          <w:rFonts w:ascii="Calibri" w:hAnsi="Calibri" w:cs="Calibri"/>
          <w:lang w:val="en-GB"/>
        </w:rPr>
        <w:t>(</w:t>
      </w:r>
      <w:r w:rsidR="007565DC" w:rsidRPr="00DD65C2">
        <w:rPr>
          <w:rFonts w:ascii="Calibri" w:hAnsi="Calibri" w:cs="Calibri"/>
          <w:lang w:val="en-GB"/>
        </w:rPr>
        <w:t>s</w:t>
      </w:r>
      <w:r w:rsidR="006512DA" w:rsidRPr="00DD65C2">
        <w:rPr>
          <w:rFonts w:ascii="Calibri" w:hAnsi="Calibri" w:cs="Calibri"/>
          <w:lang w:val="en-GB"/>
        </w:rPr>
        <w:t>)</w:t>
      </w:r>
      <w:r w:rsidR="004474A4" w:rsidRPr="00DD65C2">
        <w:rPr>
          <w:rFonts w:ascii="Calibri" w:hAnsi="Calibri" w:cs="Calibri"/>
          <w:lang w:val="en-GB"/>
        </w:rPr>
        <w:t xml:space="preserve">. </w:t>
      </w:r>
    </w:p>
    <w:p w14:paraId="20B95463" w14:textId="77777777" w:rsidR="00D96406" w:rsidRPr="00DD65C2" w:rsidRDefault="00D96406" w:rsidP="00EB49E0">
      <w:pPr>
        <w:jc w:val="both"/>
        <w:rPr>
          <w:rFonts w:ascii="Calibri" w:hAnsi="Calibri" w:cs="Calibri"/>
          <w:b/>
          <w:bCs/>
          <w:lang w:val="en-GB"/>
        </w:rPr>
      </w:pPr>
    </w:p>
    <w:p w14:paraId="11DC5AAD" w14:textId="2BF3940E" w:rsidR="004474A4" w:rsidRPr="00DD65C2" w:rsidRDefault="004474A4" w:rsidP="003833A7">
      <w:pPr>
        <w:pStyle w:val="ListParagraph"/>
        <w:numPr>
          <w:ilvl w:val="1"/>
          <w:numId w:val="13"/>
        </w:numPr>
        <w:jc w:val="both"/>
        <w:rPr>
          <w:rFonts w:ascii="Calibri" w:hAnsi="Calibri" w:cs="Calibri"/>
          <w:b/>
          <w:bCs/>
        </w:rPr>
      </w:pPr>
      <w:r w:rsidRPr="00DD65C2">
        <w:rPr>
          <w:rFonts w:ascii="Calibri" w:hAnsi="Calibri" w:cs="Calibri"/>
          <w:b/>
          <w:bCs/>
        </w:rPr>
        <w:t>The Conceptual Boundaries of the Public Policy and Morality Exclusions</w:t>
      </w:r>
    </w:p>
    <w:p w14:paraId="43143AD1" w14:textId="74F8B495" w:rsidR="00E01174" w:rsidRPr="00DD65C2" w:rsidRDefault="00E01174" w:rsidP="00504F94">
      <w:pPr>
        <w:jc w:val="both"/>
        <w:rPr>
          <w:rFonts w:ascii="Calibri" w:hAnsi="Calibri" w:cs="Calibri"/>
          <w:lang w:val="en-GB"/>
        </w:rPr>
      </w:pPr>
    </w:p>
    <w:p w14:paraId="1371B075" w14:textId="46392786" w:rsidR="004474A4" w:rsidRPr="00DD65C2" w:rsidRDefault="004474A4" w:rsidP="00504F94">
      <w:pPr>
        <w:jc w:val="both"/>
        <w:rPr>
          <w:rFonts w:ascii="Calibri" w:hAnsi="Calibri" w:cs="Calibri"/>
          <w:lang w:val="en-GB"/>
        </w:rPr>
      </w:pPr>
      <w:r w:rsidRPr="00DD65C2">
        <w:rPr>
          <w:rFonts w:ascii="Calibri" w:hAnsi="Calibri" w:cs="Calibri"/>
          <w:lang w:val="en-GB"/>
        </w:rPr>
        <w:t xml:space="preserve">European </w:t>
      </w:r>
      <w:r w:rsidR="00CA4514" w:rsidRPr="00DD65C2">
        <w:rPr>
          <w:rFonts w:ascii="Calibri" w:hAnsi="Calibri" w:cs="Calibri"/>
          <w:lang w:val="en-GB"/>
        </w:rPr>
        <w:t>decision-maker</w:t>
      </w:r>
      <w:r w:rsidRPr="00DD65C2">
        <w:rPr>
          <w:rFonts w:ascii="Calibri" w:hAnsi="Calibri" w:cs="Calibri"/>
          <w:lang w:val="en-GB"/>
        </w:rPr>
        <w:t>s have devoted little attention to defining the content of the public policy and morality exclusions, including whether they overlap and, if so,</w:t>
      </w:r>
      <w:r w:rsidR="00E4533E" w:rsidRPr="00DD65C2">
        <w:rPr>
          <w:rFonts w:ascii="Calibri" w:hAnsi="Calibri" w:cs="Calibri"/>
          <w:lang w:val="en-GB"/>
        </w:rPr>
        <w:t xml:space="preserve"> to what extent</w:t>
      </w:r>
      <w:r w:rsidRPr="00DD65C2">
        <w:rPr>
          <w:rFonts w:ascii="Calibri" w:hAnsi="Calibri" w:cs="Calibri"/>
          <w:lang w:val="en-GB"/>
        </w:rPr>
        <w:t>. Th</w:t>
      </w:r>
      <w:r w:rsidR="00525CB7" w:rsidRPr="00DD65C2">
        <w:rPr>
          <w:rFonts w:ascii="Calibri" w:hAnsi="Calibri" w:cs="Calibri"/>
          <w:lang w:val="en-GB"/>
        </w:rPr>
        <w:t xml:space="preserve">e lack of clear conceptual boundaries between both exclusions has greatly contributed to the sense of uncertainty that governs this area of law. </w:t>
      </w:r>
    </w:p>
    <w:p w14:paraId="7F664D31" w14:textId="77777777" w:rsidR="00F3499C" w:rsidRPr="00DD65C2" w:rsidRDefault="00F3499C" w:rsidP="00504F94">
      <w:pPr>
        <w:jc w:val="both"/>
        <w:rPr>
          <w:rFonts w:ascii="Calibri" w:hAnsi="Calibri" w:cs="Calibri"/>
          <w:lang w:val="en-GB"/>
        </w:rPr>
      </w:pPr>
    </w:p>
    <w:p w14:paraId="39555E64" w14:textId="7F5870A1" w:rsidR="00F3499C" w:rsidRPr="00DD65C2" w:rsidRDefault="00F3499C" w:rsidP="00F3499C">
      <w:pPr>
        <w:jc w:val="both"/>
        <w:rPr>
          <w:rFonts w:ascii="Calibri" w:hAnsi="Calibri" w:cs="Calibri"/>
          <w:lang w:val="en-US"/>
        </w:rPr>
      </w:pPr>
      <w:r w:rsidRPr="00DD65C2">
        <w:rPr>
          <w:rFonts w:ascii="Calibri" w:hAnsi="Calibri" w:cs="Calibri"/>
          <w:lang w:val="en-GB"/>
        </w:rPr>
        <w:t xml:space="preserve">In </w:t>
      </w:r>
      <w:r w:rsidRPr="00DD65C2">
        <w:rPr>
          <w:rFonts w:ascii="Calibri" w:hAnsi="Calibri" w:cs="Calibri"/>
          <w:i/>
          <w:iCs/>
          <w:lang w:val="en-GB"/>
        </w:rPr>
        <w:t>Application of Square Enix Ltd</w:t>
      </w:r>
      <w:r w:rsidRPr="00DD65C2">
        <w:rPr>
          <w:rFonts w:ascii="Calibri" w:hAnsi="Calibri" w:cs="Calibri"/>
          <w:lang w:val="en-GB"/>
        </w:rPr>
        <w:t>, for instance, the EUIPO</w:t>
      </w:r>
      <w:r w:rsidR="00C16C06" w:rsidRPr="00DD65C2">
        <w:rPr>
          <w:rFonts w:ascii="Calibri" w:hAnsi="Calibri" w:cs="Calibri"/>
          <w:lang w:val="en-GB"/>
        </w:rPr>
        <w:t xml:space="preserve"> BoA’s</w:t>
      </w:r>
      <w:r w:rsidRPr="00DD65C2">
        <w:rPr>
          <w:rFonts w:ascii="Calibri" w:hAnsi="Calibri" w:cs="Calibri"/>
          <w:lang w:val="en-GB"/>
        </w:rPr>
        <w:t xml:space="preserve"> finding that the sign ‘M</w:t>
      </w:r>
      <w:r w:rsidR="00FC28F5" w:rsidRPr="00DD65C2">
        <w:rPr>
          <w:rFonts w:ascii="Calibri" w:hAnsi="Calibri" w:cs="Calibri"/>
          <w:lang w:val="en-GB"/>
        </w:rPr>
        <w:t>echanical Apartheid</w:t>
      </w:r>
      <w:r w:rsidRPr="00DD65C2">
        <w:rPr>
          <w:rFonts w:ascii="Calibri" w:hAnsi="Calibri" w:cs="Calibri"/>
          <w:lang w:val="en-GB"/>
        </w:rPr>
        <w:t xml:space="preserve">’ was contrary to Article 7(1)(f) EUTMR failed to distinguish between each ground of refusal, going as far as to use them indistinctly throughout its decision. The </w:t>
      </w:r>
      <w:r w:rsidR="00AE7823" w:rsidRPr="00DD65C2">
        <w:rPr>
          <w:rFonts w:ascii="Calibri" w:hAnsi="Calibri" w:cs="Calibri"/>
          <w:lang w:val="en-GB"/>
        </w:rPr>
        <w:t>Board</w:t>
      </w:r>
      <w:r w:rsidRPr="00DD65C2">
        <w:rPr>
          <w:rFonts w:ascii="Calibri" w:hAnsi="Calibri" w:cs="Calibri"/>
          <w:lang w:val="en-GB"/>
        </w:rPr>
        <w:t xml:space="preserve"> began its analysis arguing that ‘</w:t>
      </w:r>
      <w:r w:rsidRPr="00DD65C2">
        <w:rPr>
          <w:rFonts w:ascii="Calibri" w:hAnsi="Calibri" w:cs="Calibri"/>
        </w:rPr>
        <w:t xml:space="preserve">the </w:t>
      </w:r>
      <w:r w:rsidRPr="00DD65C2">
        <w:rPr>
          <w:rFonts w:ascii="Calibri" w:hAnsi="Calibri" w:cs="Calibri"/>
          <w:lang w:val="en-US"/>
        </w:rPr>
        <w:t xml:space="preserve">[trade mark] </w:t>
      </w:r>
      <w:r w:rsidRPr="00DD65C2">
        <w:rPr>
          <w:rFonts w:ascii="Calibri" w:hAnsi="Calibri" w:cs="Calibri"/>
        </w:rPr>
        <w:t xml:space="preserve">application is contrary to public policy </w:t>
      </w:r>
      <w:r w:rsidRPr="00DD65C2">
        <w:rPr>
          <w:rFonts w:ascii="Calibri" w:hAnsi="Calibri" w:cs="Calibri"/>
          <w:i/>
          <w:iCs/>
        </w:rPr>
        <w:t>and</w:t>
      </w:r>
      <w:r w:rsidRPr="00DD65C2">
        <w:rPr>
          <w:rFonts w:ascii="Calibri" w:hAnsi="Calibri" w:cs="Calibri"/>
        </w:rPr>
        <w:t xml:space="preserve"> to accepted principles of moralit</w:t>
      </w:r>
      <w:r w:rsidRPr="00DD65C2">
        <w:rPr>
          <w:rFonts w:ascii="Calibri" w:hAnsi="Calibri" w:cs="Calibri"/>
          <w:lang w:val="en-US"/>
        </w:rPr>
        <w:t>y’.</w:t>
      </w:r>
      <w:r w:rsidRPr="00DD65C2">
        <w:rPr>
          <w:rStyle w:val="FootnoteReference"/>
          <w:rFonts w:ascii="Calibri" w:hAnsi="Calibri" w:cs="Calibri"/>
        </w:rPr>
        <w:footnoteReference w:id="17"/>
      </w:r>
      <w:r w:rsidRPr="00DD65C2">
        <w:rPr>
          <w:rFonts w:ascii="Calibri" w:hAnsi="Calibri" w:cs="Calibri"/>
          <w:lang w:val="en-US"/>
        </w:rPr>
        <w:t xml:space="preserve"> Later on, the Board held that ‘</w:t>
      </w:r>
      <w:r w:rsidRPr="00DD65C2">
        <w:rPr>
          <w:rFonts w:ascii="Calibri" w:hAnsi="Calibri" w:cs="Calibri"/>
        </w:rPr>
        <w:t xml:space="preserve">Article 7(1)(f) CTMR clearly imposes a duty on the Office to exercise a degree of </w:t>
      </w:r>
      <w:r w:rsidRPr="00DD65C2">
        <w:rPr>
          <w:rFonts w:ascii="Calibri" w:hAnsi="Calibri" w:cs="Calibri"/>
          <w:i/>
          <w:iCs/>
        </w:rPr>
        <w:t>moral</w:t>
      </w:r>
      <w:r w:rsidRPr="00DD65C2">
        <w:rPr>
          <w:rFonts w:ascii="Calibri" w:hAnsi="Calibri" w:cs="Calibri"/>
        </w:rPr>
        <w:t xml:space="preserve"> judgment in assessing the suitability of signs to be granted trade mark protection</w:t>
      </w:r>
      <w:r w:rsidRPr="00DD65C2">
        <w:rPr>
          <w:rFonts w:ascii="Calibri" w:hAnsi="Calibri" w:cs="Calibri"/>
          <w:lang w:val="en-US"/>
        </w:rPr>
        <w:t>’.</w:t>
      </w:r>
      <w:r w:rsidRPr="00DD65C2">
        <w:rPr>
          <w:rStyle w:val="FootnoteReference"/>
          <w:rFonts w:ascii="Calibri" w:hAnsi="Calibri" w:cs="Calibri"/>
        </w:rPr>
        <w:footnoteReference w:id="18"/>
      </w:r>
      <w:r w:rsidRPr="00DD65C2">
        <w:rPr>
          <w:rFonts w:ascii="Calibri" w:hAnsi="Calibri" w:cs="Calibri"/>
          <w:lang w:val="en-US"/>
        </w:rPr>
        <w:t xml:space="preserve"> Finally, </w:t>
      </w:r>
      <w:r w:rsidR="00AE7823" w:rsidRPr="00DD65C2">
        <w:rPr>
          <w:rFonts w:ascii="Calibri" w:hAnsi="Calibri" w:cs="Calibri"/>
          <w:lang w:val="en-US"/>
        </w:rPr>
        <w:t>the Board</w:t>
      </w:r>
      <w:r w:rsidRPr="00DD65C2">
        <w:rPr>
          <w:rFonts w:ascii="Calibri" w:hAnsi="Calibri" w:cs="Calibri"/>
          <w:lang w:val="en-US"/>
        </w:rPr>
        <w:t xml:space="preserve"> went on to conclude that the applied-for sign </w:t>
      </w:r>
      <w:r w:rsidRPr="00DD65C2">
        <w:rPr>
          <w:rFonts w:ascii="Calibri" w:hAnsi="Calibri" w:cs="Calibri"/>
          <w:lang w:val="en-GB"/>
        </w:rPr>
        <w:t>‘</w:t>
      </w:r>
      <w:r w:rsidRPr="00DD65C2">
        <w:rPr>
          <w:rFonts w:ascii="Calibri" w:hAnsi="Calibri" w:cs="Calibri"/>
        </w:rPr>
        <w:t xml:space="preserve">is contrary to the European Union’s </w:t>
      </w:r>
      <w:r w:rsidRPr="00DD65C2">
        <w:rPr>
          <w:rFonts w:ascii="Calibri" w:hAnsi="Calibri" w:cs="Calibri"/>
          <w:i/>
          <w:iCs/>
        </w:rPr>
        <w:t>public policy</w:t>
      </w:r>
      <w:r w:rsidRPr="00DD65C2">
        <w:rPr>
          <w:rFonts w:ascii="Calibri" w:hAnsi="Calibri" w:cs="Calibri"/>
          <w:lang w:val="en-US"/>
        </w:rPr>
        <w:t>’.</w:t>
      </w:r>
      <w:r w:rsidRPr="00DD65C2">
        <w:rPr>
          <w:rStyle w:val="FootnoteReference"/>
          <w:rFonts w:ascii="Calibri" w:hAnsi="Calibri" w:cs="Calibri"/>
        </w:rPr>
        <w:footnoteReference w:id="19"/>
      </w:r>
    </w:p>
    <w:p w14:paraId="34947516" w14:textId="77777777" w:rsidR="001F3B42" w:rsidRPr="00DD65C2" w:rsidRDefault="001F3B42" w:rsidP="00504F94">
      <w:pPr>
        <w:jc w:val="both"/>
        <w:rPr>
          <w:rFonts w:ascii="Calibri" w:hAnsi="Calibri" w:cs="Calibri"/>
          <w:lang w:val="en-GB"/>
        </w:rPr>
      </w:pPr>
    </w:p>
    <w:p w14:paraId="7C86611F" w14:textId="2D46F7F7" w:rsidR="002F789C" w:rsidRPr="00DD65C2" w:rsidRDefault="00E72E0E" w:rsidP="00504F94">
      <w:pPr>
        <w:jc w:val="both"/>
        <w:rPr>
          <w:rFonts w:ascii="Calibri" w:hAnsi="Calibri" w:cs="Calibri"/>
          <w:lang w:val="en-GB"/>
        </w:rPr>
      </w:pPr>
      <w:r w:rsidRPr="00DD65C2">
        <w:rPr>
          <w:rFonts w:ascii="Calibri" w:hAnsi="Calibri" w:cs="Calibri"/>
          <w:lang w:val="en-GB"/>
        </w:rPr>
        <w:t>I</w:t>
      </w:r>
      <w:r w:rsidR="00646994" w:rsidRPr="00DD65C2">
        <w:rPr>
          <w:rFonts w:ascii="Calibri" w:hAnsi="Calibri" w:cs="Calibri"/>
          <w:lang w:val="en-GB"/>
        </w:rPr>
        <w:t xml:space="preserve">n </w:t>
      </w:r>
      <w:r w:rsidR="00334BAF" w:rsidRPr="00DD65C2">
        <w:rPr>
          <w:rFonts w:ascii="Calibri" w:hAnsi="Calibri" w:cs="Calibri"/>
          <w:i/>
          <w:iCs/>
          <w:lang w:val="en-GB"/>
        </w:rPr>
        <w:t>Couture Tech</w:t>
      </w:r>
      <w:r w:rsidR="00F342EE" w:rsidRPr="00DD65C2">
        <w:rPr>
          <w:rFonts w:ascii="Calibri" w:hAnsi="Calibri" w:cs="Calibri"/>
          <w:i/>
          <w:iCs/>
          <w:lang w:val="en-GB"/>
        </w:rPr>
        <w:t xml:space="preserve"> v OHIM</w:t>
      </w:r>
      <w:r w:rsidR="002F789C" w:rsidRPr="00DD65C2">
        <w:rPr>
          <w:rFonts w:ascii="Calibri" w:hAnsi="Calibri" w:cs="Calibri"/>
          <w:lang w:val="en-GB"/>
        </w:rPr>
        <w:t xml:space="preserve">, </w:t>
      </w:r>
      <w:r w:rsidR="00334BAF" w:rsidRPr="00DD65C2">
        <w:rPr>
          <w:rFonts w:ascii="Calibri" w:hAnsi="Calibri" w:cs="Calibri"/>
          <w:lang w:val="en-GB"/>
        </w:rPr>
        <w:t xml:space="preserve">the </w:t>
      </w:r>
      <w:r w:rsidR="002D0B27" w:rsidRPr="00DD65C2">
        <w:rPr>
          <w:rFonts w:ascii="Calibri" w:hAnsi="Calibri" w:cs="Calibri"/>
          <w:lang w:val="en-GB"/>
        </w:rPr>
        <w:t>GC</w:t>
      </w:r>
      <w:r w:rsidR="00334BAF" w:rsidRPr="00DD65C2">
        <w:rPr>
          <w:rFonts w:ascii="Calibri" w:hAnsi="Calibri" w:cs="Calibri"/>
          <w:lang w:val="en-GB"/>
        </w:rPr>
        <w:t xml:space="preserve"> upheld the EUIPO’s refusal to register a figurative sign depicting the coat of arms of the former USSR on grounds that it would be </w:t>
      </w:r>
      <w:r w:rsidR="00CF3362" w:rsidRPr="00DD65C2">
        <w:rPr>
          <w:rFonts w:ascii="Calibri" w:hAnsi="Calibri" w:cs="Calibri"/>
          <w:lang w:val="en-GB"/>
        </w:rPr>
        <w:t>‘</w:t>
      </w:r>
      <w:r w:rsidR="00334BAF" w:rsidRPr="00DD65C2">
        <w:rPr>
          <w:rFonts w:ascii="Calibri" w:hAnsi="Calibri" w:cs="Calibri"/>
          <w:lang w:val="en-GB"/>
        </w:rPr>
        <w:t xml:space="preserve">contrary to public policy </w:t>
      </w:r>
      <w:r w:rsidR="00CF3362" w:rsidRPr="00DD65C2">
        <w:rPr>
          <w:rFonts w:ascii="Calibri" w:hAnsi="Calibri" w:cs="Calibri"/>
          <w:i/>
          <w:iCs/>
          <w:lang w:val="en-GB"/>
        </w:rPr>
        <w:t>or</w:t>
      </w:r>
      <w:r w:rsidR="00CF3362" w:rsidRPr="00DD65C2">
        <w:rPr>
          <w:rFonts w:ascii="Calibri" w:hAnsi="Calibri" w:cs="Calibri"/>
          <w:lang w:val="en-GB"/>
        </w:rPr>
        <w:t xml:space="preserve"> to</w:t>
      </w:r>
      <w:r w:rsidR="00334BAF" w:rsidRPr="00DD65C2">
        <w:rPr>
          <w:rFonts w:ascii="Calibri" w:hAnsi="Calibri" w:cs="Calibri"/>
          <w:lang w:val="en-GB"/>
        </w:rPr>
        <w:t xml:space="preserve"> accepted principles of morality</w:t>
      </w:r>
      <w:r w:rsidR="00CF3362" w:rsidRPr="00DD65C2">
        <w:rPr>
          <w:rFonts w:ascii="Calibri" w:hAnsi="Calibri" w:cs="Calibri"/>
          <w:lang w:val="en-GB"/>
        </w:rPr>
        <w:t>’</w:t>
      </w:r>
      <w:r w:rsidR="00334BAF" w:rsidRPr="00DD65C2">
        <w:rPr>
          <w:rFonts w:ascii="Calibri" w:hAnsi="Calibri" w:cs="Calibri"/>
          <w:lang w:val="en-GB"/>
        </w:rPr>
        <w:t xml:space="preserve"> in those Member States which had </w:t>
      </w:r>
      <w:r w:rsidR="00334BAF" w:rsidRPr="00DD65C2">
        <w:rPr>
          <w:rFonts w:ascii="Calibri" w:hAnsi="Calibri" w:cs="Calibri"/>
          <w:lang w:val="en-GB"/>
        </w:rPr>
        <w:lastRenderedPageBreak/>
        <w:t>been subject to the Soviet regime.</w:t>
      </w:r>
      <w:r w:rsidR="003937C9" w:rsidRPr="00DD65C2">
        <w:rPr>
          <w:rStyle w:val="FootnoteReference"/>
          <w:rFonts w:ascii="Calibri" w:hAnsi="Calibri" w:cs="Calibri"/>
        </w:rPr>
        <w:footnoteReference w:id="20"/>
      </w:r>
      <w:r w:rsidR="00334BAF" w:rsidRPr="00DD65C2">
        <w:rPr>
          <w:rFonts w:ascii="Calibri" w:hAnsi="Calibri" w:cs="Calibri"/>
          <w:lang w:val="en-GB"/>
        </w:rPr>
        <w:t xml:space="preserve"> </w:t>
      </w:r>
      <w:r w:rsidR="00CF3362" w:rsidRPr="00DD65C2">
        <w:rPr>
          <w:rFonts w:ascii="Calibri" w:hAnsi="Calibri" w:cs="Calibri"/>
          <w:lang w:val="en-GB"/>
        </w:rPr>
        <w:t xml:space="preserve">The Court relied on the provisions of the Hungarian Criminal Code banning the use of </w:t>
      </w:r>
      <w:r w:rsidR="00B1390F" w:rsidRPr="00DD65C2">
        <w:rPr>
          <w:rFonts w:ascii="Calibri" w:hAnsi="Calibri" w:cs="Calibri"/>
          <w:lang w:val="en-GB"/>
        </w:rPr>
        <w:t>symbols</w:t>
      </w:r>
      <w:r w:rsidR="00CF3362" w:rsidRPr="00DD65C2">
        <w:rPr>
          <w:rFonts w:ascii="Calibri" w:hAnsi="Calibri" w:cs="Calibri"/>
          <w:lang w:val="en-GB"/>
        </w:rPr>
        <w:t xml:space="preserve"> reminiscent of the Soviet Unio</w:t>
      </w:r>
      <w:r w:rsidR="00B1390F" w:rsidRPr="00DD65C2">
        <w:rPr>
          <w:rFonts w:ascii="Calibri" w:hAnsi="Calibri" w:cs="Calibri"/>
          <w:lang w:val="en-GB"/>
        </w:rPr>
        <w:t>n</w:t>
      </w:r>
      <w:r w:rsidR="00CF3362" w:rsidRPr="00DD65C2">
        <w:rPr>
          <w:rFonts w:ascii="Calibri" w:hAnsi="Calibri" w:cs="Calibri"/>
          <w:lang w:val="en-GB"/>
        </w:rPr>
        <w:t xml:space="preserve"> to conclude that the public would find them to contravene public policy or morality in, at least, Hungary. </w:t>
      </w:r>
      <w:r w:rsidR="00334BAF" w:rsidRPr="00DD65C2">
        <w:rPr>
          <w:rFonts w:ascii="Calibri" w:hAnsi="Calibri" w:cs="Calibri"/>
          <w:lang w:val="en-GB"/>
        </w:rPr>
        <w:t xml:space="preserve">In reaching its decision, the </w:t>
      </w:r>
      <w:r w:rsidR="003937C9" w:rsidRPr="00DD65C2">
        <w:rPr>
          <w:rFonts w:ascii="Calibri" w:hAnsi="Calibri" w:cs="Calibri"/>
          <w:lang w:val="en-GB"/>
        </w:rPr>
        <w:t>GC</w:t>
      </w:r>
      <w:r w:rsidR="00CF3362" w:rsidRPr="00DD65C2">
        <w:rPr>
          <w:rFonts w:ascii="Calibri" w:hAnsi="Calibri" w:cs="Calibri"/>
          <w:lang w:val="en-GB"/>
        </w:rPr>
        <w:t xml:space="preserve"> made no distinction between each ground of refusal, opening the door to speculation as to whether their content overlaps in all cases</w:t>
      </w:r>
      <w:r w:rsidR="00F3499C" w:rsidRPr="00DD65C2">
        <w:rPr>
          <w:rFonts w:ascii="Calibri" w:hAnsi="Calibri" w:cs="Calibri"/>
          <w:lang w:val="en-GB"/>
        </w:rPr>
        <w:t xml:space="preserve"> or only in the case at hand.</w:t>
      </w:r>
      <w:r w:rsidR="0038346A" w:rsidRPr="00DD65C2">
        <w:rPr>
          <w:rStyle w:val="FootnoteReference"/>
          <w:rFonts w:ascii="Calibri" w:hAnsi="Calibri" w:cs="Calibri"/>
        </w:rPr>
        <w:footnoteReference w:id="21"/>
      </w:r>
      <w:r w:rsidR="00F3499C" w:rsidRPr="00DD65C2">
        <w:rPr>
          <w:rFonts w:ascii="Calibri" w:hAnsi="Calibri" w:cs="Calibri"/>
          <w:lang w:val="en-GB"/>
        </w:rPr>
        <w:t xml:space="preserve"> Given the sweeping implications of the former interpretation (i.e. </w:t>
      </w:r>
      <w:r w:rsidR="00CA4514" w:rsidRPr="00DD65C2">
        <w:rPr>
          <w:rFonts w:ascii="Calibri" w:hAnsi="Calibri" w:cs="Calibri"/>
          <w:lang w:val="en-GB"/>
        </w:rPr>
        <w:t>decision-maker</w:t>
      </w:r>
      <w:r w:rsidR="00F3499C" w:rsidRPr="00DD65C2">
        <w:rPr>
          <w:rFonts w:ascii="Calibri" w:hAnsi="Calibri" w:cs="Calibri"/>
          <w:lang w:val="en-GB"/>
        </w:rPr>
        <w:t xml:space="preserve">s will never be required, under Article 7(1)(f) EUTMR, to analyse each ground separately), subsequent decisions have </w:t>
      </w:r>
      <w:r w:rsidR="00C27FFD" w:rsidRPr="00DD65C2">
        <w:rPr>
          <w:rFonts w:ascii="Calibri" w:hAnsi="Calibri" w:cs="Calibri"/>
          <w:lang w:val="en-GB"/>
        </w:rPr>
        <w:t xml:space="preserve">read </w:t>
      </w:r>
      <w:r w:rsidR="00C27FFD" w:rsidRPr="00DD65C2">
        <w:rPr>
          <w:rFonts w:ascii="Calibri" w:hAnsi="Calibri" w:cs="Calibri"/>
          <w:i/>
          <w:iCs/>
          <w:lang w:val="en-GB"/>
        </w:rPr>
        <w:t>Couture Tech</w:t>
      </w:r>
      <w:r w:rsidR="00C27FFD" w:rsidRPr="00DD65C2">
        <w:rPr>
          <w:rFonts w:ascii="Calibri" w:hAnsi="Calibri" w:cs="Calibri"/>
          <w:lang w:val="en-GB"/>
        </w:rPr>
        <w:t xml:space="preserve"> in the sense that both grounds overlap only sometimes</w:t>
      </w:r>
      <w:r w:rsidR="00F3499C" w:rsidRPr="00DD65C2">
        <w:rPr>
          <w:rFonts w:ascii="Calibri" w:hAnsi="Calibri" w:cs="Calibri"/>
          <w:lang w:val="en-GB"/>
        </w:rPr>
        <w:t>.</w:t>
      </w:r>
      <w:r w:rsidR="00F3499C" w:rsidRPr="00DD65C2">
        <w:rPr>
          <w:rStyle w:val="FootnoteReference"/>
          <w:rFonts w:ascii="Calibri" w:hAnsi="Calibri" w:cs="Calibri"/>
        </w:rPr>
        <w:footnoteReference w:id="22"/>
      </w:r>
    </w:p>
    <w:p w14:paraId="335A1D1B" w14:textId="77777777" w:rsidR="00F861B4" w:rsidRPr="00DD65C2" w:rsidRDefault="00F861B4" w:rsidP="00504F94">
      <w:pPr>
        <w:jc w:val="both"/>
        <w:rPr>
          <w:rFonts w:ascii="Calibri" w:hAnsi="Calibri" w:cs="Calibri"/>
          <w:lang w:val="en-GB"/>
        </w:rPr>
      </w:pPr>
    </w:p>
    <w:p w14:paraId="6BD22668" w14:textId="1766FC3F" w:rsidR="00171CA9" w:rsidRPr="00DD65C2" w:rsidRDefault="000B690E" w:rsidP="00B6342C">
      <w:pPr>
        <w:jc w:val="both"/>
        <w:rPr>
          <w:rFonts w:ascii="Calibri" w:hAnsi="Calibri" w:cs="Calibri"/>
          <w:lang w:val="en-GB"/>
        </w:rPr>
      </w:pPr>
      <w:r w:rsidRPr="00DD65C2">
        <w:rPr>
          <w:rFonts w:ascii="Calibri" w:hAnsi="Calibri" w:cs="Calibri"/>
          <w:lang w:val="en-GB"/>
        </w:rPr>
        <w:t>To further complicate things, in</w:t>
      </w:r>
      <w:r w:rsidR="00600B02" w:rsidRPr="00DD65C2">
        <w:rPr>
          <w:rFonts w:ascii="Calibri" w:hAnsi="Calibri" w:cs="Calibri"/>
          <w:lang w:val="en-GB"/>
        </w:rPr>
        <w:t xml:space="preserve"> </w:t>
      </w:r>
      <w:r w:rsidR="00D94F9B" w:rsidRPr="00DD65C2">
        <w:rPr>
          <w:rFonts w:ascii="Calibri" w:hAnsi="Calibri" w:cs="Calibri"/>
          <w:i/>
          <w:iCs/>
          <w:lang w:val="en-GB"/>
        </w:rPr>
        <w:t>Constantin Film Produktion</w:t>
      </w:r>
      <w:r w:rsidR="00B87CEA" w:rsidRPr="00DD65C2">
        <w:rPr>
          <w:rFonts w:ascii="Calibri" w:hAnsi="Calibri" w:cs="Calibri"/>
          <w:i/>
          <w:iCs/>
          <w:lang w:val="en-GB"/>
        </w:rPr>
        <w:t xml:space="preserve"> </w:t>
      </w:r>
      <w:r w:rsidR="00B87CEA" w:rsidRPr="00DD65C2">
        <w:rPr>
          <w:rFonts w:ascii="Calibri" w:hAnsi="Calibri" w:cs="Calibri"/>
          <w:lang w:val="en-GB"/>
        </w:rPr>
        <w:t>(i.e. ‘F</w:t>
      </w:r>
      <w:r w:rsidR="00FC28F5" w:rsidRPr="00DD65C2">
        <w:rPr>
          <w:rFonts w:ascii="Calibri" w:hAnsi="Calibri" w:cs="Calibri"/>
          <w:lang w:val="en-GB"/>
        </w:rPr>
        <w:t>ack Ju Göhte</w:t>
      </w:r>
      <w:r w:rsidR="00B87CEA" w:rsidRPr="00DD65C2">
        <w:rPr>
          <w:rFonts w:ascii="Calibri" w:hAnsi="Calibri" w:cs="Calibri"/>
          <w:lang w:val="en-GB"/>
        </w:rPr>
        <w:t>’)</w:t>
      </w:r>
      <w:r w:rsidR="00B03800" w:rsidRPr="00DD65C2">
        <w:rPr>
          <w:rFonts w:ascii="Calibri" w:hAnsi="Calibri" w:cs="Calibri"/>
          <w:lang w:val="en-GB"/>
        </w:rPr>
        <w:t>,</w:t>
      </w:r>
      <w:r w:rsidR="00063A12" w:rsidRPr="00DD65C2">
        <w:rPr>
          <w:rFonts w:ascii="Calibri" w:hAnsi="Calibri" w:cs="Calibri"/>
          <w:lang w:val="en-GB"/>
        </w:rPr>
        <w:t xml:space="preserve"> </w:t>
      </w:r>
      <w:r w:rsidR="00D94F9B" w:rsidRPr="00DD65C2">
        <w:rPr>
          <w:rFonts w:ascii="Calibri" w:hAnsi="Calibri" w:cs="Calibri"/>
          <w:lang w:val="en-GB"/>
        </w:rPr>
        <w:t xml:space="preserve">the </w:t>
      </w:r>
      <w:r w:rsidR="004834E3" w:rsidRPr="00DD65C2">
        <w:rPr>
          <w:rFonts w:ascii="Calibri" w:hAnsi="Calibri" w:cs="Calibri"/>
          <w:lang w:val="en-GB"/>
        </w:rPr>
        <w:t>GC</w:t>
      </w:r>
      <w:r w:rsidR="00D94F9B" w:rsidRPr="00DD65C2">
        <w:rPr>
          <w:rFonts w:ascii="Calibri" w:hAnsi="Calibri" w:cs="Calibri"/>
          <w:lang w:val="en-GB"/>
        </w:rPr>
        <w:t xml:space="preserve"> held that</w:t>
      </w:r>
      <w:r w:rsidR="00B03800" w:rsidRPr="00DD65C2">
        <w:rPr>
          <w:rFonts w:ascii="Calibri" w:hAnsi="Calibri" w:cs="Calibri"/>
          <w:lang w:val="en-GB"/>
        </w:rPr>
        <w:t xml:space="preserve"> ‘the concepts of “public policy” and “accepted principles of morality” are different but they often overlap. Thus [</w:t>
      </w:r>
      <w:r w:rsidR="00CA4514" w:rsidRPr="00DD65C2">
        <w:rPr>
          <w:rFonts w:ascii="Calibri" w:hAnsi="Calibri" w:cs="Calibri"/>
          <w:lang w:val="en-GB"/>
        </w:rPr>
        <w:t>decision-maker</w:t>
      </w:r>
      <w:r w:rsidR="00B03800" w:rsidRPr="00DD65C2">
        <w:rPr>
          <w:rFonts w:ascii="Calibri" w:hAnsi="Calibri" w:cs="Calibri"/>
          <w:lang w:val="en-GB"/>
        </w:rPr>
        <w:t>s are] not obliged to distinguish between the two.’</w:t>
      </w:r>
      <w:r w:rsidR="00284503" w:rsidRPr="00DD65C2">
        <w:rPr>
          <w:rStyle w:val="FootnoteReference"/>
          <w:rFonts w:ascii="Calibri" w:hAnsi="Calibri" w:cs="Calibri"/>
        </w:rPr>
        <w:footnoteReference w:id="23"/>
      </w:r>
      <w:r w:rsidR="00D94F9B" w:rsidRPr="00DD65C2">
        <w:rPr>
          <w:rFonts w:ascii="Calibri" w:hAnsi="Calibri" w:cs="Calibri"/>
          <w:lang w:val="en-GB"/>
        </w:rPr>
        <w:t xml:space="preserve"> </w:t>
      </w:r>
      <w:r w:rsidR="00E51E12" w:rsidRPr="00DD65C2">
        <w:rPr>
          <w:rFonts w:ascii="Calibri" w:hAnsi="Calibri" w:cs="Calibri"/>
          <w:lang w:val="en-GB"/>
        </w:rPr>
        <w:t xml:space="preserve">In </w:t>
      </w:r>
      <w:r w:rsidR="005B5190" w:rsidRPr="00DD65C2">
        <w:rPr>
          <w:rFonts w:ascii="Calibri" w:hAnsi="Calibri" w:cs="Calibri"/>
          <w:lang w:val="en-GB"/>
        </w:rPr>
        <w:t>his opinion</w:t>
      </w:r>
      <w:r w:rsidR="00B87CEA" w:rsidRPr="00DD65C2">
        <w:rPr>
          <w:rFonts w:ascii="Calibri" w:hAnsi="Calibri" w:cs="Calibri"/>
          <w:lang w:val="en-GB"/>
        </w:rPr>
        <w:t xml:space="preserve"> on appeal</w:t>
      </w:r>
      <w:r w:rsidR="00E51E12" w:rsidRPr="00DD65C2">
        <w:rPr>
          <w:rFonts w:ascii="Calibri" w:hAnsi="Calibri" w:cs="Calibri"/>
          <w:lang w:val="en-GB"/>
        </w:rPr>
        <w:t xml:space="preserve">, </w:t>
      </w:r>
      <w:r w:rsidR="00D94F9B" w:rsidRPr="00DD65C2">
        <w:rPr>
          <w:rFonts w:ascii="Calibri" w:hAnsi="Calibri" w:cs="Calibri"/>
          <w:lang w:val="en-GB"/>
        </w:rPr>
        <w:t xml:space="preserve">AG </w:t>
      </w:r>
      <w:r w:rsidR="005B5190" w:rsidRPr="00DD65C2">
        <w:rPr>
          <w:rFonts w:ascii="Calibri" w:hAnsi="Calibri" w:cs="Calibri"/>
          <w:lang w:val="en-GB"/>
        </w:rPr>
        <w:t xml:space="preserve">Bobek </w:t>
      </w:r>
      <w:r w:rsidR="00AE2549" w:rsidRPr="00DD65C2">
        <w:rPr>
          <w:rFonts w:ascii="Calibri" w:hAnsi="Calibri" w:cs="Calibri"/>
          <w:lang w:val="en-GB"/>
        </w:rPr>
        <w:t xml:space="preserve">strongly </w:t>
      </w:r>
      <w:r w:rsidR="00D94F9B" w:rsidRPr="00DD65C2">
        <w:rPr>
          <w:rFonts w:ascii="Calibri" w:hAnsi="Calibri" w:cs="Calibri"/>
          <w:lang w:val="en-GB"/>
        </w:rPr>
        <w:t xml:space="preserve">disagreed with </w:t>
      </w:r>
      <w:r w:rsidR="00063A12" w:rsidRPr="00DD65C2">
        <w:rPr>
          <w:rFonts w:ascii="Calibri" w:hAnsi="Calibri" w:cs="Calibri"/>
          <w:lang w:val="en-GB"/>
        </w:rPr>
        <w:t>th</w:t>
      </w:r>
      <w:r w:rsidR="00126C56" w:rsidRPr="00DD65C2">
        <w:rPr>
          <w:rFonts w:ascii="Calibri" w:hAnsi="Calibri" w:cs="Calibri"/>
          <w:lang w:val="en-GB"/>
        </w:rPr>
        <w:t>is</w:t>
      </w:r>
      <w:r w:rsidR="00D94F9B" w:rsidRPr="00DD65C2">
        <w:rPr>
          <w:rFonts w:ascii="Calibri" w:hAnsi="Calibri" w:cs="Calibri"/>
          <w:lang w:val="en-GB"/>
        </w:rPr>
        <w:t xml:space="preserve"> </w:t>
      </w:r>
      <w:r w:rsidR="00AE2549" w:rsidRPr="00DD65C2">
        <w:rPr>
          <w:rFonts w:ascii="Calibri" w:hAnsi="Calibri" w:cs="Calibri"/>
          <w:lang w:val="en-GB"/>
        </w:rPr>
        <w:t xml:space="preserve">view, arguing that </w:t>
      </w:r>
      <w:r w:rsidR="004834E3" w:rsidRPr="00DD65C2">
        <w:rPr>
          <w:rFonts w:ascii="Calibri" w:hAnsi="Calibri" w:cs="Calibri"/>
          <w:lang w:val="en-GB"/>
        </w:rPr>
        <w:t>‘</w:t>
      </w:r>
      <w:r w:rsidR="00AE2549" w:rsidRPr="00DD65C2">
        <w:rPr>
          <w:rFonts w:ascii="Calibri" w:hAnsi="Calibri" w:cs="Calibri"/>
          <w:lang w:val="en-GB"/>
        </w:rPr>
        <w:t xml:space="preserve">the conceptual difference between </w:t>
      </w:r>
      <w:r w:rsidR="00E51E12" w:rsidRPr="00DD65C2">
        <w:rPr>
          <w:rFonts w:ascii="Calibri" w:hAnsi="Calibri" w:cs="Calibri"/>
          <w:lang w:val="en-GB"/>
        </w:rPr>
        <w:t>[public policy and morality]</w:t>
      </w:r>
      <w:r w:rsidR="00AE2549" w:rsidRPr="00DD65C2">
        <w:rPr>
          <w:rFonts w:ascii="Calibri" w:hAnsi="Calibri" w:cs="Calibri"/>
          <w:lang w:val="en-GB"/>
        </w:rPr>
        <w:t xml:space="preserve"> has repercussions for what exactly is to be assessed and how</w:t>
      </w:r>
      <w:r w:rsidR="004834E3" w:rsidRPr="00DD65C2">
        <w:rPr>
          <w:rFonts w:ascii="Calibri" w:hAnsi="Calibri" w:cs="Calibri"/>
          <w:lang w:val="en-GB"/>
        </w:rPr>
        <w:t>’</w:t>
      </w:r>
      <w:r w:rsidR="00AE2549" w:rsidRPr="00DD65C2">
        <w:rPr>
          <w:rFonts w:ascii="Calibri" w:hAnsi="Calibri" w:cs="Calibri"/>
          <w:lang w:val="en-GB"/>
        </w:rPr>
        <w:t>.</w:t>
      </w:r>
      <w:r w:rsidR="00D442D0" w:rsidRPr="00DD65C2">
        <w:rPr>
          <w:rStyle w:val="FootnoteReference"/>
          <w:rFonts w:ascii="Calibri" w:hAnsi="Calibri" w:cs="Calibri"/>
        </w:rPr>
        <w:footnoteReference w:id="24"/>
      </w:r>
      <w:r w:rsidR="00DA5C47" w:rsidRPr="00DD65C2">
        <w:rPr>
          <w:rFonts w:ascii="Calibri" w:hAnsi="Calibri" w:cs="Calibri"/>
          <w:lang w:val="en-GB"/>
        </w:rPr>
        <w:t xml:space="preserve"> </w:t>
      </w:r>
      <w:r w:rsidR="00063A12" w:rsidRPr="00DD65C2">
        <w:rPr>
          <w:rFonts w:ascii="Calibri" w:hAnsi="Calibri" w:cs="Calibri"/>
          <w:lang w:val="en-GB"/>
        </w:rPr>
        <w:t>A</w:t>
      </w:r>
      <w:r w:rsidR="00AE2549" w:rsidRPr="00DD65C2">
        <w:rPr>
          <w:rFonts w:ascii="Calibri" w:hAnsi="Calibri" w:cs="Calibri"/>
          <w:lang w:val="en-GB"/>
        </w:rPr>
        <w:t xml:space="preserve">lthough </w:t>
      </w:r>
      <w:r w:rsidR="00DA5C47" w:rsidRPr="00DD65C2">
        <w:rPr>
          <w:rFonts w:ascii="Calibri" w:hAnsi="Calibri" w:cs="Calibri"/>
          <w:lang w:val="en-GB"/>
        </w:rPr>
        <w:t>t</w:t>
      </w:r>
      <w:r w:rsidR="00AE2549" w:rsidRPr="00DD65C2">
        <w:rPr>
          <w:rFonts w:ascii="Calibri" w:hAnsi="Calibri" w:cs="Calibri"/>
          <w:lang w:val="en-GB"/>
        </w:rPr>
        <w:t xml:space="preserve">he </w:t>
      </w:r>
      <w:r w:rsidR="00DA5C47" w:rsidRPr="00DD65C2">
        <w:rPr>
          <w:rFonts w:ascii="Calibri" w:hAnsi="Calibri" w:cs="Calibri"/>
          <w:lang w:val="en-GB"/>
        </w:rPr>
        <w:t xml:space="preserve">AG </w:t>
      </w:r>
      <w:r w:rsidR="00126C56" w:rsidRPr="00DD65C2">
        <w:rPr>
          <w:rFonts w:ascii="Calibri" w:hAnsi="Calibri" w:cs="Calibri"/>
          <w:lang w:val="en-GB"/>
        </w:rPr>
        <w:t>concedes</w:t>
      </w:r>
      <w:r w:rsidR="00AE2549" w:rsidRPr="00DD65C2">
        <w:rPr>
          <w:rFonts w:ascii="Calibri" w:hAnsi="Calibri" w:cs="Calibri"/>
          <w:lang w:val="en-GB"/>
        </w:rPr>
        <w:t xml:space="preserve"> that both concepts can sometimes overlap, neither their source nor subject matter coincides.</w:t>
      </w:r>
      <w:r w:rsidR="00802626" w:rsidRPr="00DD65C2">
        <w:rPr>
          <w:rStyle w:val="FootnoteReference"/>
          <w:rFonts w:ascii="Calibri" w:hAnsi="Calibri" w:cs="Calibri"/>
        </w:rPr>
        <w:footnoteReference w:id="25"/>
      </w:r>
      <w:r w:rsidR="00AE2549" w:rsidRPr="00DD65C2">
        <w:rPr>
          <w:rFonts w:ascii="Calibri" w:hAnsi="Calibri" w:cs="Calibri"/>
          <w:lang w:val="en-GB"/>
        </w:rPr>
        <w:t xml:space="preserve"> </w:t>
      </w:r>
      <w:r w:rsidR="00985803" w:rsidRPr="00DD65C2">
        <w:rPr>
          <w:rFonts w:ascii="Calibri" w:hAnsi="Calibri" w:cs="Calibri"/>
          <w:lang w:val="en-GB"/>
        </w:rPr>
        <w:t>He then goes on, in a much-needed attempt to systematize the interpretation of the public policy</w:t>
      </w:r>
      <w:r w:rsidR="00C5381C" w:rsidRPr="00DD65C2">
        <w:rPr>
          <w:rFonts w:ascii="Calibri" w:hAnsi="Calibri" w:cs="Calibri"/>
          <w:lang w:val="en-GB"/>
        </w:rPr>
        <w:t xml:space="preserve"> and </w:t>
      </w:r>
      <w:r w:rsidR="00985803" w:rsidRPr="00DD65C2">
        <w:rPr>
          <w:rFonts w:ascii="Calibri" w:hAnsi="Calibri" w:cs="Calibri"/>
          <w:lang w:val="en-GB"/>
        </w:rPr>
        <w:t xml:space="preserve">morality exclusions under EU law, to define each </w:t>
      </w:r>
      <w:r w:rsidR="00DD3947" w:rsidRPr="00DD65C2">
        <w:rPr>
          <w:rFonts w:ascii="Calibri" w:hAnsi="Calibri" w:cs="Calibri"/>
          <w:lang w:val="en-GB"/>
        </w:rPr>
        <w:t xml:space="preserve">of these </w:t>
      </w:r>
      <w:r w:rsidR="00985803" w:rsidRPr="00DD65C2">
        <w:rPr>
          <w:rFonts w:ascii="Calibri" w:hAnsi="Calibri" w:cs="Calibri"/>
          <w:lang w:val="en-GB"/>
        </w:rPr>
        <w:t>ground</w:t>
      </w:r>
      <w:r w:rsidR="00DD3947" w:rsidRPr="00DD65C2">
        <w:rPr>
          <w:rFonts w:ascii="Calibri" w:hAnsi="Calibri" w:cs="Calibri"/>
          <w:lang w:val="en-GB"/>
        </w:rPr>
        <w:t>s</w:t>
      </w:r>
      <w:r w:rsidR="00985803" w:rsidRPr="00DD65C2">
        <w:rPr>
          <w:rFonts w:ascii="Calibri" w:hAnsi="Calibri" w:cs="Calibri"/>
          <w:lang w:val="en-GB"/>
        </w:rPr>
        <w:t xml:space="preserve">. </w:t>
      </w:r>
      <w:r w:rsidR="00AE2549" w:rsidRPr="00DD65C2">
        <w:rPr>
          <w:rFonts w:ascii="Calibri" w:hAnsi="Calibri" w:cs="Calibri"/>
          <w:lang w:val="en-GB"/>
        </w:rPr>
        <w:t xml:space="preserve">In his view, public policy is top-down in nature, in the sense that it stems from a public authority’s </w:t>
      </w:r>
      <w:r w:rsidR="006F40CD" w:rsidRPr="00DD65C2">
        <w:rPr>
          <w:rFonts w:ascii="Calibri" w:hAnsi="Calibri" w:cs="Calibri"/>
          <w:lang w:val="en-GB"/>
        </w:rPr>
        <w:t>‘</w:t>
      </w:r>
      <w:r w:rsidR="00AE2549" w:rsidRPr="00DD65C2">
        <w:rPr>
          <w:rFonts w:ascii="Calibri" w:hAnsi="Calibri" w:cs="Calibri"/>
          <w:lang w:val="en-GB"/>
        </w:rPr>
        <w:t>normative vision of values and goals</w:t>
      </w:r>
      <w:r w:rsidR="006F40CD" w:rsidRPr="00DD65C2">
        <w:rPr>
          <w:rFonts w:ascii="Calibri" w:hAnsi="Calibri" w:cs="Calibri"/>
          <w:lang w:val="en-GB"/>
        </w:rPr>
        <w:t>’</w:t>
      </w:r>
      <w:r w:rsidR="00AE2549" w:rsidRPr="00DD65C2">
        <w:rPr>
          <w:rFonts w:ascii="Calibri" w:hAnsi="Calibri" w:cs="Calibri"/>
          <w:lang w:val="en-GB"/>
        </w:rPr>
        <w:t xml:space="preserve"> as set out in </w:t>
      </w:r>
      <w:r w:rsidR="00646994" w:rsidRPr="00DD65C2">
        <w:rPr>
          <w:rFonts w:ascii="Calibri" w:hAnsi="Calibri" w:cs="Calibri"/>
          <w:lang w:val="en-GB"/>
        </w:rPr>
        <w:t>its laws and policy documents.</w:t>
      </w:r>
      <w:r w:rsidR="00D442D0" w:rsidRPr="00DD65C2">
        <w:rPr>
          <w:rStyle w:val="FootnoteReference"/>
          <w:rFonts w:ascii="Calibri" w:hAnsi="Calibri" w:cs="Calibri"/>
        </w:rPr>
        <w:footnoteReference w:id="26"/>
      </w:r>
      <w:r w:rsidR="00646994" w:rsidRPr="00DD65C2">
        <w:rPr>
          <w:rFonts w:ascii="Calibri" w:hAnsi="Calibri" w:cs="Calibri"/>
          <w:lang w:val="en-GB"/>
        </w:rPr>
        <w:t xml:space="preserve"> In contrast, accepted principles of morality make reference to the set of values, principles and beliefs that govern society at a given point in time</w:t>
      </w:r>
      <w:r w:rsidR="003616A4" w:rsidRPr="00DD65C2">
        <w:rPr>
          <w:rFonts w:ascii="Calibri" w:hAnsi="Calibri" w:cs="Calibri"/>
          <w:lang w:val="en-GB"/>
        </w:rPr>
        <w:t xml:space="preserve"> –they are</w:t>
      </w:r>
      <w:r w:rsidR="00503A09" w:rsidRPr="00DD65C2">
        <w:rPr>
          <w:rFonts w:ascii="Calibri" w:hAnsi="Calibri" w:cs="Calibri"/>
          <w:lang w:val="en-GB"/>
        </w:rPr>
        <w:t>, thus,</w:t>
      </w:r>
      <w:r w:rsidR="003616A4" w:rsidRPr="00DD65C2">
        <w:rPr>
          <w:rFonts w:ascii="Calibri" w:hAnsi="Calibri" w:cs="Calibri"/>
          <w:lang w:val="en-GB"/>
        </w:rPr>
        <w:t xml:space="preserve"> bottom-up in nature.</w:t>
      </w:r>
      <w:r w:rsidR="00D972EB" w:rsidRPr="00DD65C2">
        <w:rPr>
          <w:rStyle w:val="FootnoteReference"/>
          <w:rFonts w:ascii="Calibri" w:hAnsi="Calibri" w:cs="Calibri"/>
        </w:rPr>
        <w:footnoteReference w:id="27"/>
      </w:r>
      <w:r w:rsidR="000554EB" w:rsidRPr="00DD65C2">
        <w:rPr>
          <w:rFonts w:ascii="Calibri" w:hAnsi="Calibri" w:cs="Calibri"/>
          <w:lang w:val="en-GB"/>
        </w:rPr>
        <w:t xml:space="preserve"> Unfortunately,</w:t>
      </w:r>
      <w:r w:rsidR="00171CA9" w:rsidRPr="00DD65C2">
        <w:rPr>
          <w:rFonts w:ascii="Calibri" w:hAnsi="Calibri" w:cs="Calibri"/>
          <w:lang w:val="en-GB"/>
        </w:rPr>
        <w:t xml:space="preserve"> as we will go on to study in Section 4</w:t>
      </w:r>
      <w:r w:rsidR="005F0E91" w:rsidRPr="00DD65C2">
        <w:rPr>
          <w:rFonts w:ascii="Calibri" w:hAnsi="Calibri" w:cs="Calibri"/>
          <w:lang w:val="en-GB"/>
        </w:rPr>
        <w:t>.1.,</w:t>
      </w:r>
      <w:r w:rsidR="000554EB" w:rsidRPr="00DD65C2">
        <w:rPr>
          <w:rFonts w:ascii="Calibri" w:hAnsi="Calibri" w:cs="Calibri"/>
          <w:lang w:val="en-GB"/>
        </w:rPr>
        <w:t xml:space="preserve"> the</w:t>
      </w:r>
      <w:r w:rsidR="005025ED" w:rsidRPr="00DD65C2">
        <w:rPr>
          <w:rFonts w:ascii="Calibri" w:hAnsi="Calibri" w:cs="Calibri"/>
          <w:lang w:val="en-GB"/>
        </w:rPr>
        <w:t xml:space="preserve"> decision of the</w:t>
      </w:r>
      <w:r w:rsidR="000554EB" w:rsidRPr="00DD65C2">
        <w:rPr>
          <w:rFonts w:ascii="Calibri" w:hAnsi="Calibri" w:cs="Calibri"/>
          <w:lang w:val="en-GB"/>
        </w:rPr>
        <w:t xml:space="preserve"> CJEU</w:t>
      </w:r>
      <w:r w:rsidR="00B6342C" w:rsidRPr="00DD65C2">
        <w:rPr>
          <w:rFonts w:ascii="Calibri" w:hAnsi="Calibri" w:cs="Calibri"/>
          <w:lang w:val="en-GB"/>
        </w:rPr>
        <w:t xml:space="preserve"> </w:t>
      </w:r>
      <w:r w:rsidR="005025ED" w:rsidRPr="00DD65C2">
        <w:rPr>
          <w:rFonts w:ascii="Calibri" w:hAnsi="Calibri" w:cs="Calibri"/>
          <w:lang w:val="en-GB"/>
        </w:rPr>
        <w:t>fails to</w:t>
      </w:r>
      <w:r w:rsidR="000554EB" w:rsidRPr="00DD65C2">
        <w:rPr>
          <w:rFonts w:ascii="Calibri" w:hAnsi="Calibri" w:cs="Calibri"/>
          <w:lang w:val="en-GB"/>
        </w:rPr>
        <w:t xml:space="preserve"> engage </w:t>
      </w:r>
      <w:r w:rsidR="00B6342C" w:rsidRPr="00DD65C2">
        <w:rPr>
          <w:rFonts w:ascii="Calibri" w:hAnsi="Calibri" w:cs="Calibri"/>
          <w:lang w:val="en-GB"/>
        </w:rPr>
        <w:t xml:space="preserve">in discussion of the </w:t>
      </w:r>
      <w:r w:rsidR="00171CA9" w:rsidRPr="00DD65C2">
        <w:rPr>
          <w:rFonts w:ascii="Calibri" w:hAnsi="Calibri" w:cs="Calibri"/>
          <w:lang w:val="en-GB"/>
        </w:rPr>
        <w:t>conceptual boundaries of both exclusions</w:t>
      </w:r>
      <w:r w:rsidR="00A31413" w:rsidRPr="00DD65C2">
        <w:rPr>
          <w:rFonts w:ascii="Calibri" w:hAnsi="Calibri" w:cs="Calibri"/>
          <w:lang w:val="en-GB"/>
        </w:rPr>
        <w:t xml:space="preserve"> </w:t>
      </w:r>
      <w:r w:rsidR="00171CA9" w:rsidRPr="00DD65C2">
        <w:rPr>
          <w:rFonts w:ascii="Calibri" w:hAnsi="Calibri" w:cs="Calibri"/>
          <w:lang w:val="en-GB"/>
        </w:rPr>
        <w:t xml:space="preserve">–opening the door to speculation as to whether the AG’s analysis will be followed by future </w:t>
      </w:r>
      <w:r w:rsidR="00CA4514" w:rsidRPr="00DD65C2">
        <w:rPr>
          <w:rFonts w:ascii="Calibri" w:hAnsi="Calibri" w:cs="Calibri"/>
          <w:lang w:val="en-GB"/>
        </w:rPr>
        <w:t>decision-maker</w:t>
      </w:r>
      <w:r w:rsidR="00171CA9" w:rsidRPr="00DD65C2">
        <w:rPr>
          <w:rFonts w:ascii="Calibri" w:hAnsi="Calibri" w:cs="Calibri"/>
          <w:lang w:val="en-GB"/>
        </w:rPr>
        <w:t>s.</w:t>
      </w:r>
    </w:p>
    <w:p w14:paraId="5C13DE6F" w14:textId="77777777" w:rsidR="00305CF6" w:rsidRPr="00DD65C2" w:rsidRDefault="00305CF6" w:rsidP="00504F94">
      <w:pPr>
        <w:jc w:val="both"/>
        <w:rPr>
          <w:rFonts w:ascii="Calibri" w:hAnsi="Calibri" w:cs="Calibri"/>
          <w:lang w:val="en-GB"/>
        </w:rPr>
      </w:pPr>
    </w:p>
    <w:p w14:paraId="45338EF5" w14:textId="4DE339AC" w:rsidR="00EB49E0" w:rsidRPr="00DD65C2" w:rsidRDefault="00E4533E" w:rsidP="003833A7">
      <w:pPr>
        <w:pStyle w:val="ListParagraph"/>
        <w:numPr>
          <w:ilvl w:val="1"/>
          <w:numId w:val="13"/>
        </w:numPr>
        <w:jc w:val="both"/>
        <w:rPr>
          <w:rFonts w:ascii="Calibri" w:hAnsi="Calibri" w:cs="Calibri"/>
          <w:b/>
          <w:bCs/>
        </w:rPr>
      </w:pPr>
      <w:r w:rsidRPr="00DD65C2">
        <w:rPr>
          <w:rFonts w:ascii="Calibri" w:hAnsi="Calibri" w:cs="Calibri"/>
          <w:b/>
          <w:bCs/>
        </w:rPr>
        <w:t>The D</w:t>
      </w:r>
      <w:r w:rsidR="00EB49E0" w:rsidRPr="00DD65C2">
        <w:rPr>
          <w:rFonts w:ascii="Calibri" w:hAnsi="Calibri" w:cs="Calibri"/>
          <w:b/>
          <w:bCs/>
        </w:rPr>
        <w:t>efin</w:t>
      </w:r>
      <w:r w:rsidRPr="00DD65C2">
        <w:rPr>
          <w:rFonts w:ascii="Calibri" w:hAnsi="Calibri" w:cs="Calibri"/>
          <w:b/>
          <w:bCs/>
        </w:rPr>
        <w:t>ition of</w:t>
      </w:r>
      <w:r w:rsidR="00EB49E0" w:rsidRPr="00DD65C2">
        <w:rPr>
          <w:rFonts w:ascii="Calibri" w:hAnsi="Calibri" w:cs="Calibri"/>
          <w:b/>
          <w:bCs/>
        </w:rPr>
        <w:t xml:space="preserve"> Relevant Public for Purposes of the Public Policy and Morality Exclusions</w:t>
      </w:r>
    </w:p>
    <w:p w14:paraId="66002DA9" w14:textId="77777777" w:rsidR="00EB49E0" w:rsidRPr="00DD65C2" w:rsidRDefault="00EB49E0" w:rsidP="00EB49E0">
      <w:pPr>
        <w:jc w:val="both"/>
        <w:rPr>
          <w:rFonts w:ascii="Calibri" w:hAnsi="Calibri" w:cs="Calibri"/>
          <w:lang w:val="en-GB"/>
        </w:rPr>
      </w:pPr>
    </w:p>
    <w:p w14:paraId="2FE49260" w14:textId="40257DDC" w:rsidR="00EB49E0" w:rsidRPr="00DD65C2" w:rsidRDefault="00B87CEA" w:rsidP="00EB49E0">
      <w:pPr>
        <w:jc w:val="both"/>
        <w:rPr>
          <w:rFonts w:ascii="Calibri" w:hAnsi="Calibri" w:cs="Calibri"/>
          <w:lang w:eastAsia="en-US"/>
        </w:rPr>
      </w:pPr>
      <w:r w:rsidRPr="00DD65C2">
        <w:rPr>
          <w:rFonts w:ascii="Calibri" w:hAnsi="Calibri" w:cs="Calibri"/>
          <w:lang w:val="en-GB" w:eastAsia="en-US"/>
        </w:rPr>
        <w:t xml:space="preserve">Under Article 7(1)(f) EUTMR, </w:t>
      </w:r>
      <w:r w:rsidR="00CA4514" w:rsidRPr="00DD65C2">
        <w:rPr>
          <w:rFonts w:ascii="Calibri" w:hAnsi="Calibri" w:cs="Calibri"/>
          <w:lang w:val="en-GB" w:eastAsia="en-US"/>
        </w:rPr>
        <w:t>decision-maker</w:t>
      </w:r>
      <w:r w:rsidR="00EB49E0" w:rsidRPr="00DD65C2">
        <w:rPr>
          <w:rFonts w:ascii="Calibri" w:hAnsi="Calibri" w:cs="Calibri"/>
          <w:lang w:val="en-GB" w:eastAsia="en-US"/>
        </w:rPr>
        <w:t xml:space="preserve">s </w:t>
      </w:r>
      <w:r w:rsidR="00307E33" w:rsidRPr="00DD65C2">
        <w:rPr>
          <w:rFonts w:ascii="Calibri" w:hAnsi="Calibri" w:cs="Calibri"/>
          <w:lang w:val="en-GB" w:eastAsia="en-US"/>
        </w:rPr>
        <w:t xml:space="preserve">must </w:t>
      </w:r>
      <w:r w:rsidRPr="00DD65C2">
        <w:rPr>
          <w:rFonts w:ascii="Calibri" w:hAnsi="Calibri" w:cs="Calibri"/>
          <w:lang w:val="en-GB" w:eastAsia="en-US"/>
        </w:rPr>
        <w:t>define</w:t>
      </w:r>
      <w:r w:rsidR="00EB49E0" w:rsidRPr="00DD65C2">
        <w:rPr>
          <w:rFonts w:ascii="Calibri" w:hAnsi="Calibri" w:cs="Calibri"/>
          <w:lang w:val="en-GB" w:eastAsia="en-US"/>
        </w:rPr>
        <w:t xml:space="preserve"> the relevant public from whose perspective they </w:t>
      </w:r>
      <w:r w:rsidR="00950628" w:rsidRPr="00DD65C2">
        <w:rPr>
          <w:rFonts w:ascii="Calibri" w:hAnsi="Calibri" w:cs="Calibri"/>
          <w:lang w:val="en-GB" w:eastAsia="en-US"/>
        </w:rPr>
        <w:t>will evaluate</w:t>
      </w:r>
      <w:r w:rsidR="00EB49E0" w:rsidRPr="00DD65C2">
        <w:rPr>
          <w:rFonts w:ascii="Calibri" w:hAnsi="Calibri" w:cs="Calibri"/>
          <w:lang w:val="en-GB" w:eastAsia="en-US"/>
        </w:rPr>
        <w:t xml:space="preserve"> the compatibility of the applied-for sign with public policy and/or morality. Three elements must be taken into consideration here: (a)</w:t>
      </w:r>
      <w:r w:rsidR="00950628" w:rsidRPr="00DD65C2">
        <w:rPr>
          <w:rFonts w:ascii="Calibri" w:hAnsi="Calibri" w:cs="Calibri"/>
          <w:lang w:val="en-GB" w:eastAsia="en-US"/>
        </w:rPr>
        <w:t xml:space="preserve"> </w:t>
      </w:r>
      <w:r w:rsidR="00EB49E0" w:rsidRPr="00DD65C2">
        <w:rPr>
          <w:rFonts w:ascii="Calibri" w:hAnsi="Calibri" w:cs="Calibri"/>
          <w:lang w:val="en-GB" w:eastAsia="en-US"/>
        </w:rPr>
        <w:t xml:space="preserve">the type of consumer that, in the light of the goods and/or services claimed by the applicant, is likely to confront the mark if it were to be granted registration; </w:t>
      </w:r>
      <w:r w:rsidR="00722163" w:rsidRPr="00DD65C2">
        <w:rPr>
          <w:rFonts w:ascii="Calibri" w:hAnsi="Calibri" w:cs="Calibri"/>
          <w:lang w:val="en-GB" w:eastAsia="en-US"/>
        </w:rPr>
        <w:t>(b</w:t>
      </w:r>
      <w:r w:rsidR="00EB49E0" w:rsidRPr="00DD65C2">
        <w:rPr>
          <w:rFonts w:ascii="Calibri" w:hAnsi="Calibri" w:cs="Calibri"/>
          <w:lang w:val="en-GB" w:eastAsia="en-US"/>
        </w:rPr>
        <w:t>) the objective standard from which the notions of public policy and morality ought to be assessed</w:t>
      </w:r>
      <w:r w:rsidR="00722163" w:rsidRPr="00DD65C2">
        <w:rPr>
          <w:rFonts w:ascii="Calibri" w:hAnsi="Calibri" w:cs="Calibri"/>
          <w:lang w:val="en-GB" w:eastAsia="en-US"/>
        </w:rPr>
        <w:t xml:space="preserve">; and </w:t>
      </w:r>
      <w:r w:rsidR="00722163" w:rsidRPr="00DD65C2">
        <w:rPr>
          <w:rFonts w:ascii="Calibri" w:hAnsi="Calibri" w:cs="Calibri"/>
          <w:lang w:val="en-GB" w:eastAsia="en-US"/>
        </w:rPr>
        <w:lastRenderedPageBreak/>
        <w:t xml:space="preserve">(c) the section of the population that is liable to be offended by the applied-for sign in instances of diverse </w:t>
      </w:r>
      <w:r w:rsidR="00662B8E" w:rsidRPr="00DD65C2">
        <w:rPr>
          <w:rFonts w:ascii="Calibri" w:hAnsi="Calibri" w:cs="Calibri"/>
          <w:lang w:val="en-GB" w:eastAsia="en-US"/>
        </w:rPr>
        <w:t>‘</w:t>
      </w:r>
      <w:r w:rsidR="00662B8E" w:rsidRPr="00DD65C2">
        <w:rPr>
          <w:rFonts w:ascii="Calibri" w:hAnsi="Calibri" w:cs="Calibri"/>
          <w:lang w:eastAsia="en-US"/>
        </w:rPr>
        <w:t>linguistic, historic, social and cultural</w:t>
      </w:r>
      <w:r w:rsidR="00662B8E" w:rsidRPr="00DD65C2">
        <w:rPr>
          <w:rFonts w:ascii="Calibri" w:hAnsi="Calibri" w:cs="Calibri"/>
          <w:lang w:val="en-US" w:eastAsia="en-US"/>
        </w:rPr>
        <w:t>’</w:t>
      </w:r>
      <w:r w:rsidR="00662B8E" w:rsidRPr="00DD65C2">
        <w:rPr>
          <w:rFonts w:ascii="Calibri" w:hAnsi="Calibri" w:cs="Calibri"/>
          <w:lang w:eastAsia="en-US"/>
        </w:rPr>
        <w:t xml:space="preserve"> </w:t>
      </w:r>
      <w:r w:rsidR="00722163" w:rsidRPr="00DD65C2">
        <w:rPr>
          <w:rFonts w:ascii="Calibri" w:hAnsi="Calibri" w:cs="Calibri"/>
          <w:lang w:val="en-GB" w:eastAsia="en-US"/>
        </w:rPr>
        <w:t>groups within a trade mark system.</w:t>
      </w:r>
      <w:r w:rsidR="00662B8E" w:rsidRPr="00DD65C2">
        <w:rPr>
          <w:rStyle w:val="FootnoteReference"/>
          <w:rFonts w:ascii="Calibri" w:hAnsi="Calibri" w:cs="Calibri"/>
        </w:rPr>
        <w:footnoteReference w:id="28"/>
      </w:r>
      <w:r w:rsidR="00722163" w:rsidRPr="00DD65C2">
        <w:rPr>
          <w:rFonts w:ascii="Calibri" w:hAnsi="Calibri" w:cs="Calibri"/>
          <w:lang w:val="en-GB" w:eastAsia="en-US"/>
        </w:rPr>
        <w:t xml:space="preserve"> Let us look at each of these elements in more detail.</w:t>
      </w:r>
    </w:p>
    <w:p w14:paraId="58417BB2" w14:textId="77777777" w:rsidR="00EB49E0" w:rsidRPr="00DD65C2" w:rsidRDefault="00EB49E0" w:rsidP="00EB49E0">
      <w:pPr>
        <w:jc w:val="both"/>
        <w:rPr>
          <w:rFonts w:ascii="Calibri" w:hAnsi="Calibri" w:cs="Calibri"/>
          <w:lang w:val="en-GB" w:eastAsia="en-US"/>
        </w:rPr>
      </w:pPr>
    </w:p>
    <w:p w14:paraId="63333354" w14:textId="13FD8E7E" w:rsidR="00EB49E0" w:rsidRPr="00DD65C2" w:rsidRDefault="00722163" w:rsidP="00EB49E0">
      <w:pPr>
        <w:jc w:val="both"/>
        <w:rPr>
          <w:rFonts w:ascii="Calibri" w:hAnsi="Calibri" w:cs="Calibri"/>
          <w:lang w:val="en-GB" w:eastAsia="en-US"/>
        </w:rPr>
      </w:pPr>
      <w:r w:rsidRPr="00DD65C2">
        <w:rPr>
          <w:rFonts w:ascii="Calibri" w:hAnsi="Calibri" w:cs="Calibri"/>
          <w:lang w:val="en-GB" w:eastAsia="en-US"/>
        </w:rPr>
        <w:t>First, d</w:t>
      </w:r>
      <w:r w:rsidR="00EB49E0" w:rsidRPr="00DD65C2">
        <w:rPr>
          <w:rFonts w:ascii="Calibri" w:hAnsi="Calibri" w:cs="Calibri"/>
          <w:lang w:val="en-GB" w:eastAsia="en-US"/>
        </w:rPr>
        <w:t xml:space="preserve">etermining the type of consumer that, in the light of the goods and/or services claimed by the applicant, is likely to confront the mark if it were to be granted registration is often a straightforward endeavour. </w:t>
      </w:r>
      <w:r w:rsidR="00CA4514" w:rsidRPr="00DD65C2">
        <w:rPr>
          <w:rFonts w:ascii="Calibri" w:hAnsi="Calibri" w:cs="Calibri"/>
          <w:lang w:val="en-GB" w:eastAsia="en-US"/>
        </w:rPr>
        <w:t>Decision-maker</w:t>
      </w:r>
      <w:r w:rsidR="00EB49E0" w:rsidRPr="00DD65C2">
        <w:rPr>
          <w:rFonts w:ascii="Calibri" w:hAnsi="Calibri" w:cs="Calibri"/>
          <w:lang w:val="en-GB" w:eastAsia="en-US"/>
        </w:rPr>
        <w:t xml:space="preserve">s </w:t>
      </w:r>
      <w:r w:rsidR="004200A5" w:rsidRPr="00DD65C2">
        <w:rPr>
          <w:rFonts w:ascii="Calibri" w:hAnsi="Calibri" w:cs="Calibri"/>
          <w:lang w:val="en-GB" w:eastAsia="en-US"/>
        </w:rPr>
        <w:t>are</w:t>
      </w:r>
      <w:r w:rsidR="00EB49E0" w:rsidRPr="00DD65C2">
        <w:rPr>
          <w:rFonts w:ascii="Calibri" w:hAnsi="Calibri" w:cs="Calibri"/>
          <w:lang w:val="en-GB" w:eastAsia="en-US"/>
        </w:rPr>
        <w:t xml:space="preserve"> well acquainted with this exercise, which is common practice upon defining the average consumer in other areas of trade mark law</w:t>
      </w:r>
      <w:r w:rsidR="00A5064A" w:rsidRPr="00DD65C2">
        <w:rPr>
          <w:rFonts w:ascii="Calibri" w:hAnsi="Calibri" w:cs="Calibri"/>
          <w:lang w:val="en-GB" w:eastAsia="en-US"/>
        </w:rPr>
        <w:t xml:space="preserve"> (e.g. </w:t>
      </w:r>
      <w:r w:rsidR="00EB49E0" w:rsidRPr="00DD65C2">
        <w:rPr>
          <w:rFonts w:ascii="Calibri" w:hAnsi="Calibri" w:cs="Calibri"/>
          <w:lang w:val="en-GB" w:eastAsia="en-US"/>
        </w:rPr>
        <w:t>infringement</w:t>
      </w:r>
      <w:r w:rsidR="00A5064A" w:rsidRPr="00DD65C2">
        <w:rPr>
          <w:rFonts w:ascii="Calibri" w:hAnsi="Calibri" w:cs="Calibri"/>
          <w:lang w:val="en-GB" w:eastAsia="en-US"/>
        </w:rPr>
        <w:t>)</w:t>
      </w:r>
      <w:r w:rsidR="00EB49E0" w:rsidRPr="00DD65C2">
        <w:rPr>
          <w:rFonts w:ascii="Calibri" w:hAnsi="Calibri" w:cs="Calibri"/>
          <w:lang w:val="en-GB" w:eastAsia="en-US"/>
        </w:rPr>
        <w:t>. This requires ascertaining whether the sign will be confronted by the general public or, rather, by a specialised part of the public</w:t>
      </w:r>
      <w:r w:rsidR="00B932AF" w:rsidRPr="00DD65C2">
        <w:rPr>
          <w:rFonts w:ascii="Calibri" w:hAnsi="Calibri" w:cs="Calibri"/>
          <w:lang w:val="en-GB" w:eastAsia="en-US"/>
        </w:rPr>
        <w:t xml:space="preserve"> –</w:t>
      </w:r>
      <w:r w:rsidR="00EB49E0" w:rsidRPr="00DD65C2">
        <w:rPr>
          <w:rFonts w:ascii="Calibri" w:hAnsi="Calibri" w:cs="Calibri"/>
          <w:lang w:val="en-GB" w:eastAsia="en-US"/>
        </w:rPr>
        <w:t xml:space="preserve">in which case the subset of EU consumers taken into consideration will be smaller. </w:t>
      </w:r>
    </w:p>
    <w:p w14:paraId="3E450B49" w14:textId="77777777" w:rsidR="00EB49E0" w:rsidRPr="00DD65C2" w:rsidRDefault="00EB49E0" w:rsidP="00EB49E0">
      <w:pPr>
        <w:jc w:val="both"/>
        <w:rPr>
          <w:rFonts w:ascii="Calibri" w:hAnsi="Calibri" w:cs="Calibri"/>
          <w:lang w:val="en-GB" w:eastAsia="en-US"/>
        </w:rPr>
      </w:pPr>
    </w:p>
    <w:p w14:paraId="79CECD54" w14:textId="18C824F4" w:rsidR="00EB49E0" w:rsidRPr="00DD65C2" w:rsidRDefault="00722163" w:rsidP="00EB49E0">
      <w:pPr>
        <w:jc w:val="both"/>
        <w:rPr>
          <w:rFonts w:ascii="Calibri" w:hAnsi="Calibri" w:cs="Calibri"/>
          <w:lang w:val="en-GB" w:eastAsia="en-US"/>
        </w:rPr>
      </w:pPr>
      <w:r w:rsidRPr="00DD65C2">
        <w:rPr>
          <w:rFonts w:ascii="Calibri" w:hAnsi="Calibri" w:cs="Calibri"/>
          <w:lang w:val="en-GB" w:eastAsia="en-US"/>
        </w:rPr>
        <w:t>Second, d</w:t>
      </w:r>
      <w:r w:rsidR="00EB49E0" w:rsidRPr="00DD65C2">
        <w:rPr>
          <w:rFonts w:ascii="Calibri" w:hAnsi="Calibri" w:cs="Calibri"/>
          <w:lang w:val="en-GB" w:eastAsia="en-US"/>
        </w:rPr>
        <w:t xml:space="preserve">efining the objective standard from which the notions of public policy and morality ought to be assessed </w:t>
      </w:r>
      <w:r w:rsidR="00DF7D91" w:rsidRPr="00DD65C2">
        <w:rPr>
          <w:rFonts w:ascii="Calibri" w:hAnsi="Calibri" w:cs="Calibri"/>
          <w:lang w:val="en-GB" w:eastAsia="en-US"/>
        </w:rPr>
        <w:t>is rarely a contentious issue either</w:t>
      </w:r>
      <w:r w:rsidR="00EB49E0" w:rsidRPr="00DD65C2">
        <w:rPr>
          <w:rFonts w:ascii="Calibri" w:hAnsi="Calibri" w:cs="Calibri"/>
          <w:lang w:val="en-GB" w:eastAsia="en-US"/>
        </w:rPr>
        <w:t xml:space="preserve">. Different viewpoints have, however, been adopted by </w:t>
      </w:r>
      <w:r w:rsidR="00CA4514" w:rsidRPr="00DD65C2">
        <w:rPr>
          <w:rFonts w:ascii="Calibri" w:hAnsi="Calibri" w:cs="Calibri"/>
          <w:lang w:val="en-GB" w:eastAsia="en-US"/>
        </w:rPr>
        <w:t>decision-maker</w:t>
      </w:r>
      <w:r w:rsidR="00EB49E0" w:rsidRPr="00DD65C2">
        <w:rPr>
          <w:rFonts w:ascii="Calibri" w:hAnsi="Calibri" w:cs="Calibri"/>
          <w:lang w:val="en-GB" w:eastAsia="en-US"/>
        </w:rPr>
        <w:t xml:space="preserve">s operating out of different jurisdictions. The UK </w:t>
      </w:r>
      <w:r w:rsidR="00E74CBB" w:rsidRPr="00DD65C2">
        <w:rPr>
          <w:rFonts w:ascii="Calibri" w:hAnsi="Calibri" w:cs="Calibri"/>
          <w:lang w:val="en-GB" w:eastAsia="en-US"/>
        </w:rPr>
        <w:t>AP</w:t>
      </w:r>
      <w:r w:rsidR="00EB49E0" w:rsidRPr="00DD65C2">
        <w:rPr>
          <w:rFonts w:ascii="Calibri" w:hAnsi="Calibri" w:cs="Calibri"/>
          <w:lang w:val="en-GB" w:eastAsia="en-US"/>
        </w:rPr>
        <w:t xml:space="preserve"> has often ‘plac[ed it]self in the </w:t>
      </w:r>
      <w:r w:rsidR="00EB49E0" w:rsidRPr="00DD65C2">
        <w:rPr>
          <w:rFonts w:ascii="Calibri" w:hAnsi="Calibri" w:cs="Calibri"/>
          <w:lang w:val="en-GB"/>
        </w:rPr>
        <w:t>shoes of the “right-thinking” member of the public’.</w:t>
      </w:r>
      <w:r w:rsidR="00EB49E0" w:rsidRPr="00DD65C2">
        <w:rPr>
          <w:rStyle w:val="FootnoteReference"/>
          <w:rFonts w:ascii="Calibri" w:hAnsi="Calibri" w:cs="Calibri"/>
        </w:rPr>
        <w:footnoteReference w:id="29"/>
      </w:r>
      <w:r w:rsidR="00EB49E0" w:rsidRPr="00DD65C2">
        <w:rPr>
          <w:rFonts w:ascii="Calibri" w:hAnsi="Calibri" w:cs="Calibri"/>
          <w:lang w:val="en-GB"/>
        </w:rPr>
        <w:t xml:space="preserve"> As defined by Thorley QC in </w:t>
      </w:r>
      <w:r w:rsidR="00EB49E0" w:rsidRPr="00DD65C2">
        <w:rPr>
          <w:rFonts w:ascii="Calibri" w:hAnsi="Calibri" w:cs="Calibri"/>
          <w:i/>
          <w:iCs/>
          <w:lang w:val="en-GB"/>
        </w:rPr>
        <w:t>Ghazilian</w:t>
      </w:r>
      <w:r w:rsidR="002A14B8" w:rsidRPr="00DD65C2">
        <w:rPr>
          <w:rFonts w:ascii="Calibri" w:hAnsi="Calibri" w:cs="Calibri"/>
          <w:i/>
          <w:iCs/>
          <w:lang w:val="en-GB"/>
        </w:rPr>
        <w:t>’s Trade Mark Application</w:t>
      </w:r>
      <w:r w:rsidR="00EB49E0" w:rsidRPr="00DD65C2">
        <w:rPr>
          <w:rFonts w:ascii="Calibri" w:hAnsi="Calibri" w:cs="Calibri"/>
          <w:lang w:val="en-GB"/>
        </w:rPr>
        <w:t>, ‘</w:t>
      </w:r>
      <w:r w:rsidR="00EB49E0" w:rsidRPr="00DD65C2">
        <w:rPr>
          <w:rFonts w:ascii="Calibri" w:hAnsi="Calibri" w:cs="Calibri"/>
          <w:lang w:val="en-GB" w:eastAsia="en-US"/>
        </w:rPr>
        <w:t>[a] right-thinking member may himself or herself not be outraged but will be able, objectively, to assess whether or not the mark in question is calculated to cause […] “outrage” or “censure” […] amongst a relevant section of the public.’</w:t>
      </w:r>
      <w:r w:rsidR="00EB49E0" w:rsidRPr="00DD65C2">
        <w:rPr>
          <w:rStyle w:val="FootnoteReference"/>
          <w:rFonts w:ascii="Calibri" w:hAnsi="Calibri" w:cs="Calibri"/>
        </w:rPr>
        <w:footnoteReference w:id="30"/>
      </w:r>
      <w:r w:rsidR="00EB49E0" w:rsidRPr="00DD65C2">
        <w:rPr>
          <w:rFonts w:ascii="Calibri" w:hAnsi="Calibri" w:cs="Calibri"/>
          <w:lang w:val="en-GB" w:eastAsia="en-US"/>
        </w:rPr>
        <w:t xml:space="preserve"> Admittedly, neither the notion of ‘right-thinking member of the public’ </w:t>
      </w:r>
      <w:r w:rsidR="005F0E91" w:rsidRPr="00DD65C2">
        <w:rPr>
          <w:rFonts w:ascii="Calibri" w:hAnsi="Calibri" w:cs="Calibri"/>
          <w:lang w:val="en-GB" w:eastAsia="en-US"/>
        </w:rPr>
        <w:t>n</w:t>
      </w:r>
      <w:r w:rsidR="00EB49E0" w:rsidRPr="00DD65C2">
        <w:rPr>
          <w:rFonts w:ascii="Calibri" w:hAnsi="Calibri" w:cs="Calibri"/>
          <w:lang w:val="en-GB" w:eastAsia="en-US"/>
        </w:rPr>
        <w:t xml:space="preserve">or its definition bring much to the table in terms of providing a clear viewpoint from which to undertake the assessment of </w:t>
      </w:r>
      <w:r w:rsidR="007B0329" w:rsidRPr="00DD65C2">
        <w:rPr>
          <w:rFonts w:ascii="Calibri" w:hAnsi="Calibri" w:cs="Calibri"/>
          <w:lang w:val="en-GB" w:eastAsia="en-US"/>
        </w:rPr>
        <w:t xml:space="preserve">public policy and/or </w:t>
      </w:r>
      <w:r w:rsidR="00EB49E0" w:rsidRPr="00DD65C2">
        <w:rPr>
          <w:rFonts w:ascii="Calibri" w:hAnsi="Calibri" w:cs="Calibri"/>
          <w:lang w:val="en-GB" w:eastAsia="en-US"/>
        </w:rPr>
        <w:t xml:space="preserve">morality. This might explain why Arnold QC </w:t>
      </w:r>
      <w:r w:rsidR="00A01797" w:rsidRPr="00DD65C2">
        <w:rPr>
          <w:rFonts w:ascii="Calibri" w:hAnsi="Calibri" w:cs="Calibri"/>
          <w:lang w:val="en-GB" w:eastAsia="en-US"/>
        </w:rPr>
        <w:t xml:space="preserve">(as he then was) </w:t>
      </w:r>
      <w:r w:rsidR="00EB49E0" w:rsidRPr="00DD65C2">
        <w:rPr>
          <w:rFonts w:ascii="Calibri" w:hAnsi="Calibri" w:cs="Calibri"/>
          <w:lang w:val="en-GB" w:eastAsia="en-US"/>
        </w:rPr>
        <w:t xml:space="preserve">made no attempt, later on, to define the relevant public in </w:t>
      </w:r>
      <w:r w:rsidR="00EB49E0" w:rsidRPr="00DD65C2">
        <w:rPr>
          <w:rFonts w:ascii="Calibri" w:hAnsi="Calibri" w:cs="Calibri"/>
          <w:i/>
          <w:iCs/>
          <w:lang w:val="en-GB" w:eastAsia="en-US"/>
        </w:rPr>
        <w:t>French Connection Ltd’s Trade Mark Application</w:t>
      </w:r>
      <w:r w:rsidR="00554AE0">
        <w:rPr>
          <w:rFonts w:ascii="Calibri" w:hAnsi="Calibri" w:cs="Calibri"/>
          <w:lang w:val="en-GB" w:eastAsia="en-US"/>
        </w:rPr>
        <w:t xml:space="preserve"> </w:t>
      </w:r>
      <w:r w:rsidR="00CB3F5C">
        <w:rPr>
          <w:rFonts w:ascii="Calibri" w:hAnsi="Calibri" w:cs="Calibri"/>
          <w:lang w:val="en-GB" w:eastAsia="en-US"/>
        </w:rPr>
        <w:t>(</w:t>
      </w:r>
      <w:r w:rsidR="00EB49E0" w:rsidRPr="00DD65C2">
        <w:rPr>
          <w:rFonts w:ascii="Calibri" w:hAnsi="Calibri" w:cs="Calibri"/>
          <w:lang w:val="en-GB" w:eastAsia="en-US"/>
        </w:rPr>
        <w:t>including the standard from which to assess the morality of the applied-for sign ‘FCUK’</w:t>
      </w:r>
      <w:r w:rsidR="00CB3F5C">
        <w:rPr>
          <w:rFonts w:ascii="Calibri" w:hAnsi="Calibri" w:cs="Calibri"/>
          <w:lang w:val="en-GB" w:eastAsia="en-US"/>
        </w:rPr>
        <w:t>)</w:t>
      </w:r>
      <w:r w:rsidR="00EB49E0" w:rsidRPr="00DD65C2">
        <w:rPr>
          <w:rFonts w:ascii="Calibri" w:hAnsi="Calibri" w:cs="Calibri"/>
          <w:lang w:val="en-GB" w:eastAsia="en-US"/>
        </w:rPr>
        <w:t>, opting instead to focus on the notion of ‘objectivity’.</w:t>
      </w:r>
      <w:r w:rsidR="00EB49E0" w:rsidRPr="00DD65C2">
        <w:rPr>
          <w:rStyle w:val="FootnoteReference"/>
          <w:rFonts w:ascii="Calibri" w:hAnsi="Calibri" w:cs="Calibri"/>
        </w:rPr>
        <w:footnoteReference w:id="31"/>
      </w:r>
      <w:r w:rsidR="00EB49E0" w:rsidRPr="00DD65C2">
        <w:rPr>
          <w:rFonts w:ascii="Calibri" w:hAnsi="Calibri" w:cs="Calibri"/>
          <w:lang w:val="en-GB" w:eastAsia="en-US"/>
        </w:rPr>
        <w:t xml:space="preserve"> In the EU, </w:t>
      </w:r>
      <w:r w:rsidR="00CA4514" w:rsidRPr="00DD65C2">
        <w:rPr>
          <w:rFonts w:ascii="Calibri" w:hAnsi="Calibri" w:cs="Calibri"/>
          <w:lang w:val="en-GB" w:eastAsia="en-US"/>
        </w:rPr>
        <w:t>decision-maker</w:t>
      </w:r>
      <w:r w:rsidR="00EB49E0" w:rsidRPr="00DD65C2">
        <w:rPr>
          <w:rFonts w:ascii="Calibri" w:hAnsi="Calibri" w:cs="Calibri"/>
          <w:lang w:val="en-GB" w:eastAsia="en-US"/>
        </w:rPr>
        <w:t xml:space="preserve">s have agreed on the objective standard from which the notions </w:t>
      </w:r>
      <w:r w:rsidR="00EB49E0" w:rsidRPr="00DD65C2">
        <w:rPr>
          <w:rFonts w:ascii="Calibri" w:hAnsi="Calibri" w:cs="Calibri"/>
          <w:lang w:val="en-GB"/>
        </w:rPr>
        <w:t>of public policy and morality ought to be assessed, which is defined as ‘the standards of a reasonable person with normal levels of sensitivity and tolerance’.</w:t>
      </w:r>
      <w:r w:rsidR="00EB49E0" w:rsidRPr="00DD65C2">
        <w:rPr>
          <w:rStyle w:val="FootnoteReference"/>
          <w:rFonts w:ascii="Calibri" w:hAnsi="Calibri" w:cs="Calibri"/>
        </w:rPr>
        <w:footnoteReference w:id="32"/>
      </w:r>
    </w:p>
    <w:p w14:paraId="0DA7F93E" w14:textId="5F07A817" w:rsidR="00EB49E0" w:rsidRPr="00DD65C2" w:rsidRDefault="00EB49E0" w:rsidP="00EB49E0">
      <w:pPr>
        <w:jc w:val="both"/>
        <w:rPr>
          <w:rFonts w:ascii="Calibri" w:hAnsi="Calibri" w:cs="Calibri"/>
          <w:lang w:val="en-GB" w:eastAsia="en-US"/>
        </w:rPr>
      </w:pPr>
    </w:p>
    <w:p w14:paraId="75792AE7" w14:textId="33123BB9" w:rsidR="00DF7D91" w:rsidRPr="00DD65C2" w:rsidRDefault="00722163" w:rsidP="00722163">
      <w:pPr>
        <w:jc w:val="both"/>
        <w:rPr>
          <w:rFonts w:ascii="Calibri" w:hAnsi="Calibri" w:cs="Calibri"/>
          <w:lang w:val="en-GB" w:eastAsia="en-US"/>
        </w:rPr>
      </w:pPr>
      <w:r w:rsidRPr="00DD65C2">
        <w:rPr>
          <w:rFonts w:ascii="Calibri" w:hAnsi="Calibri" w:cs="Calibri"/>
          <w:lang w:val="en-GB" w:eastAsia="en-US"/>
        </w:rPr>
        <w:t xml:space="preserve">And, third, delimitating the section of the population that is liable to be offended by the applied-for sign </w:t>
      </w:r>
      <w:r w:rsidR="00F60DF7" w:rsidRPr="00DD65C2">
        <w:rPr>
          <w:rFonts w:ascii="Calibri" w:hAnsi="Calibri" w:cs="Calibri"/>
          <w:lang w:val="en-GB" w:eastAsia="en-US"/>
        </w:rPr>
        <w:t>in instances of diverse linguistic</w:t>
      </w:r>
      <w:r w:rsidR="00F47378" w:rsidRPr="00DD65C2">
        <w:rPr>
          <w:rFonts w:ascii="Calibri" w:hAnsi="Calibri" w:cs="Calibri"/>
          <w:lang w:val="en-GB" w:eastAsia="en-US"/>
        </w:rPr>
        <w:t xml:space="preserve">, historic, social </w:t>
      </w:r>
      <w:r w:rsidR="00F60DF7" w:rsidRPr="00DD65C2">
        <w:rPr>
          <w:rFonts w:ascii="Calibri" w:hAnsi="Calibri" w:cs="Calibri"/>
          <w:lang w:val="en-GB" w:eastAsia="en-US"/>
        </w:rPr>
        <w:t xml:space="preserve">and cultural groups </w:t>
      </w:r>
      <w:r w:rsidR="00A5064A" w:rsidRPr="00DD65C2">
        <w:rPr>
          <w:rFonts w:ascii="Calibri" w:hAnsi="Calibri" w:cs="Calibri"/>
          <w:lang w:val="en-GB" w:eastAsia="en-US"/>
        </w:rPr>
        <w:t xml:space="preserve">within a trade mark system </w:t>
      </w:r>
      <w:r w:rsidR="00960E4B" w:rsidRPr="00DD65C2">
        <w:rPr>
          <w:rFonts w:ascii="Calibri" w:hAnsi="Calibri" w:cs="Calibri"/>
          <w:lang w:val="en-GB" w:eastAsia="en-US"/>
        </w:rPr>
        <w:t>had, until recently,</w:t>
      </w:r>
      <w:r w:rsidR="00451801" w:rsidRPr="00DD65C2">
        <w:rPr>
          <w:rFonts w:ascii="Calibri" w:hAnsi="Calibri" w:cs="Calibri"/>
          <w:lang w:val="en-GB" w:eastAsia="en-US"/>
        </w:rPr>
        <w:t xml:space="preserve"> </w:t>
      </w:r>
      <w:r w:rsidR="00DF7D91" w:rsidRPr="00DD65C2">
        <w:rPr>
          <w:rFonts w:ascii="Calibri" w:hAnsi="Calibri" w:cs="Calibri"/>
          <w:lang w:val="en-GB" w:eastAsia="en-US"/>
        </w:rPr>
        <w:t>not proved very problematic either.</w:t>
      </w:r>
      <w:r w:rsidR="00960E4B" w:rsidRPr="00DD65C2">
        <w:rPr>
          <w:rFonts w:ascii="Calibri" w:hAnsi="Calibri" w:cs="Calibri"/>
          <w:lang w:val="en-GB" w:eastAsia="en-US"/>
        </w:rPr>
        <w:t xml:space="preserve"> </w:t>
      </w:r>
      <w:r w:rsidRPr="00DD65C2">
        <w:rPr>
          <w:rFonts w:ascii="Calibri" w:hAnsi="Calibri" w:cs="Calibri"/>
          <w:lang w:val="en-GB" w:eastAsia="en-US"/>
        </w:rPr>
        <w:t xml:space="preserve">Article 7(2) EUTMR provides that absolute grounds for refusal of EU marks (including public policy and morality) ‘shall apply notwithstanding that the grounds of non-registrability obtain in only part of the Union’. Because EU marks grant owners an exclusive right throughout the territory of the EU, applications for registration filed before the EUIPO impose on </w:t>
      </w:r>
      <w:r w:rsidR="00CA4514" w:rsidRPr="00DD65C2">
        <w:rPr>
          <w:rFonts w:ascii="Calibri" w:hAnsi="Calibri" w:cs="Calibri"/>
          <w:lang w:val="en-GB" w:eastAsia="en-US"/>
        </w:rPr>
        <w:t>decision-maker</w:t>
      </w:r>
      <w:r w:rsidRPr="00DD65C2">
        <w:rPr>
          <w:rFonts w:ascii="Calibri" w:hAnsi="Calibri" w:cs="Calibri"/>
          <w:lang w:val="en-GB" w:eastAsia="en-US"/>
        </w:rPr>
        <w:t xml:space="preserve">s the additional requirement of ensuring that the applied-for sign is not contrary to public policy or morality in any of the (now) 27 Member States. As a result, a sign that raises no public policy/morality concerns in </w:t>
      </w:r>
      <w:r w:rsidRPr="00DD65C2">
        <w:rPr>
          <w:rFonts w:ascii="Calibri" w:hAnsi="Calibri" w:cs="Calibri"/>
          <w:lang w:val="en-GB" w:eastAsia="en-US"/>
        </w:rPr>
        <w:lastRenderedPageBreak/>
        <w:t xml:space="preserve">the vast majority of Member States may, however, be denied registration on the basis that it is liable to cause outrage amongst a subset of </w:t>
      </w:r>
      <w:r w:rsidR="00DD2421" w:rsidRPr="00DD65C2">
        <w:rPr>
          <w:rFonts w:ascii="Calibri" w:hAnsi="Calibri" w:cs="Calibri"/>
          <w:lang w:val="en-GB" w:eastAsia="en-US"/>
        </w:rPr>
        <w:t>the EU public</w:t>
      </w:r>
      <w:r w:rsidR="0057140C" w:rsidRPr="00DD65C2">
        <w:rPr>
          <w:rFonts w:ascii="Calibri" w:hAnsi="Calibri" w:cs="Calibri"/>
          <w:lang w:val="en-GB" w:eastAsia="en-US"/>
        </w:rPr>
        <w:t>.</w:t>
      </w:r>
    </w:p>
    <w:p w14:paraId="43E87E3D" w14:textId="77777777" w:rsidR="00722163" w:rsidRPr="00DD65C2" w:rsidRDefault="00722163" w:rsidP="00EB49E0">
      <w:pPr>
        <w:jc w:val="both"/>
        <w:rPr>
          <w:rFonts w:ascii="Calibri" w:hAnsi="Calibri" w:cs="Calibri"/>
          <w:lang w:val="en-GB" w:eastAsia="en-US"/>
        </w:rPr>
      </w:pPr>
    </w:p>
    <w:p w14:paraId="00117E64" w14:textId="6B1968D7" w:rsidR="00EB49E0" w:rsidRPr="00DD65C2" w:rsidRDefault="00722163" w:rsidP="00EB49E0">
      <w:pPr>
        <w:jc w:val="both"/>
        <w:rPr>
          <w:rFonts w:ascii="Calibri" w:hAnsi="Calibri" w:cs="Calibri"/>
          <w:lang w:val="en-GB" w:eastAsia="en-US"/>
        </w:rPr>
      </w:pPr>
      <w:r w:rsidRPr="00DD65C2">
        <w:rPr>
          <w:rFonts w:ascii="Calibri" w:hAnsi="Calibri" w:cs="Calibri"/>
          <w:lang w:val="en-GB" w:eastAsia="en-US"/>
        </w:rPr>
        <w:t>P</w:t>
      </w:r>
      <w:r w:rsidR="00EB49E0" w:rsidRPr="00DD65C2">
        <w:rPr>
          <w:rFonts w:ascii="Calibri" w:hAnsi="Calibri" w:cs="Calibri"/>
          <w:lang w:val="en-GB" w:eastAsia="en-US"/>
        </w:rPr>
        <w:t xml:space="preserve">roperly </w:t>
      </w:r>
      <w:r w:rsidR="00342733" w:rsidRPr="00DD65C2">
        <w:rPr>
          <w:rFonts w:ascii="Calibri" w:hAnsi="Calibri" w:cs="Calibri"/>
          <w:lang w:val="en-GB" w:eastAsia="en-US"/>
        </w:rPr>
        <w:t>delimitating</w:t>
      </w:r>
      <w:r w:rsidR="00EB49E0" w:rsidRPr="00DD65C2">
        <w:rPr>
          <w:rFonts w:ascii="Calibri" w:hAnsi="Calibri" w:cs="Calibri"/>
          <w:lang w:val="en-GB" w:eastAsia="en-US"/>
        </w:rPr>
        <w:t xml:space="preserve"> the relevant public in EU-wide scenarios </w:t>
      </w:r>
      <w:r w:rsidR="00DF7D91" w:rsidRPr="00DD65C2">
        <w:rPr>
          <w:rFonts w:ascii="Calibri" w:hAnsi="Calibri" w:cs="Calibri"/>
          <w:lang w:val="en-GB" w:eastAsia="en-US"/>
        </w:rPr>
        <w:t xml:space="preserve">thus constitutes </w:t>
      </w:r>
      <w:r w:rsidR="00EB49E0" w:rsidRPr="00DD65C2">
        <w:rPr>
          <w:rFonts w:ascii="Calibri" w:hAnsi="Calibri" w:cs="Calibri"/>
          <w:lang w:val="en-GB" w:eastAsia="en-US"/>
        </w:rPr>
        <w:t>a crucial step of the inquiry</w:t>
      </w:r>
      <w:r w:rsidR="00DF7D91" w:rsidRPr="00DD65C2">
        <w:rPr>
          <w:rFonts w:ascii="Calibri" w:hAnsi="Calibri" w:cs="Calibri"/>
          <w:lang w:val="en-GB" w:eastAsia="en-US"/>
        </w:rPr>
        <w:t>,</w:t>
      </w:r>
      <w:r w:rsidR="00EB49E0" w:rsidRPr="00DD65C2">
        <w:rPr>
          <w:rFonts w:ascii="Calibri" w:hAnsi="Calibri" w:cs="Calibri"/>
          <w:lang w:val="en-GB" w:eastAsia="en-US"/>
        </w:rPr>
        <w:t xml:space="preserve"> that can greatly determine the chances of success of a trade mark application. </w:t>
      </w:r>
      <w:r w:rsidR="002410CF" w:rsidRPr="00DD65C2">
        <w:rPr>
          <w:rFonts w:ascii="Calibri" w:hAnsi="Calibri" w:cs="Calibri"/>
          <w:lang w:val="en-GB" w:eastAsia="en-US"/>
        </w:rPr>
        <w:t>Misdefining</w:t>
      </w:r>
      <w:r w:rsidR="00342733" w:rsidRPr="00DD65C2">
        <w:rPr>
          <w:rFonts w:ascii="Calibri" w:hAnsi="Calibri" w:cs="Calibri"/>
          <w:lang w:val="en-GB" w:eastAsia="en-US"/>
        </w:rPr>
        <w:t xml:space="preserve"> the relevant </w:t>
      </w:r>
      <w:r w:rsidR="00EB49E0" w:rsidRPr="00DD65C2">
        <w:rPr>
          <w:rFonts w:ascii="Calibri" w:hAnsi="Calibri" w:cs="Calibri"/>
          <w:lang w:val="en-GB" w:eastAsia="en-US"/>
        </w:rPr>
        <w:t xml:space="preserve">public can lead to one of the following two scenarios. First, </w:t>
      </w:r>
      <w:r w:rsidRPr="00DD65C2">
        <w:rPr>
          <w:rFonts w:ascii="Calibri" w:hAnsi="Calibri" w:cs="Calibri"/>
          <w:lang w:val="en-GB" w:eastAsia="en-US"/>
        </w:rPr>
        <w:t>a</w:t>
      </w:r>
      <w:r w:rsidR="00EB49E0" w:rsidRPr="00DD65C2">
        <w:rPr>
          <w:rFonts w:ascii="Calibri" w:hAnsi="Calibri" w:cs="Calibri"/>
          <w:lang w:val="en-GB" w:eastAsia="en-US"/>
        </w:rPr>
        <w:t xml:space="preserve"> sign’s ability to cause outrage amongst </w:t>
      </w:r>
      <w:r w:rsidR="00014304" w:rsidRPr="00DD65C2">
        <w:rPr>
          <w:rFonts w:ascii="Calibri" w:hAnsi="Calibri" w:cs="Calibri"/>
          <w:lang w:val="en-GB" w:eastAsia="en-US"/>
        </w:rPr>
        <w:t xml:space="preserve">a subset of the </w:t>
      </w:r>
      <w:r w:rsidR="00EB49E0" w:rsidRPr="00DD65C2">
        <w:rPr>
          <w:rFonts w:ascii="Calibri" w:hAnsi="Calibri" w:cs="Calibri"/>
          <w:lang w:val="en-GB" w:eastAsia="en-US"/>
        </w:rPr>
        <w:t xml:space="preserve">EU </w:t>
      </w:r>
      <w:r w:rsidR="00014304" w:rsidRPr="00DD65C2">
        <w:rPr>
          <w:rFonts w:ascii="Calibri" w:hAnsi="Calibri" w:cs="Calibri"/>
          <w:lang w:val="en-GB" w:eastAsia="en-US"/>
        </w:rPr>
        <w:t>public</w:t>
      </w:r>
      <w:r w:rsidR="00EB49E0" w:rsidRPr="00DD65C2">
        <w:rPr>
          <w:rFonts w:ascii="Calibri" w:hAnsi="Calibri" w:cs="Calibri"/>
          <w:lang w:val="en-GB" w:eastAsia="en-US"/>
        </w:rPr>
        <w:t xml:space="preserve"> may be disregard</w:t>
      </w:r>
      <w:r w:rsidR="006C2BE6" w:rsidRPr="00DD65C2">
        <w:rPr>
          <w:rFonts w:ascii="Calibri" w:hAnsi="Calibri" w:cs="Calibri"/>
          <w:lang w:val="en-GB" w:eastAsia="en-US"/>
        </w:rPr>
        <w:t>ed</w:t>
      </w:r>
      <w:r w:rsidR="00EB49E0" w:rsidRPr="00DD65C2">
        <w:rPr>
          <w:rFonts w:ascii="Calibri" w:hAnsi="Calibri" w:cs="Calibri"/>
          <w:lang w:val="en-GB" w:eastAsia="en-US"/>
        </w:rPr>
        <w:t xml:space="preserve"> by the trade mark-granting authority (</w:t>
      </w:r>
      <w:r w:rsidRPr="00DD65C2">
        <w:rPr>
          <w:rFonts w:ascii="Calibri" w:hAnsi="Calibri" w:cs="Calibri"/>
          <w:lang w:val="en-GB" w:eastAsia="en-US"/>
        </w:rPr>
        <w:t>e.g.</w:t>
      </w:r>
      <w:r w:rsidR="00EB49E0" w:rsidRPr="00DD65C2">
        <w:rPr>
          <w:rFonts w:ascii="Calibri" w:hAnsi="Calibri" w:cs="Calibri"/>
          <w:lang w:val="en-GB" w:eastAsia="en-US"/>
        </w:rPr>
        <w:t xml:space="preserve"> where the examiner is unaware that the sign constitutes an offensive term in one of the 24 official languages of the EU), leading to the applied-for sign being </w:t>
      </w:r>
      <w:r w:rsidR="00B87CEA" w:rsidRPr="00DD65C2">
        <w:rPr>
          <w:rFonts w:ascii="Calibri" w:hAnsi="Calibri" w:cs="Calibri"/>
          <w:lang w:val="en-GB" w:eastAsia="en-US"/>
        </w:rPr>
        <w:t xml:space="preserve">incorrectly </w:t>
      </w:r>
      <w:r w:rsidR="00EB49E0" w:rsidRPr="00DD65C2">
        <w:rPr>
          <w:rFonts w:ascii="Calibri" w:hAnsi="Calibri" w:cs="Calibri"/>
          <w:lang w:val="en-GB" w:eastAsia="en-US"/>
        </w:rPr>
        <w:t xml:space="preserve">registered. And, second, the sign’s departure from acceptable social standards may be assessed incorrectly, whether to the applicant’s benefit or to its detriment. The former can occur, for instance, where the sign, which can be offensive under two different languages, is only assessed in the light of one </w:t>
      </w:r>
      <w:r w:rsidR="00014304" w:rsidRPr="00DD65C2">
        <w:rPr>
          <w:rFonts w:ascii="Calibri" w:hAnsi="Calibri" w:cs="Calibri"/>
          <w:lang w:val="en-GB" w:eastAsia="en-US"/>
        </w:rPr>
        <w:t>of them</w:t>
      </w:r>
      <w:r w:rsidR="00EB49E0" w:rsidRPr="00DD65C2">
        <w:rPr>
          <w:rFonts w:ascii="Calibri" w:hAnsi="Calibri" w:cs="Calibri"/>
          <w:lang w:val="en-GB" w:eastAsia="en-US"/>
        </w:rPr>
        <w:t>. Because the relevant public will be defined without taking into account both community of speakers within the EU, the applicant’s chances of success will be higher.</w:t>
      </w:r>
    </w:p>
    <w:p w14:paraId="3A2A8504" w14:textId="76C05D1E" w:rsidR="00EB49E0" w:rsidRPr="00DD65C2" w:rsidRDefault="00EB49E0" w:rsidP="00EB49E0">
      <w:pPr>
        <w:jc w:val="both"/>
        <w:rPr>
          <w:rFonts w:ascii="Calibri" w:hAnsi="Calibri" w:cs="Calibri"/>
          <w:lang w:val="en-GB" w:eastAsia="en-US"/>
        </w:rPr>
      </w:pPr>
    </w:p>
    <w:p w14:paraId="0C3DB742" w14:textId="48A97B04" w:rsidR="00EB49E0" w:rsidRPr="00DD65C2" w:rsidRDefault="00DF7D91" w:rsidP="00EB49E0">
      <w:pPr>
        <w:jc w:val="both"/>
        <w:rPr>
          <w:rFonts w:ascii="Calibri" w:hAnsi="Calibri" w:cs="Calibri"/>
          <w:lang w:val="en-US" w:eastAsia="en-US"/>
        </w:rPr>
      </w:pPr>
      <w:r w:rsidRPr="00DD65C2">
        <w:rPr>
          <w:rFonts w:ascii="Calibri" w:hAnsi="Calibri" w:cs="Calibri"/>
          <w:lang w:val="en-GB" w:eastAsia="en-US"/>
        </w:rPr>
        <w:t>Article 7(2) EUTMR has been routinely applied by the GC and the EUIPO</w:t>
      </w:r>
      <w:r w:rsidR="00DB4BB4" w:rsidRPr="00DD65C2">
        <w:rPr>
          <w:rFonts w:ascii="Calibri" w:hAnsi="Calibri" w:cs="Calibri"/>
          <w:lang w:val="en-GB" w:eastAsia="en-US"/>
        </w:rPr>
        <w:t xml:space="preserve"> with a view to ensuring respect for the diversity of </w:t>
      </w:r>
      <w:r w:rsidR="0033639B" w:rsidRPr="00DD65C2">
        <w:rPr>
          <w:rFonts w:ascii="Calibri" w:hAnsi="Calibri" w:cs="Calibri"/>
          <w:lang w:val="en-GB" w:eastAsia="en-US"/>
        </w:rPr>
        <w:t>cultures</w:t>
      </w:r>
      <w:r w:rsidR="00DB4BB4" w:rsidRPr="00DD65C2">
        <w:rPr>
          <w:rFonts w:ascii="Calibri" w:hAnsi="Calibri" w:cs="Calibri"/>
          <w:lang w:val="en-GB" w:eastAsia="en-US"/>
        </w:rPr>
        <w:t xml:space="preserve"> and </w:t>
      </w:r>
      <w:r w:rsidR="0033639B" w:rsidRPr="00DD65C2">
        <w:rPr>
          <w:rFonts w:ascii="Calibri" w:hAnsi="Calibri" w:cs="Calibri"/>
          <w:lang w:val="en-GB" w:eastAsia="en-US"/>
        </w:rPr>
        <w:t>languages</w:t>
      </w:r>
      <w:r w:rsidR="00DB4BB4" w:rsidRPr="00DD65C2">
        <w:rPr>
          <w:rFonts w:ascii="Calibri" w:hAnsi="Calibri" w:cs="Calibri"/>
          <w:lang w:val="en-GB" w:eastAsia="en-US"/>
        </w:rPr>
        <w:t xml:space="preserve"> that can be found in the EU.</w:t>
      </w:r>
      <w:r w:rsidR="008D2409" w:rsidRPr="00DD65C2">
        <w:rPr>
          <w:rFonts w:ascii="Calibri" w:hAnsi="Calibri" w:cs="Calibri"/>
          <w:lang w:val="en-GB" w:eastAsia="en-US"/>
        </w:rPr>
        <w:t xml:space="preserve"> Admittedly, cases where the relevant public has been defined by reference to </w:t>
      </w:r>
      <w:r w:rsidR="00F47378" w:rsidRPr="00DD65C2">
        <w:rPr>
          <w:rFonts w:ascii="Calibri" w:hAnsi="Calibri" w:cs="Calibri"/>
          <w:lang w:val="en-GB" w:eastAsia="en-US"/>
        </w:rPr>
        <w:t xml:space="preserve">historical, social or </w:t>
      </w:r>
      <w:r w:rsidR="008D2409" w:rsidRPr="00DD65C2">
        <w:rPr>
          <w:rFonts w:ascii="Calibri" w:hAnsi="Calibri" w:cs="Calibri"/>
          <w:lang w:val="en-GB" w:eastAsia="en-US"/>
        </w:rPr>
        <w:t xml:space="preserve">cultural traits are rare. In </w:t>
      </w:r>
      <w:r w:rsidR="008D2409" w:rsidRPr="00DD65C2">
        <w:rPr>
          <w:rFonts w:ascii="Calibri" w:hAnsi="Calibri" w:cs="Calibri"/>
          <w:i/>
          <w:iCs/>
          <w:lang w:val="en-GB" w:eastAsia="en-US"/>
        </w:rPr>
        <w:t>Couture Tech</w:t>
      </w:r>
      <w:r w:rsidR="008D2409" w:rsidRPr="00DD65C2">
        <w:rPr>
          <w:rFonts w:ascii="Calibri" w:hAnsi="Calibri" w:cs="Calibri"/>
          <w:lang w:val="en-GB" w:eastAsia="en-US"/>
        </w:rPr>
        <w:t xml:space="preserve">, </w:t>
      </w:r>
      <w:r w:rsidR="003108BC" w:rsidRPr="00DD65C2">
        <w:rPr>
          <w:rFonts w:ascii="Calibri" w:hAnsi="Calibri" w:cs="Calibri"/>
          <w:lang w:val="en-GB" w:eastAsia="en-US"/>
        </w:rPr>
        <w:t>for instance</w:t>
      </w:r>
      <w:r w:rsidR="008D2409" w:rsidRPr="00DD65C2">
        <w:rPr>
          <w:rFonts w:ascii="Calibri" w:hAnsi="Calibri" w:cs="Calibri"/>
          <w:lang w:val="en-GB" w:eastAsia="en-US"/>
        </w:rPr>
        <w:t xml:space="preserve">, the refusal to grant registration to a figurative sign depicting the coat of arms of the former USSR was premised on the special sensitivity that the ‘public </w:t>
      </w:r>
      <w:r w:rsidR="008D2409" w:rsidRPr="00DD65C2">
        <w:rPr>
          <w:rFonts w:ascii="Calibri" w:hAnsi="Calibri" w:cs="Calibri"/>
          <w:lang w:eastAsia="en-US"/>
        </w:rPr>
        <w:t>living in the part of the European Union which had been subject to the Soviet regime</w:t>
      </w:r>
      <w:r w:rsidR="008D2409" w:rsidRPr="00DD65C2">
        <w:rPr>
          <w:rFonts w:ascii="Calibri" w:hAnsi="Calibri" w:cs="Calibri"/>
          <w:lang w:val="en-US" w:eastAsia="en-US"/>
        </w:rPr>
        <w:t>’ has to symbols connected to the Soviet Union.</w:t>
      </w:r>
      <w:r w:rsidR="008D2409" w:rsidRPr="00DD65C2">
        <w:rPr>
          <w:rStyle w:val="FootnoteReference"/>
          <w:rFonts w:ascii="Calibri" w:hAnsi="Calibri" w:cs="Calibri"/>
        </w:rPr>
        <w:footnoteReference w:id="33"/>
      </w:r>
      <w:r w:rsidR="00417F0E" w:rsidRPr="00417F0E">
        <w:rPr>
          <w:rFonts w:ascii="Calibri" w:hAnsi="Calibri" w:cs="Calibri"/>
          <w:lang w:val="en-US" w:eastAsia="en-US"/>
        </w:rPr>
        <w:t xml:space="preserve"> </w:t>
      </w:r>
      <w:r w:rsidR="002C6A0A" w:rsidRPr="00DD65C2">
        <w:rPr>
          <w:rFonts w:ascii="Calibri" w:hAnsi="Calibri" w:cs="Calibri"/>
          <w:lang w:val="en-US" w:eastAsia="en-US"/>
        </w:rPr>
        <w:t xml:space="preserve">In most cases involving application of Article 7(2) EUTMR, </w:t>
      </w:r>
      <w:r w:rsidR="004F29DD" w:rsidRPr="00DD65C2">
        <w:rPr>
          <w:rFonts w:ascii="Calibri" w:hAnsi="Calibri" w:cs="Calibri"/>
          <w:lang w:val="en-US" w:eastAsia="en-US"/>
        </w:rPr>
        <w:t xml:space="preserve">signs </w:t>
      </w:r>
      <w:r w:rsidR="002C6A0A" w:rsidRPr="00DD65C2">
        <w:rPr>
          <w:rFonts w:ascii="Calibri" w:hAnsi="Calibri" w:cs="Calibri"/>
          <w:lang w:val="en-US" w:eastAsia="en-US"/>
        </w:rPr>
        <w:t>have been</w:t>
      </w:r>
      <w:r w:rsidR="004F29DD" w:rsidRPr="00DD65C2">
        <w:rPr>
          <w:rFonts w:ascii="Calibri" w:hAnsi="Calibri" w:cs="Calibri"/>
          <w:lang w:val="en-US" w:eastAsia="en-US"/>
        </w:rPr>
        <w:t xml:space="preserve"> refused registration on grounds that they constitute </w:t>
      </w:r>
      <w:r w:rsidR="00EB49E0" w:rsidRPr="00DD65C2">
        <w:rPr>
          <w:rFonts w:ascii="Calibri" w:hAnsi="Calibri" w:cs="Calibri"/>
          <w:lang w:val="en-GB" w:eastAsia="en-US"/>
        </w:rPr>
        <w:t>swear words in one of the official languages of the EU</w:t>
      </w:r>
      <w:r w:rsidR="004F29DD" w:rsidRPr="00DD65C2">
        <w:rPr>
          <w:rFonts w:ascii="Calibri" w:hAnsi="Calibri" w:cs="Calibri"/>
          <w:lang w:val="en-GB" w:eastAsia="en-US"/>
        </w:rPr>
        <w:t xml:space="preserve">. </w:t>
      </w:r>
      <w:r w:rsidR="00EB49E0" w:rsidRPr="00DD65C2">
        <w:rPr>
          <w:rFonts w:ascii="Calibri" w:hAnsi="Calibri" w:cs="Calibri"/>
          <w:lang w:val="en-GB" w:eastAsia="en-US"/>
        </w:rPr>
        <w:t xml:space="preserve">In </w:t>
      </w:r>
      <w:r w:rsidR="00EB49E0" w:rsidRPr="00DD65C2">
        <w:rPr>
          <w:rFonts w:ascii="Calibri" w:hAnsi="Calibri" w:cs="Calibri"/>
          <w:i/>
          <w:iCs/>
          <w:lang w:val="en-GB" w:eastAsia="en-US"/>
        </w:rPr>
        <w:t>PAKI Logistics</w:t>
      </w:r>
      <w:r w:rsidR="00E72E0E" w:rsidRPr="00DD65C2">
        <w:rPr>
          <w:rFonts w:ascii="Calibri" w:hAnsi="Calibri" w:cs="Calibri"/>
          <w:i/>
          <w:iCs/>
          <w:lang w:val="en-GB" w:eastAsia="en-US"/>
        </w:rPr>
        <w:t xml:space="preserve"> v OHIM</w:t>
      </w:r>
      <w:r w:rsidR="00EB49E0" w:rsidRPr="00DD65C2">
        <w:rPr>
          <w:rFonts w:ascii="Calibri" w:hAnsi="Calibri" w:cs="Calibri"/>
          <w:lang w:val="en-GB" w:eastAsia="en-US"/>
        </w:rPr>
        <w:t xml:space="preserve">, for </w:t>
      </w:r>
      <w:r w:rsidR="00697693" w:rsidRPr="00DD65C2">
        <w:rPr>
          <w:rFonts w:ascii="Calibri" w:hAnsi="Calibri" w:cs="Calibri"/>
          <w:lang w:val="en-GB" w:eastAsia="en-US"/>
        </w:rPr>
        <w:t>example</w:t>
      </w:r>
      <w:r w:rsidR="00EB49E0" w:rsidRPr="00DD65C2">
        <w:rPr>
          <w:rFonts w:ascii="Calibri" w:hAnsi="Calibri" w:cs="Calibri"/>
          <w:lang w:val="en-GB" w:eastAsia="en-US"/>
        </w:rPr>
        <w:t>, the GC defined the relevant public as the English-speaking population within the EU ‘since the term "paki" has a meaning in the English language’.</w:t>
      </w:r>
      <w:r w:rsidR="00EB49E0" w:rsidRPr="00DD65C2">
        <w:rPr>
          <w:rStyle w:val="FootnoteReference"/>
          <w:rFonts w:ascii="Calibri" w:hAnsi="Calibri" w:cs="Calibri"/>
        </w:rPr>
        <w:footnoteReference w:id="34"/>
      </w:r>
      <w:r w:rsidR="00A177CA" w:rsidRPr="00DD65C2">
        <w:rPr>
          <w:rFonts w:ascii="Calibri" w:hAnsi="Calibri" w:cs="Calibri"/>
          <w:lang w:val="en-GB" w:eastAsia="en-US"/>
        </w:rPr>
        <w:t xml:space="preserve"> I</w:t>
      </w:r>
      <w:r w:rsidR="00EB49E0" w:rsidRPr="00DD65C2">
        <w:rPr>
          <w:rFonts w:ascii="Calibri" w:hAnsi="Calibri" w:cs="Calibri"/>
          <w:lang w:val="en-GB" w:eastAsia="en-US"/>
        </w:rPr>
        <w:t xml:space="preserve">n </w:t>
      </w:r>
      <w:r w:rsidR="00EB49E0" w:rsidRPr="00DD65C2">
        <w:rPr>
          <w:rFonts w:ascii="Calibri" w:hAnsi="Calibri" w:cs="Calibri"/>
          <w:i/>
          <w:iCs/>
          <w:lang w:val="en-GB" w:eastAsia="en-US"/>
        </w:rPr>
        <w:t>Federico Cort</w:t>
      </w:r>
      <w:r w:rsidR="004A040A" w:rsidRPr="00DD65C2">
        <w:rPr>
          <w:rFonts w:ascii="Calibri" w:hAnsi="Calibri" w:cs="Calibri"/>
          <w:i/>
          <w:iCs/>
          <w:lang w:val="en-GB" w:eastAsia="en-US"/>
        </w:rPr>
        <w:t>é</w:t>
      </w:r>
      <w:r w:rsidR="00EB49E0" w:rsidRPr="00DD65C2">
        <w:rPr>
          <w:rFonts w:ascii="Calibri" w:hAnsi="Calibri" w:cs="Calibri"/>
          <w:i/>
          <w:iCs/>
          <w:lang w:val="en-GB" w:eastAsia="en-US"/>
        </w:rPr>
        <w:t>s del Valle</w:t>
      </w:r>
      <w:r w:rsidR="004A040A" w:rsidRPr="00DD65C2">
        <w:rPr>
          <w:rFonts w:ascii="Calibri" w:hAnsi="Calibri" w:cs="Calibri"/>
          <w:i/>
          <w:iCs/>
          <w:lang w:val="en-GB" w:eastAsia="en-US"/>
        </w:rPr>
        <w:t xml:space="preserve"> López</w:t>
      </w:r>
      <w:r w:rsidR="00451801" w:rsidRPr="00DD65C2">
        <w:rPr>
          <w:rFonts w:ascii="Calibri" w:hAnsi="Calibri" w:cs="Calibri"/>
          <w:i/>
          <w:iCs/>
          <w:lang w:val="en-GB" w:eastAsia="en-US"/>
        </w:rPr>
        <w:t xml:space="preserve"> v OHIM</w:t>
      </w:r>
      <w:r w:rsidR="00EB49E0" w:rsidRPr="00DD65C2">
        <w:rPr>
          <w:rFonts w:ascii="Calibri" w:hAnsi="Calibri" w:cs="Calibri"/>
          <w:lang w:val="en-GB" w:eastAsia="en-US"/>
        </w:rPr>
        <w:t>, the GC found that ‘the moral standards that ought to be taken into consideration were those generally recognized in Spain since the mark</w:t>
      </w:r>
      <w:r w:rsidR="0031033B" w:rsidRPr="00DD65C2">
        <w:rPr>
          <w:rFonts w:ascii="Calibri" w:hAnsi="Calibri" w:cs="Calibri"/>
          <w:lang w:val="en-GB" w:eastAsia="en-US"/>
        </w:rPr>
        <w:t xml:space="preserve"> [‘¡Q</w:t>
      </w:r>
      <w:r w:rsidR="00FC28F5" w:rsidRPr="00DD65C2">
        <w:rPr>
          <w:rFonts w:ascii="Calibri" w:hAnsi="Calibri" w:cs="Calibri"/>
          <w:lang w:val="en-GB" w:eastAsia="en-US"/>
        </w:rPr>
        <w:t>ue</w:t>
      </w:r>
      <w:r w:rsidR="0031033B" w:rsidRPr="00DD65C2">
        <w:rPr>
          <w:rFonts w:ascii="Calibri" w:hAnsi="Calibri" w:cs="Calibri"/>
          <w:lang w:val="en-GB" w:eastAsia="en-US"/>
        </w:rPr>
        <w:t xml:space="preserve"> B</w:t>
      </w:r>
      <w:r w:rsidR="00FC28F5" w:rsidRPr="00DD65C2">
        <w:rPr>
          <w:rFonts w:ascii="Calibri" w:hAnsi="Calibri" w:cs="Calibri"/>
          <w:lang w:val="en-GB" w:eastAsia="en-US"/>
        </w:rPr>
        <w:t>uenu Ye</w:t>
      </w:r>
      <w:r w:rsidR="0031033B" w:rsidRPr="00DD65C2">
        <w:rPr>
          <w:rFonts w:ascii="Calibri" w:hAnsi="Calibri" w:cs="Calibri"/>
          <w:lang w:val="en-GB" w:eastAsia="en-US"/>
        </w:rPr>
        <w:t>! H</w:t>
      </w:r>
      <w:r w:rsidR="00FC28F5" w:rsidRPr="00DD65C2">
        <w:rPr>
          <w:rFonts w:ascii="Calibri" w:hAnsi="Calibri" w:cs="Calibri"/>
          <w:lang w:val="en-GB" w:eastAsia="en-US"/>
        </w:rPr>
        <w:t>ijoputa</w:t>
      </w:r>
      <w:r w:rsidR="0031033B" w:rsidRPr="00DD65C2">
        <w:rPr>
          <w:rFonts w:ascii="Calibri" w:hAnsi="Calibri" w:cs="Calibri"/>
          <w:lang w:val="en-GB" w:eastAsia="en-US"/>
        </w:rPr>
        <w:t>’]</w:t>
      </w:r>
      <w:r w:rsidR="00EB49E0" w:rsidRPr="00DD65C2">
        <w:rPr>
          <w:rFonts w:ascii="Calibri" w:hAnsi="Calibri" w:cs="Calibri"/>
          <w:lang w:val="en-GB" w:eastAsia="en-US"/>
        </w:rPr>
        <w:t xml:space="preserve"> is made up of Spanish expressions’.</w:t>
      </w:r>
      <w:r w:rsidR="00EB49E0" w:rsidRPr="00DD65C2">
        <w:rPr>
          <w:rStyle w:val="FootnoteReference"/>
          <w:rFonts w:ascii="Calibri" w:hAnsi="Calibri" w:cs="Calibri"/>
        </w:rPr>
        <w:footnoteReference w:id="35"/>
      </w:r>
      <w:r w:rsidR="00EB49E0" w:rsidRPr="00DD65C2">
        <w:rPr>
          <w:rFonts w:ascii="Calibri" w:hAnsi="Calibri" w:cs="Calibri"/>
          <w:lang w:val="en-GB" w:eastAsia="en-US"/>
        </w:rPr>
        <w:t xml:space="preserve"> In </w:t>
      </w:r>
      <w:r w:rsidR="00EB49E0" w:rsidRPr="00DD65C2">
        <w:rPr>
          <w:rFonts w:ascii="Calibri" w:hAnsi="Calibri" w:cs="Calibri"/>
          <w:i/>
          <w:iCs/>
          <w:lang w:val="en-GB" w:eastAsia="en-US"/>
        </w:rPr>
        <w:t>Brainlab AG v OHIM</w:t>
      </w:r>
      <w:r w:rsidR="00EB49E0" w:rsidRPr="00DD65C2">
        <w:rPr>
          <w:rFonts w:ascii="Calibri" w:hAnsi="Calibri" w:cs="Calibri"/>
          <w:lang w:val="en-GB" w:eastAsia="en-US"/>
        </w:rPr>
        <w:t>, a case involving the refusal of registration of the sign ‘C</w:t>
      </w:r>
      <w:r w:rsidR="00FC28F5" w:rsidRPr="00DD65C2">
        <w:rPr>
          <w:rFonts w:ascii="Calibri" w:hAnsi="Calibri" w:cs="Calibri"/>
          <w:lang w:val="en-GB" w:eastAsia="en-US"/>
        </w:rPr>
        <w:t>urve</w:t>
      </w:r>
      <w:r w:rsidR="00EB49E0" w:rsidRPr="00DD65C2">
        <w:rPr>
          <w:rFonts w:ascii="Calibri" w:hAnsi="Calibri" w:cs="Calibri"/>
          <w:lang w:val="en-GB" w:eastAsia="en-US"/>
        </w:rPr>
        <w:t>’ on morality grounds, the GC defined the relevant public as the Romanian-speaking population of the EU ‘[s]ince the trade mark applied for is a word in the Romanian language, [more precisely,] the plural of the […] word "curvă", which […] means "prostitute" or "whore".’</w:t>
      </w:r>
      <w:r w:rsidR="00EB49E0" w:rsidRPr="00DD65C2">
        <w:rPr>
          <w:rStyle w:val="FootnoteReference"/>
          <w:rFonts w:ascii="Calibri" w:hAnsi="Calibri" w:cs="Calibri"/>
        </w:rPr>
        <w:footnoteReference w:id="36"/>
      </w:r>
      <w:r w:rsidR="00EB49E0" w:rsidRPr="00DD65C2">
        <w:rPr>
          <w:rFonts w:ascii="Calibri" w:hAnsi="Calibri" w:cs="Calibri"/>
          <w:lang w:val="en-GB" w:eastAsia="en-US"/>
        </w:rPr>
        <w:t xml:space="preserve"> In </w:t>
      </w:r>
      <w:r w:rsidR="00EB49E0" w:rsidRPr="00DD65C2">
        <w:rPr>
          <w:rFonts w:ascii="Calibri" w:hAnsi="Calibri" w:cs="Calibri"/>
          <w:i/>
          <w:iCs/>
          <w:lang w:val="en-GB" w:eastAsia="en-US"/>
        </w:rPr>
        <w:t>Efag Trade Mark Company v OHIM</w:t>
      </w:r>
      <w:r w:rsidR="00EB49E0" w:rsidRPr="00DD65C2">
        <w:rPr>
          <w:rFonts w:ascii="Calibri" w:hAnsi="Calibri" w:cs="Calibri"/>
          <w:lang w:val="en-GB" w:eastAsia="en-US"/>
        </w:rPr>
        <w:t xml:space="preserve">, the GC denied registration to the sign </w:t>
      </w:r>
      <w:r w:rsidR="00636004" w:rsidRPr="00DD65C2">
        <w:rPr>
          <w:rFonts w:ascii="Calibri" w:hAnsi="Calibri" w:cs="Calibri"/>
          <w:lang w:val="en-GB" w:eastAsia="en-US"/>
        </w:rPr>
        <w:t>‘</w:t>
      </w:r>
      <w:r w:rsidR="00EB49E0" w:rsidRPr="00DD65C2">
        <w:rPr>
          <w:rFonts w:ascii="Calibri" w:hAnsi="Calibri" w:cs="Calibri"/>
          <w:lang w:val="en-GB" w:eastAsia="en-US"/>
        </w:rPr>
        <w:t>F</w:t>
      </w:r>
      <w:r w:rsidR="00FC28F5" w:rsidRPr="00DD65C2">
        <w:rPr>
          <w:rFonts w:ascii="Calibri" w:hAnsi="Calibri" w:cs="Calibri"/>
          <w:lang w:val="en-GB" w:eastAsia="en-US"/>
        </w:rPr>
        <w:t>icken</w:t>
      </w:r>
      <w:r w:rsidR="00636004" w:rsidRPr="00DD65C2">
        <w:rPr>
          <w:rFonts w:ascii="Calibri" w:hAnsi="Calibri" w:cs="Calibri"/>
          <w:lang w:val="en-GB" w:eastAsia="en-US"/>
        </w:rPr>
        <w:t>’</w:t>
      </w:r>
      <w:r w:rsidR="00EB49E0" w:rsidRPr="00DD65C2">
        <w:rPr>
          <w:rFonts w:ascii="Calibri" w:hAnsi="Calibri" w:cs="Calibri"/>
          <w:lang w:val="en-GB" w:eastAsia="en-US"/>
        </w:rPr>
        <w:t xml:space="preserve"> (meaning ‘to fuck’ in German) after finding that ‘the relevant public is made up of […] German-speaking consumers in the Union, since […] the sign applied for is a German word.’</w:t>
      </w:r>
      <w:r w:rsidR="00EB49E0" w:rsidRPr="00DD65C2">
        <w:rPr>
          <w:rStyle w:val="FootnoteReference"/>
          <w:rFonts w:ascii="Calibri" w:hAnsi="Calibri" w:cs="Calibri"/>
        </w:rPr>
        <w:footnoteReference w:id="37"/>
      </w:r>
      <w:r w:rsidR="00EB49E0" w:rsidRPr="00DD65C2">
        <w:rPr>
          <w:rFonts w:ascii="Calibri" w:hAnsi="Calibri" w:cs="Calibri"/>
          <w:lang w:val="en-GB" w:eastAsia="en-US"/>
        </w:rPr>
        <w:t xml:space="preserve"> </w:t>
      </w:r>
    </w:p>
    <w:p w14:paraId="36AC270F" w14:textId="77777777" w:rsidR="00EB49E0" w:rsidRPr="00DD65C2" w:rsidRDefault="00EB49E0" w:rsidP="00EB49E0">
      <w:pPr>
        <w:jc w:val="both"/>
        <w:rPr>
          <w:rFonts w:ascii="Calibri" w:hAnsi="Calibri" w:cs="Calibri"/>
          <w:lang w:val="en-GB" w:eastAsia="en-US"/>
        </w:rPr>
      </w:pPr>
    </w:p>
    <w:p w14:paraId="0806CD17" w14:textId="15FC745F" w:rsidR="00A177CA" w:rsidRPr="00DD65C2" w:rsidRDefault="00EB49E0" w:rsidP="00EB49E0">
      <w:pPr>
        <w:jc w:val="both"/>
        <w:rPr>
          <w:rFonts w:ascii="Calibri" w:hAnsi="Calibri" w:cs="Calibri"/>
          <w:lang w:val="en-GB" w:eastAsia="en-US"/>
        </w:rPr>
      </w:pPr>
      <w:r w:rsidRPr="00DD65C2">
        <w:rPr>
          <w:rFonts w:ascii="Calibri" w:hAnsi="Calibri" w:cs="Calibri"/>
          <w:lang w:val="en-GB" w:eastAsia="en-US"/>
        </w:rPr>
        <w:t xml:space="preserve">Against this backdrop, it is surprising that AG Bobek did not raise any objections to the definition of relevant public put forth by the </w:t>
      </w:r>
      <w:r w:rsidR="00054854" w:rsidRPr="00DD65C2">
        <w:rPr>
          <w:rFonts w:ascii="Calibri" w:hAnsi="Calibri" w:cs="Calibri"/>
          <w:lang w:val="en-GB" w:eastAsia="en-US"/>
        </w:rPr>
        <w:t>GC</w:t>
      </w:r>
      <w:r w:rsidRPr="00DD65C2">
        <w:rPr>
          <w:rFonts w:ascii="Calibri" w:hAnsi="Calibri" w:cs="Calibri"/>
          <w:lang w:val="en-GB" w:eastAsia="en-US"/>
        </w:rPr>
        <w:t xml:space="preserve"> in </w:t>
      </w:r>
      <w:r w:rsidRPr="00DD65C2">
        <w:rPr>
          <w:rFonts w:ascii="Calibri" w:hAnsi="Calibri" w:cs="Calibri"/>
          <w:i/>
          <w:iCs/>
          <w:lang w:val="en-GB" w:eastAsia="en-US"/>
        </w:rPr>
        <w:t>Constantin Film Produktion</w:t>
      </w:r>
      <w:r w:rsidRPr="00DD65C2">
        <w:rPr>
          <w:rFonts w:ascii="Calibri" w:hAnsi="Calibri" w:cs="Calibri"/>
          <w:lang w:val="en-GB" w:eastAsia="en-US"/>
        </w:rPr>
        <w:t xml:space="preserve">. Following </w:t>
      </w:r>
      <w:r w:rsidRPr="00DD65C2">
        <w:rPr>
          <w:rFonts w:ascii="Calibri" w:hAnsi="Calibri" w:cs="Calibri"/>
          <w:lang w:val="en-GB" w:eastAsia="en-US"/>
        </w:rPr>
        <w:lastRenderedPageBreak/>
        <w:t xml:space="preserve">the findings of the EUIPO BoA, the </w:t>
      </w:r>
      <w:r w:rsidR="003422E5">
        <w:rPr>
          <w:rFonts w:ascii="Calibri" w:hAnsi="Calibri" w:cs="Calibri"/>
          <w:lang w:val="en-GB" w:eastAsia="en-US"/>
        </w:rPr>
        <w:t>GC</w:t>
      </w:r>
      <w:r w:rsidRPr="00DD65C2">
        <w:rPr>
          <w:rFonts w:ascii="Calibri" w:hAnsi="Calibri" w:cs="Calibri"/>
          <w:lang w:val="en-GB" w:eastAsia="en-US"/>
        </w:rPr>
        <w:t xml:space="preserve"> </w:t>
      </w:r>
      <w:r w:rsidR="00054854" w:rsidRPr="00DD65C2">
        <w:rPr>
          <w:rFonts w:ascii="Calibri" w:hAnsi="Calibri" w:cs="Calibri"/>
          <w:lang w:val="en-GB" w:eastAsia="en-US"/>
        </w:rPr>
        <w:t xml:space="preserve">had </w:t>
      </w:r>
      <w:r w:rsidRPr="00DD65C2">
        <w:rPr>
          <w:rFonts w:ascii="Calibri" w:hAnsi="Calibri" w:cs="Calibri"/>
          <w:lang w:val="en-GB" w:eastAsia="en-US"/>
        </w:rPr>
        <w:t>defined the relevant public as the German-speaking section of the EU</w:t>
      </w:r>
      <w:r w:rsidR="00A177CA" w:rsidRPr="00DD65C2">
        <w:rPr>
          <w:rFonts w:ascii="Calibri" w:hAnsi="Calibri" w:cs="Calibri"/>
          <w:lang w:val="en-GB" w:eastAsia="en-US"/>
        </w:rPr>
        <w:t xml:space="preserve">: </w:t>
      </w:r>
    </w:p>
    <w:p w14:paraId="1D040E5C" w14:textId="77777777" w:rsidR="00A177CA" w:rsidRPr="00DD65C2" w:rsidRDefault="00A177CA" w:rsidP="00EB49E0">
      <w:pPr>
        <w:jc w:val="both"/>
        <w:rPr>
          <w:rFonts w:ascii="Calibri" w:hAnsi="Calibri" w:cs="Calibri"/>
          <w:lang w:val="en-GB" w:eastAsia="en-US"/>
        </w:rPr>
      </w:pPr>
    </w:p>
    <w:p w14:paraId="0196B3C3" w14:textId="59AF6A59" w:rsidR="00A177CA" w:rsidRPr="00DD65C2" w:rsidRDefault="00A177CA" w:rsidP="00A177CA">
      <w:pPr>
        <w:ind w:left="720"/>
        <w:jc w:val="both"/>
        <w:rPr>
          <w:rFonts w:ascii="Calibri" w:hAnsi="Calibri" w:cs="Calibri"/>
          <w:lang w:val="en-GB" w:eastAsia="en-US"/>
        </w:rPr>
      </w:pPr>
      <w:r w:rsidRPr="00DD65C2">
        <w:rPr>
          <w:rFonts w:ascii="Calibri" w:hAnsi="Calibri" w:cs="Calibri"/>
          <w:lang w:val="en-GB" w:eastAsia="en-US"/>
        </w:rPr>
        <w:t xml:space="preserve">Since […] the sign </w:t>
      </w:r>
      <w:r w:rsidR="00ED69CC" w:rsidRPr="00DD65C2">
        <w:rPr>
          <w:rFonts w:ascii="Calibri" w:hAnsi="Calibri" w:cs="Calibri"/>
          <w:lang w:val="en-GB" w:eastAsia="en-US"/>
        </w:rPr>
        <w:t>applied for [</w:t>
      </w:r>
      <w:r w:rsidRPr="00DD65C2">
        <w:rPr>
          <w:rFonts w:ascii="Calibri" w:hAnsi="Calibri" w:cs="Calibri"/>
          <w:lang w:val="en-GB" w:eastAsia="en-US"/>
        </w:rPr>
        <w:t>‘</w:t>
      </w:r>
      <w:r w:rsidR="00FC28F5" w:rsidRPr="00DD65C2">
        <w:rPr>
          <w:rFonts w:ascii="Calibri" w:hAnsi="Calibri" w:cs="Calibri"/>
          <w:lang w:val="en-GB" w:eastAsia="en-US"/>
        </w:rPr>
        <w:t>Fack Ju Göhte</w:t>
      </w:r>
      <w:r w:rsidRPr="00DD65C2">
        <w:rPr>
          <w:rFonts w:ascii="Calibri" w:hAnsi="Calibri" w:cs="Calibri"/>
          <w:lang w:val="en-GB" w:eastAsia="en-US"/>
        </w:rPr>
        <w:t>’</w:t>
      </w:r>
      <w:r w:rsidR="00ED69CC" w:rsidRPr="00DD65C2">
        <w:rPr>
          <w:rFonts w:ascii="Calibri" w:hAnsi="Calibri" w:cs="Calibri"/>
          <w:lang w:val="en-GB" w:eastAsia="en-US"/>
        </w:rPr>
        <w:t>]</w:t>
      </w:r>
      <w:r w:rsidRPr="00DD65C2">
        <w:rPr>
          <w:rFonts w:ascii="Calibri" w:hAnsi="Calibri" w:cs="Calibri"/>
          <w:lang w:val="en-GB" w:eastAsia="en-US"/>
        </w:rPr>
        <w:t xml:space="preserve"> </w:t>
      </w:r>
      <w:r w:rsidR="00EB49E0" w:rsidRPr="00DD65C2">
        <w:rPr>
          <w:rFonts w:ascii="Calibri" w:hAnsi="Calibri" w:cs="Calibri"/>
          <w:lang w:val="en-GB" w:eastAsia="en-US"/>
        </w:rPr>
        <w:t>constitutes a phonetic transcription in German of the English expression ‘Fuck you’, which is well known to the German-speaking public and […] Johann Wolfgang von Goethe is a German poet and writer that is highly regarded in Germany and Austria</w:t>
      </w:r>
      <w:r w:rsidR="00863C75">
        <w:rPr>
          <w:rFonts w:ascii="Calibri" w:hAnsi="Calibri" w:cs="Calibri"/>
          <w:lang w:val="en-GB" w:eastAsia="en-US"/>
        </w:rPr>
        <w:t xml:space="preserve"> […]</w:t>
      </w:r>
      <w:r w:rsidR="00EB49E0" w:rsidRPr="00DD65C2">
        <w:rPr>
          <w:rFonts w:ascii="Calibri" w:hAnsi="Calibri" w:cs="Calibri"/>
          <w:lang w:val="en-GB" w:eastAsia="en-US"/>
        </w:rPr>
        <w:t>.</w:t>
      </w:r>
      <w:r w:rsidR="00EB49E0" w:rsidRPr="00DD65C2">
        <w:rPr>
          <w:rStyle w:val="FootnoteReference"/>
          <w:rFonts w:ascii="Calibri" w:hAnsi="Calibri" w:cs="Calibri"/>
        </w:rPr>
        <w:footnoteReference w:id="38"/>
      </w:r>
      <w:r w:rsidRPr="00DD65C2">
        <w:rPr>
          <w:rFonts w:ascii="Calibri" w:hAnsi="Calibri" w:cs="Calibri"/>
          <w:lang w:val="en-GB" w:eastAsia="en-US"/>
        </w:rPr>
        <w:t xml:space="preserve"> </w:t>
      </w:r>
    </w:p>
    <w:p w14:paraId="43450009" w14:textId="77777777" w:rsidR="00A177CA" w:rsidRPr="00DD65C2" w:rsidRDefault="00A177CA" w:rsidP="00A177CA">
      <w:pPr>
        <w:jc w:val="both"/>
        <w:rPr>
          <w:rFonts w:ascii="Calibri" w:hAnsi="Calibri" w:cs="Calibri"/>
          <w:lang w:val="en-GB" w:eastAsia="en-US"/>
        </w:rPr>
      </w:pPr>
    </w:p>
    <w:p w14:paraId="1CE819AB" w14:textId="0F8CF9A4" w:rsidR="00EB49E0" w:rsidRPr="00DD65C2" w:rsidRDefault="00EB49E0" w:rsidP="00A177CA">
      <w:pPr>
        <w:jc w:val="both"/>
        <w:rPr>
          <w:rFonts w:ascii="Calibri" w:hAnsi="Calibri" w:cs="Calibri"/>
          <w:lang w:val="en-GB" w:eastAsia="en-US"/>
        </w:rPr>
      </w:pPr>
      <w:r w:rsidRPr="00DD65C2">
        <w:rPr>
          <w:rFonts w:ascii="Calibri" w:hAnsi="Calibri" w:cs="Calibri"/>
          <w:lang w:val="en-GB" w:eastAsia="en-US"/>
        </w:rPr>
        <w:t>The GC acknowledge</w:t>
      </w:r>
      <w:r w:rsidR="00054854" w:rsidRPr="00DD65C2">
        <w:rPr>
          <w:rFonts w:ascii="Calibri" w:hAnsi="Calibri" w:cs="Calibri"/>
          <w:lang w:val="en-GB" w:eastAsia="en-US"/>
        </w:rPr>
        <w:t>d</w:t>
      </w:r>
      <w:r w:rsidRPr="00DD65C2">
        <w:rPr>
          <w:rFonts w:ascii="Calibri" w:hAnsi="Calibri" w:cs="Calibri"/>
          <w:lang w:val="en-GB" w:eastAsia="en-US"/>
        </w:rPr>
        <w:t xml:space="preserve"> that the element ‘Fack Ju’ in the applied-for sign makes reference to the English expression ‘Fuck You’. In this regard, the BoA had noted in the previous instance that ‘the pronunciation of the component ‘Fack Ju’ is identical to the expression ‘Fuck You’ [and, t]herefore, its meaning is identical’.</w:t>
      </w:r>
      <w:r w:rsidRPr="00DD65C2">
        <w:rPr>
          <w:rStyle w:val="FootnoteReference"/>
          <w:rFonts w:ascii="Calibri" w:hAnsi="Calibri" w:cs="Calibri"/>
        </w:rPr>
        <w:footnoteReference w:id="39"/>
      </w:r>
      <w:r w:rsidRPr="00DD65C2">
        <w:rPr>
          <w:rFonts w:ascii="Calibri" w:hAnsi="Calibri" w:cs="Calibri"/>
          <w:lang w:val="en-GB" w:eastAsia="en-US"/>
        </w:rPr>
        <w:t xml:space="preserve"> And yet both the BoA and the GC fail</w:t>
      </w:r>
      <w:r w:rsidR="00054854" w:rsidRPr="00DD65C2">
        <w:rPr>
          <w:rFonts w:ascii="Calibri" w:hAnsi="Calibri" w:cs="Calibri"/>
          <w:lang w:val="en-GB" w:eastAsia="en-US"/>
        </w:rPr>
        <w:t>ed</w:t>
      </w:r>
      <w:r w:rsidRPr="00DD65C2">
        <w:rPr>
          <w:rFonts w:ascii="Calibri" w:hAnsi="Calibri" w:cs="Calibri"/>
          <w:lang w:val="en-GB" w:eastAsia="en-US"/>
        </w:rPr>
        <w:t xml:space="preserve"> to include English-speaking consumers in their definition of the relevant public. This seems at odds with </w:t>
      </w:r>
      <w:r w:rsidR="00054854" w:rsidRPr="00DD65C2">
        <w:rPr>
          <w:rFonts w:ascii="Calibri" w:hAnsi="Calibri" w:cs="Calibri"/>
          <w:lang w:val="en-GB" w:eastAsia="en-US"/>
        </w:rPr>
        <w:t xml:space="preserve">the </w:t>
      </w:r>
      <w:r w:rsidR="00ED69CC" w:rsidRPr="00DD65C2">
        <w:rPr>
          <w:rFonts w:ascii="Calibri" w:hAnsi="Calibri" w:cs="Calibri"/>
          <w:lang w:val="en-GB" w:eastAsia="en-US"/>
        </w:rPr>
        <w:t>case law of</w:t>
      </w:r>
      <w:r w:rsidR="00BC5F32">
        <w:rPr>
          <w:rFonts w:ascii="Calibri" w:hAnsi="Calibri" w:cs="Calibri"/>
          <w:lang w:val="en-GB" w:eastAsia="en-US"/>
        </w:rPr>
        <w:t xml:space="preserve"> the</w:t>
      </w:r>
      <w:r w:rsidR="00ED69CC" w:rsidRPr="00DD65C2">
        <w:rPr>
          <w:rFonts w:ascii="Calibri" w:hAnsi="Calibri" w:cs="Calibri"/>
          <w:lang w:val="en-GB" w:eastAsia="en-US"/>
        </w:rPr>
        <w:t xml:space="preserve"> </w:t>
      </w:r>
      <w:r w:rsidR="00054854" w:rsidRPr="00DD65C2">
        <w:rPr>
          <w:rFonts w:ascii="Calibri" w:hAnsi="Calibri" w:cs="Calibri"/>
          <w:lang w:val="en-GB" w:eastAsia="en-US"/>
        </w:rPr>
        <w:t>GC</w:t>
      </w:r>
      <w:r w:rsidR="00ED69CC" w:rsidRPr="00DD65C2">
        <w:rPr>
          <w:rFonts w:ascii="Calibri" w:hAnsi="Calibri" w:cs="Calibri"/>
          <w:lang w:val="en-GB" w:eastAsia="en-US"/>
        </w:rPr>
        <w:t xml:space="preserve"> </w:t>
      </w:r>
      <w:r w:rsidR="00054854" w:rsidRPr="00DD65C2">
        <w:rPr>
          <w:rFonts w:ascii="Calibri" w:hAnsi="Calibri" w:cs="Calibri"/>
          <w:lang w:val="en-GB" w:eastAsia="en-US"/>
        </w:rPr>
        <w:t>discussed above</w:t>
      </w:r>
      <w:r w:rsidRPr="00DD65C2">
        <w:rPr>
          <w:rFonts w:ascii="Calibri" w:hAnsi="Calibri" w:cs="Calibri"/>
          <w:lang w:val="en-GB" w:eastAsia="en-US"/>
        </w:rPr>
        <w:t xml:space="preserve">, where the language of the applied-for words or expressions is pivotal to determining the linguistic section of the EU public that ought to be taken into account. This is all the more worrying </w:t>
      </w:r>
      <w:r w:rsidR="00361F82" w:rsidRPr="00DD65C2">
        <w:rPr>
          <w:rFonts w:ascii="Calibri" w:hAnsi="Calibri" w:cs="Calibri"/>
          <w:lang w:val="en-GB" w:eastAsia="en-US"/>
        </w:rPr>
        <w:t>in light of</w:t>
      </w:r>
      <w:r w:rsidRPr="00DD65C2">
        <w:rPr>
          <w:rFonts w:ascii="Calibri" w:hAnsi="Calibri" w:cs="Calibri"/>
          <w:lang w:val="en-GB" w:eastAsia="en-US"/>
        </w:rPr>
        <w:t xml:space="preserve"> the </w:t>
      </w:r>
      <w:r w:rsidR="00361F82" w:rsidRPr="00DD65C2">
        <w:rPr>
          <w:rFonts w:ascii="Calibri" w:hAnsi="Calibri" w:cs="Calibri"/>
          <w:lang w:val="en-GB" w:eastAsia="en-US"/>
        </w:rPr>
        <w:t>numerous instances</w:t>
      </w:r>
      <w:r w:rsidRPr="00DD65C2">
        <w:rPr>
          <w:rFonts w:ascii="Calibri" w:hAnsi="Calibri" w:cs="Calibri"/>
          <w:lang w:val="en-GB" w:eastAsia="en-US"/>
        </w:rPr>
        <w:t xml:space="preserve"> where the EUIPO </w:t>
      </w:r>
      <w:r w:rsidR="00ED69CC" w:rsidRPr="00DD65C2">
        <w:rPr>
          <w:rFonts w:ascii="Calibri" w:hAnsi="Calibri" w:cs="Calibri"/>
          <w:lang w:val="en-GB" w:eastAsia="en-US"/>
        </w:rPr>
        <w:t>has</w:t>
      </w:r>
      <w:r w:rsidRPr="00DD65C2">
        <w:rPr>
          <w:rFonts w:ascii="Calibri" w:hAnsi="Calibri" w:cs="Calibri"/>
          <w:lang w:val="en-GB" w:eastAsia="en-US"/>
        </w:rPr>
        <w:t xml:space="preserve"> concluded that applied-for signs that contain the word element ‘fuck’ have as their relevant public English-speaking consumers (for example, ‘</w:t>
      </w:r>
      <w:r w:rsidR="00851E19" w:rsidRPr="00DD65C2">
        <w:rPr>
          <w:rFonts w:ascii="Calibri" w:hAnsi="Calibri" w:cs="Calibri"/>
          <w:lang w:val="en-GB" w:eastAsia="en-US"/>
        </w:rPr>
        <w:t>F</w:t>
      </w:r>
      <w:r w:rsidR="00FC28F5" w:rsidRPr="00DD65C2">
        <w:rPr>
          <w:rFonts w:ascii="Calibri" w:hAnsi="Calibri" w:cs="Calibri"/>
          <w:lang w:val="en-GB" w:eastAsia="en-US"/>
        </w:rPr>
        <w:t>uck Cancer</w:t>
      </w:r>
      <w:r w:rsidRPr="00DD65C2">
        <w:rPr>
          <w:rFonts w:ascii="Calibri" w:hAnsi="Calibri" w:cs="Calibri"/>
          <w:lang w:val="en-GB" w:eastAsia="en-US"/>
        </w:rPr>
        <w:t>’, ‘F</w:t>
      </w:r>
      <w:r w:rsidR="00FC28F5" w:rsidRPr="00DD65C2">
        <w:rPr>
          <w:rFonts w:ascii="Calibri" w:hAnsi="Calibri" w:cs="Calibri"/>
          <w:lang w:val="en-GB" w:eastAsia="en-US"/>
        </w:rPr>
        <w:t>ucking Freezing</w:t>
      </w:r>
      <w:r w:rsidRPr="00DD65C2">
        <w:rPr>
          <w:rFonts w:ascii="Calibri" w:hAnsi="Calibri" w:cs="Calibri"/>
          <w:lang w:val="en-GB" w:eastAsia="en-US"/>
        </w:rPr>
        <w:t>!’ or ‘F</w:t>
      </w:r>
      <w:r w:rsidR="00FC28F5" w:rsidRPr="00DD65C2">
        <w:rPr>
          <w:rFonts w:ascii="Calibri" w:hAnsi="Calibri" w:cs="Calibri"/>
          <w:lang w:val="en-GB" w:eastAsia="en-US"/>
        </w:rPr>
        <w:t>ucking Hell’</w:t>
      </w:r>
      <w:r w:rsidRPr="00DD65C2">
        <w:rPr>
          <w:rFonts w:ascii="Calibri" w:hAnsi="Calibri" w:cs="Calibri"/>
          <w:lang w:val="en-GB" w:eastAsia="en-US"/>
        </w:rPr>
        <w:t>),</w:t>
      </w:r>
      <w:r w:rsidRPr="00DD65C2">
        <w:rPr>
          <w:rStyle w:val="FootnoteReference"/>
          <w:rFonts w:ascii="Calibri" w:hAnsi="Calibri" w:cs="Calibri"/>
        </w:rPr>
        <w:footnoteReference w:id="40"/>
      </w:r>
      <w:r w:rsidRPr="00DD65C2">
        <w:rPr>
          <w:rFonts w:ascii="Calibri" w:hAnsi="Calibri" w:cs="Calibri"/>
          <w:lang w:val="en-GB" w:eastAsia="en-US"/>
        </w:rPr>
        <w:t xml:space="preserve"> even in instances where the sign was only phonetically equivalent (such as the element ‘fu</w:t>
      </w:r>
      <w:r w:rsidR="00FC28F5" w:rsidRPr="00DD65C2">
        <w:rPr>
          <w:rFonts w:ascii="Calibri" w:hAnsi="Calibri" w:cs="Calibri"/>
          <w:lang w:val="en-GB" w:eastAsia="en-US"/>
        </w:rPr>
        <w:t>k</w:t>
      </w:r>
      <w:r w:rsidRPr="00DD65C2">
        <w:rPr>
          <w:rFonts w:ascii="Calibri" w:hAnsi="Calibri" w:cs="Calibri"/>
          <w:lang w:val="en-GB" w:eastAsia="en-US"/>
        </w:rPr>
        <w:t>ing’ in the applied-for sign ‘</w:t>
      </w:r>
      <w:r w:rsidR="00FC28F5" w:rsidRPr="00DD65C2">
        <w:rPr>
          <w:rFonts w:ascii="Calibri" w:hAnsi="Calibri" w:cs="Calibri"/>
          <w:lang w:val="en-GB" w:eastAsia="en-US"/>
        </w:rPr>
        <w:t>ibizafuKingisland</w:t>
      </w:r>
      <w:r w:rsidRPr="00DD65C2">
        <w:rPr>
          <w:rFonts w:ascii="Calibri" w:hAnsi="Calibri" w:cs="Calibri"/>
          <w:lang w:val="en-GB" w:eastAsia="en-US"/>
        </w:rPr>
        <w:t>’).</w:t>
      </w:r>
      <w:r w:rsidRPr="00DD65C2">
        <w:rPr>
          <w:rStyle w:val="FootnoteReference"/>
          <w:rFonts w:ascii="Calibri" w:hAnsi="Calibri" w:cs="Calibri"/>
        </w:rPr>
        <w:footnoteReference w:id="41"/>
      </w:r>
    </w:p>
    <w:p w14:paraId="0F2D800D" w14:textId="77777777" w:rsidR="00EB49E0" w:rsidRPr="00DD65C2" w:rsidRDefault="00EB49E0" w:rsidP="00EB49E0">
      <w:pPr>
        <w:jc w:val="both"/>
        <w:rPr>
          <w:rFonts w:ascii="Calibri" w:hAnsi="Calibri" w:cs="Calibri"/>
          <w:lang w:val="en-GB" w:eastAsia="en-US"/>
        </w:rPr>
      </w:pPr>
    </w:p>
    <w:p w14:paraId="5F963EC6" w14:textId="14C60FB5" w:rsidR="00EB49E0" w:rsidRPr="00DD65C2" w:rsidRDefault="00612A6B" w:rsidP="00EB49E0">
      <w:pPr>
        <w:jc w:val="both"/>
        <w:rPr>
          <w:rFonts w:ascii="Calibri" w:hAnsi="Calibri" w:cs="Calibri"/>
          <w:lang w:val="en-GB" w:eastAsia="en-US"/>
        </w:rPr>
      </w:pPr>
      <w:r w:rsidRPr="00DD65C2">
        <w:rPr>
          <w:rFonts w:ascii="Calibri" w:hAnsi="Calibri" w:cs="Calibri"/>
          <w:lang w:val="en-GB" w:eastAsia="en-US"/>
        </w:rPr>
        <w:t>It</w:t>
      </w:r>
      <w:r w:rsidR="00EB49E0" w:rsidRPr="00DD65C2">
        <w:rPr>
          <w:rFonts w:ascii="Calibri" w:hAnsi="Calibri" w:cs="Calibri"/>
          <w:lang w:val="en-GB" w:eastAsia="en-US"/>
        </w:rPr>
        <w:t xml:space="preserve"> would seem</w:t>
      </w:r>
      <w:r w:rsidRPr="00DD65C2">
        <w:rPr>
          <w:rFonts w:ascii="Calibri" w:hAnsi="Calibri" w:cs="Calibri"/>
          <w:lang w:val="en-GB" w:eastAsia="en-US"/>
        </w:rPr>
        <w:t>, therefore,</w:t>
      </w:r>
      <w:r w:rsidR="00EB49E0" w:rsidRPr="00DD65C2">
        <w:rPr>
          <w:rFonts w:ascii="Calibri" w:hAnsi="Calibri" w:cs="Calibri"/>
          <w:lang w:val="en-GB" w:eastAsia="en-US"/>
        </w:rPr>
        <w:t xml:space="preserve"> that the definition of the relevant public in </w:t>
      </w:r>
      <w:r w:rsidR="00EB49E0" w:rsidRPr="00DD65C2">
        <w:rPr>
          <w:rFonts w:ascii="Calibri" w:hAnsi="Calibri" w:cs="Calibri"/>
          <w:i/>
          <w:iCs/>
          <w:lang w:val="en-GB" w:eastAsia="en-US"/>
        </w:rPr>
        <w:t>Constantin Film Produktion</w:t>
      </w:r>
      <w:r w:rsidR="00EB49E0" w:rsidRPr="00DD65C2">
        <w:rPr>
          <w:rFonts w:ascii="Calibri" w:hAnsi="Calibri" w:cs="Calibri"/>
          <w:lang w:val="en-GB" w:eastAsia="en-US"/>
        </w:rPr>
        <w:t xml:space="preserve"> should have included, at the very least, the English-speaking section of the EU. After all, once registered, English-speaking consumers are also </w:t>
      </w:r>
      <w:r w:rsidR="006401B9" w:rsidRPr="00DD65C2">
        <w:rPr>
          <w:rFonts w:ascii="Calibri" w:hAnsi="Calibri" w:cs="Calibri"/>
          <w:lang w:val="en-GB" w:eastAsia="en-US"/>
        </w:rPr>
        <w:t>bound</w:t>
      </w:r>
      <w:r w:rsidR="00EB49E0" w:rsidRPr="00DD65C2">
        <w:rPr>
          <w:rFonts w:ascii="Calibri" w:hAnsi="Calibri" w:cs="Calibri"/>
          <w:lang w:val="en-GB" w:eastAsia="en-US"/>
        </w:rPr>
        <w:t xml:space="preserve"> to come across the mark ‘</w:t>
      </w:r>
      <w:r w:rsidR="00083E5E" w:rsidRPr="00DD65C2">
        <w:rPr>
          <w:rFonts w:ascii="Calibri" w:hAnsi="Calibri" w:cs="Calibri"/>
          <w:lang w:val="en-GB" w:eastAsia="en-US"/>
        </w:rPr>
        <w:t>F</w:t>
      </w:r>
      <w:r w:rsidR="00DD65C2" w:rsidRPr="00DD65C2">
        <w:rPr>
          <w:rFonts w:ascii="Calibri" w:hAnsi="Calibri" w:cs="Calibri"/>
          <w:lang w:val="en-GB" w:eastAsia="en-US"/>
        </w:rPr>
        <w:t>ack Ju Göhte</w:t>
      </w:r>
      <w:r w:rsidR="00EB49E0" w:rsidRPr="00DD65C2">
        <w:rPr>
          <w:rFonts w:ascii="Calibri" w:hAnsi="Calibri" w:cs="Calibri"/>
          <w:lang w:val="en-GB" w:eastAsia="en-US"/>
        </w:rPr>
        <w:t xml:space="preserve">’, </w:t>
      </w:r>
      <w:r w:rsidR="009E1DE3" w:rsidRPr="00DD65C2">
        <w:rPr>
          <w:rFonts w:ascii="Calibri" w:hAnsi="Calibri" w:cs="Calibri"/>
          <w:lang w:val="en-GB" w:eastAsia="en-US"/>
        </w:rPr>
        <w:t>which</w:t>
      </w:r>
      <w:r w:rsidR="00EB49E0" w:rsidRPr="00DD65C2">
        <w:rPr>
          <w:rFonts w:ascii="Calibri" w:hAnsi="Calibri" w:cs="Calibri"/>
          <w:lang w:val="en-GB" w:eastAsia="en-US"/>
        </w:rPr>
        <w:t xml:space="preserve"> they may find deeply vulgar or offensive. </w:t>
      </w:r>
    </w:p>
    <w:p w14:paraId="21F319C8" w14:textId="77777777" w:rsidR="00EB49E0" w:rsidRPr="00DD65C2" w:rsidRDefault="00EB49E0" w:rsidP="00EB49E0">
      <w:pPr>
        <w:jc w:val="both"/>
        <w:rPr>
          <w:rFonts w:ascii="Calibri" w:hAnsi="Calibri" w:cs="Calibri"/>
          <w:lang w:val="en-GB" w:eastAsia="en-US"/>
        </w:rPr>
      </w:pPr>
    </w:p>
    <w:p w14:paraId="0630DE0F" w14:textId="3B6CF243" w:rsidR="00EB49E0" w:rsidRPr="00DD65C2" w:rsidRDefault="00EB49E0" w:rsidP="00EB49E0">
      <w:pPr>
        <w:jc w:val="both"/>
        <w:rPr>
          <w:rFonts w:ascii="Calibri" w:hAnsi="Calibri" w:cs="Calibri"/>
          <w:lang w:val="en-GB" w:eastAsia="en-US"/>
        </w:rPr>
      </w:pPr>
      <w:r w:rsidRPr="00DD65C2">
        <w:rPr>
          <w:rFonts w:ascii="Calibri" w:hAnsi="Calibri" w:cs="Calibri"/>
          <w:lang w:val="en-GB" w:eastAsia="en-US"/>
        </w:rPr>
        <w:t xml:space="preserve">The GC’s </w:t>
      </w:r>
      <w:r w:rsidR="0099478E" w:rsidRPr="00DD65C2">
        <w:rPr>
          <w:rFonts w:ascii="Calibri" w:hAnsi="Calibri" w:cs="Calibri"/>
          <w:lang w:val="en-GB" w:eastAsia="en-US"/>
        </w:rPr>
        <w:t>failure to properly define</w:t>
      </w:r>
      <w:r w:rsidR="002A26F7" w:rsidRPr="00DD65C2">
        <w:rPr>
          <w:rFonts w:ascii="Calibri" w:hAnsi="Calibri" w:cs="Calibri"/>
          <w:lang w:val="en-GB" w:eastAsia="en-US"/>
        </w:rPr>
        <w:t xml:space="preserve"> the</w:t>
      </w:r>
      <w:r w:rsidRPr="00DD65C2">
        <w:rPr>
          <w:rFonts w:ascii="Calibri" w:hAnsi="Calibri" w:cs="Calibri"/>
          <w:lang w:val="en-GB" w:eastAsia="en-US"/>
        </w:rPr>
        <w:t xml:space="preserve"> relevant public </w:t>
      </w:r>
      <w:r w:rsidR="0099478E" w:rsidRPr="00DD65C2">
        <w:rPr>
          <w:rFonts w:ascii="Calibri" w:hAnsi="Calibri" w:cs="Calibri"/>
          <w:lang w:val="en-GB" w:eastAsia="en-US"/>
        </w:rPr>
        <w:t xml:space="preserve">in this case </w:t>
      </w:r>
      <w:r w:rsidRPr="00DD65C2">
        <w:rPr>
          <w:rFonts w:ascii="Calibri" w:hAnsi="Calibri" w:cs="Calibri"/>
          <w:lang w:val="en-GB" w:eastAsia="en-US"/>
        </w:rPr>
        <w:t xml:space="preserve">had two fundamental repercussions, both of which favoured the applicant’s chances of success. First, </w:t>
      </w:r>
      <w:r w:rsidR="005B1DB3" w:rsidRPr="00DD65C2">
        <w:rPr>
          <w:rFonts w:ascii="Calibri" w:hAnsi="Calibri" w:cs="Calibri"/>
          <w:lang w:val="en-GB" w:eastAsia="en-US"/>
        </w:rPr>
        <w:t>it</w:t>
      </w:r>
      <w:r w:rsidRPr="00DD65C2">
        <w:rPr>
          <w:rFonts w:ascii="Calibri" w:hAnsi="Calibri" w:cs="Calibri"/>
          <w:lang w:val="en-GB" w:eastAsia="en-US"/>
        </w:rPr>
        <w:t xml:space="preserve"> </w:t>
      </w:r>
      <w:r w:rsidR="005B1DB3" w:rsidRPr="00DD65C2">
        <w:rPr>
          <w:rFonts w:ascii="Calibri" w:hAnsi="Calibri" w:cs="Calibri"/>
          <w:lang w:val="en-GB" w:eastAsia="en-US"/>
        </w:rPr>
        <w:t xml:space="preserve">reduced </w:t>
      </w:r>
      <w:r w:rsidRPr="00DD65C2">
        <w:rPr>
          <w:rFonts w:ascii="Calibri" w:hAnsi="Calibri" w:cs="Calibri"/>
          <w:lang w:val="en-GB" w:eastAsia="en-US"/>
        </w:rPr>
        <w:t xml:space="preserve">the subset of the EU </w:t>
      </w:r>
      <w:r w:rsidR="00FC2466" w:rsidRPr="00DD65C2">
        <w:rPr>
          <w:rFonts w:ascii="Calibri" w:hAnsi="Calibri" w:cs="Calibri"/>
          <w:lang w:val="en-GB" w:eastAsia="en-US"/>
        </w:rPr>
        <w:t>public</w:t>
      </w:r>
      <w:r w:rsidRPr="00DD65C2">
        <w:rPr>
          <w:rFonts w:ascii="Calibri" w:hAnsi="Calibri" w:cs="Calibri"/>
          <w:lang w:val="en-GB" w:eastAsia="en-US"/>
        </w:rPr>
        <w:t xml:space="preserve"> that ought to be taken into consideration</w:t>
      </w:r>
      <w:r w:rsidR="00CE1A3B" w:rsidRPr="00DD65C2">
        <w:rPr>
          <w:rFonts w:ascii="Calibri" w:hAnsi="Calibri" w:cs="Calibri"/>
          <w:lang w:val="en-GB" w:eastAsia="en-US"/>
        </w:rPr>
        <w:t xml:space="preserve"> by the Court</w:t>
      </w:r>
      <w:r w:rsidRPr="00DD65C2">
        <w:rPr>
          <w:rFonts w:ascii="Calibri" w:hAnsi="Calibri" w:cs="Calibri"/>
          <w:lang w:val="en-GB" w:eastAsia="en-US"/>
        </w:rPr>
        <w:t xml:space="preserve"> from both the English and German-speaking public to the latter only. And, second, </w:t>
      </w:r>
      <w:r w:rsidR="00CE1A3B" w:rsidRPr="00DD65C2">
        <w:rPr>
          <w:rFonts w:ascii="Calibri" w:hAnsi="Calibri" w:cs="Calibri"/>
          <w:lang w:val="en-GB" w:eastAsia="en-US"/>
        </w:rPr>
        <w:t>it led the Court to judge</w:t>
      </w:r>
      <w:r w:rsidRPr="00DD65C2">
        <w:rPr>
          <w:rFonts w:ascii="Calibri" w:hAnsi="Calibri" w:cs="Calibri"/>
          <w:lang w:val="en-GB" w:eastAsia="en-US"/>
        </w:rPr>
        <w:t xml:space="preserve"> the ability of the expression ‘Fuck You’ to cause outrage amongst a section of the EU population whose mother tongue is not English. As the AG himself acknowledges, ‘what may appear as intrinsically vulgar or offensive to a native English speaker may not appear as such to a German (non-native) one, especially when faced with an uncommon phonetic transcription of an insult originating in a foreign </w:t>
      </w:r>
      <w:r w:rsidRPr="00DD65C2">
        <w:rPr>
          <w:rFonts w:ascii="Calibri" w:hAnsi="Calibri" w:cs="Calibri"/>
          <w:lang w:val="en-GB" w:eastAsia="en-US"/>
        </w:rPr>
        <w:lastRenderedPageBreak/>
        <w:t>language.’</w:t>
      </w:r>
      <w:r w:rsidRPr="00DD65C2">
        <w:rPr>
          <w:rStyle w:val="FootnoteReference"/>
          <w:rFonts w:ascii="Calibri" w:hAnsi="Calibri" w:cs="Calibri"/>
        </w:rPr>
        <w:footnoteReference w:id="42"/>
      </w:r>
      <w:r w:rsidRPr="00DD65C2">
        <w:rPr>
          <w:rFonts w:ascii="Calibri" w:hAnsi="Calibri" w:cs="Calibri"/>
          <w:lang w:val="en-GB" w:eastAsia="en-US"/>
        </w:rPr>
        <w:t xml:space="preserve"> This is what linguists have termed the reduced ‘emotional resonance’ of foreign words, i.e. the notion that people ‘feel less emotionally reactive when using a foreign language as compared to a native language’.</w:t>
      </w:r>
      <w:r w:rsidRPr="00DD65C2">
        <w:rPr>
          <w:rStyle w:val="FootnoteReference"/>
          <w:rFonts w:ascii="Calibri" w:hAnsi="Calibri" w:cs="Calibri"/>
        </w:rPr>
        <w:footnoteReference w:id="43"/>
      </w:r>
      <w:r w:rsidRPr="00DD65C2">
        <w:rPr>
          <w:rFonts w:ascii="Calibri" w:hAnsi="Calibri" w:cs="Calibri"/>
          <w:lang w:val="en-GB" w:eastAsia="en-US"/>
        </w:rPr>
        <w:t xml:space="preserve"> </w:t>
      </w:r>
    </w:p>
    <w:p w14:paraId="1BC3951B" w14:textId="77777777" w:rsidR="00EB49E0" w:rsidRPr="00DD65C2" w:rsidRDefault="00EB49E0" w:rsidP="00EB49E0">
      <w:pPr>
        <w:jc w:val="both"/>
        <w:rPr>
          <w:rFonts w:ascii="Calibri" w:hAnsi="Calibri" w:cs="Calibri"/>
          <w:lang w:val="en-GB" w:eastAsia="en-US"/>
        </w:rPr>
      </w:pPr>
    </w:p>
    <w:p w14:paraId="393BF45E" w14:textId="5333BDAD" w:rsidR="00EB49E0" w:rsidRPr="00DD65C2" w:rsidRDefault="00EB49E0" w:rsidP="00EB49E0">
      <w:pPr>
        <w:jc w:val="both"/>
        <w:rPr>
          <w:rFonts w:ascii="Calibri" w:hAnsi="Calibri" w:cs="Calibri"/>
          <w:lang w:val="en-GB" w:eastAsia="en-US"/>
        </w:rPr>
      </w:pPr>
      <w:r w:rsidRPr="00DD65C2">
        <w:rPr>
          <w:rFonts w:ascii="Calibri" w:hAnsi="Calibri" w:cs="Calibri"/>
          <w:lang w:val="en-GB" w:eastAsia="en-US"/>
        </w:rPr>
        <w:t>In spite of this ‘rather important implication’, AG Bobek’s opinion is very deferential to the GC’s finding in this regard.</w:t>
      </w:r>
      <w:r w:rsidR="00CE1A3B" w:rsidRPr="00DD65C2">
        <w:rPr>
          <w:rStyle w:val="FootnoteReference"/>
          <w:rFonts w:ascii="Calibri" w:hAnsi="Calibri" w:cs="Calibri"/>
        </w:rPr>
        <w:footnoteReference w:id="44"/>
      </w:r>
      <w:r w:rsidRPr="00DD65C2">
        <w:rPr>
          <w:rFonts w:ascii="Calibri" w:hAnsi="Calibri" w:cs="Calibri"/>
          <w:lang w:val="en-GB" w:eastAsia="en-US"/>
        </w:rPr>
        <w:t xml:space="preserve"> According to the AG, ‘the geographical/linguistic limitation of the relevant public to the German-speaking public of the European Union is, in view of […] Article 7(2), certainly </w:t>
      </w:r>
      <w:r w:rsidRPr="00DD65C2">
        <w:rPr>
          <w:rFonts w:ascii="Calibri" w:hAnsi="Calibri" w:cs="Calibri"/>
          <w:i/>
          <w:iCs/>
          <w:lang w:val="en-GB" w:eastAsia="en-US"/>
        </w:rPr>
        <w:t>possible</w:t>
      </w:r>
      <w:r w:rsidRPr="00DD65C2">
        <w:rPr>
          <w:rFonts w:ascii="Calibri" w:hAnsi="Calibri" w:cs="Calibri"/>
          <w:lang w:val="en-GB" w:eastAsia="en-US"/>
        </w:rPr>
        <w:t>.’</w:t>
      </w:r>
      <w:r w:rsidRPr="00DD65C2">
        <w:rPr>
          <w:rStyle w:val="FootnoteReference"/>
          <w:rFonts w:ascii="Calibri" w:hAnsi="Calibri" w:cs="Calibri"/>
        </w:rPr>
        <w:footnoteReference w:id="45"/>
      </w:r>
      <w:r w:rsidRPr="00DD65C2">
        <w:rPr>
          <w:rFonts w:ascii="Calibri" w:hAnsi="Calibri" w:cs="Calibri"/>
          <w:lang w:val="en-GB" w:eastAsia="en-US"/>
        </w:rPr>
        <w:t xml:space="preserve"> Unfortunately, the AG does not go on to explain why this finding is indeed possible under Article 7(2) nor, more importantly, whether it results from a correct interpretation of this provision. The AG’s failure to discuss this finding further is likely the result of the procedural constraints imposed upon the CJEU, who had not been called upon to rule on this issue –neither the EUIPO (who authored the definition of the relevant public in this case) nor the applicant (who benefitted from the proposed definition) had appealed this finding.</w:t>
      </w:r>
      <w:r w:rsidRPr="00DD65C2">
        <w:rPr>
          <w:rStyle w:val="FootnoteReference"/>
          <w:rFonts w:ascii="Calibri" w:hAnsi="Calibri" w:cs="Calibri"/>
        </w:rPr>
        <w:footnoteReference w:id="46"/>
      </w:r>
      <w:r w:rsidRPr="00DD65C2">
        <w:rPr>
          <w:rFonts w:ascii="Calibri" w:hAnsi="Calibri" w:cs="Calibri"/>
          <w:lang w:val="en-GB" w:eastAsia="en-US"/>
        </w:rPr>
        <w:t xml:space="preserve"> As we will go on to study in Section </w:t>
      </w:r>
      <w:r w:rsidR="00BC25AE" w:rsidRPr="00DD65C2">
        <w:rPr>
          <w:rFonts w:ascii="Calibri" w:hAnsi="Calibri" w:cs="Calibri"/>
          <w:lang w:val="en-GB" w:eastAsia="en-US"/>
        </w:rPr>
        <w:t>4</w:t>
      </w:r>
      <w:r w:rsidR="005F0E91" w:rsidRPr="00DD65C2">
        <w:rPr>
          <w:rFonts w:ascii="Calibri" w:hAnsi="Calibri" w:cs="Calibri"/>
          <w:lang w:val="en-GB" w:eastAsia="en-US"/>
        </w:rPr>
        <w:t>.2.</w:t>
      </w:r>
      <w:r w:rsidRPr="00DD65C2">
        <w:rPr>
          <w:rFonts w:ascii="Calibri" w:hAnsi="Calibri" w:cs="Calibri"/>
          <w:lang w:val="en-GB" w:eastAsia="en-US"/>
        </w:rPr>
        <w:t xml:space="preserve">, this </w:t>
      </w:r>
      <w:r w:rsidR="004E5037" w:rsidRPr="00DD65C2">
        <w:rPr>
          <w:rFonts w:ascii="Calibri" w:hAnsi="Calibri" w:cs="Calibri"/>
          <w:lang w:val="en-GB" w:eastAsia="en-US"/>
        </w:rPr>
        <w:t xml:space="preserve">likely </w:t>
      </w:r>
      <w:r w:rsidRPr="00DD65C2">
        <w:rPr>
          <w:rFonts w:ascii="Calibri" w:hAnsi="Calibri" w:cs="Calibri"/>
          <w:lang w:val="en-GB" w:eastAsia="en-US"/>
        </w:rPr>
        <w:t>explains why the CJEU</w:t>
      </w:r>
      <w:r w:rsidR="002125C6" w:rsidRPr="00DD65C2">
        <w:rPr>
          <w:rFonts w:ascii="Calibri" w:hAnsi="Calibri" w:cs="Calibri"/>
          <w:lang w:val="en-GB" w:eastAsia="en-US"/>
        </w:rPr>
        <w:t>’s decision</w:t>
      </w:r>
      <w:r w:rsidRPr="00DD65C2">
        <w:rPr>
          <w:rFonts w:ascii="Calibri" w:hAnsi="Calibri" w:cs="Calibri"/>
          <w:lang w:val="en-GB" w:eastAsia="en-US"/>
        </w:rPr>
        <w:t xml:space="preserve"> is </w:t>
      </w:r>
      <w:r w:rsidR="002125C6" w:rsidRPr="00DD65C2">
        <w:rPr>
          <w:rFonts w:ascii="Calibri" w:hAnsi="Calibri" w:cs="Calibri"/>
          <w:lang w:val="en-GB" w:eastAsia="en-US"/>
        </w:rPr>
        <w:t xml:space="preserve">also </w:t>
      </w:r>
      <w:r w:rsidRPr="00DD65C2">
        <w:rPr>
          <w:rFonts w:ascii="Calibri" w:hAnsi="Calibri" w:cs="Calibri"/>
          <w:lang w:val="en-GB" w:eastAsia="en-US"/>
        </w:rPr>
        <w:t xml:space="preserve">very deferential to the GC’s definition of relevant public. </w:t>
      </w:r>
    </w:p>
    <w:p w14:paraId="2388766A" w14:textId="77777777" w:rsidR="00EB49E0" w:rsidRPr="00DD65C2" w:rsidRDefault="00EB49E0" w:rsidP="00EB49E0">
      <w:pPr>
        <w:pStyle w:val="ListParagraph"/>
        <w:jc w:val="both"/>
        <w:rPr>
          <w:rFonts w:ascii="Calibri" w:hAnsi="Calibri" w:cs="Calibri"/>
          <w:b/>
          <w:bCs/>
        </w:rPr>
      </w:pPr>
    </w:p>
    <w:p w14:paraId="17F8A7DE" w14:textId="6C9F763C" w:rsidR="00A72829" w:rsidRPr="00DD65C2" w:rsidRDefault="00A72829" w:rsidP="003833A7">
      <w:pPr>
        <w:pStyle w:val="ListParagraph"/>
        <w:numPr>
          <w:ilvl w:val="1"/>
          <w:numId w:val="13"/>
        </w:numPr>
        <w:jc w:val="both"/>
        <w:rPr>
          <w:rFonts w:ascii="Calibri" w:hAnsi="Calibri" w:cs="Calibri"/>
          <w:b/>
          <w:bCs/>
        </w:rPr>
      </w:pPr>
      <w:r w:rsidRPr="00DD65C2">
        <w:rPr>
          <w:rFonts w:ascii="Calibri" w:hAnsi="Calibri" w:cs="Calibri"/>
          <w:b/>
          <w:bCs/>
        </w:rPr>
        <w:t xml:space="preserve">The </w:t>
      </w:r>
      <w:r w:rsidR="00E4533E" w:rsidRPr="00DD65C2">
        <w:rPr>
          <w:rFonts w:ascii="Calibri" w:hAnsi="Calibri" w:cs="Calibri"/>
          <w:b/>
          <w:bCs/>
        </w:rPr>
        <w:t>Applicable</w:t>
      </w:r>
      <w:r w:rsidRPr="00DD65C2">
        <w:rPr>
          <w:rFonts w:ascii="Calibri" w:hAnsi="Calibri" w:cs="Calibri"/>
          <w:b/>
          <w:bCs/>
        </w:rPr>
        <w:t xml:space="preserve"> Test(s)</w:t>
      </w:r>
      <w:r w:rsidR="00917923" w:rsidRPr="00DD65C2">
        <w:rPr>
          <w:rFonts w:ascii="Calibri" w:hAnsi="Calibri" w:cs="Calibri"/>
          <w:b/>
          <w:bCs/>
        </w:rPr>
        <w:t xml:space="preserve"> to the Public Policy and Morality Exclusions</w:t>
      </w:r>
    </w:p>
    <w:p w14:paraId="03420CFB" w14:textId="77777777" w:rsidR="00A72829" w:rsidRPr="00DD65C2" w:rsidRDefault="00A72829" w:rsidP="00504F94">
      <w:pPr>
        <w:jc w:val="both"/>
        <w:rPr>
          <w:rFonts w:ascii="Calibri" w:hAnsi="Calibri" w:cs="Calibri"/>
          <w:lang w:val="en-GB"/>
        </w:rPr>
      </w:pPr>
    </w:p>
    <w:p w14:paraId="6AD21908" w14:textId="00D39206" w:rsidR="00005E88" w:rsidRPr="00DD65C2" w:rsidRDefault="00F60DF7" w:rsidP="00D7706F">
      <w:pPr>
        <w:jc w:val="both"/>
        <w:rPr>
          <w:rFonts w:ascii="Calibri" w:hAnsi="Calibri" w:cs="Calibri"/>
          <w:lang w:val="en-GB"/>
        </w:rPr>
      </w:pPr>
      <w:r w:rsidRPr="00DD65C2">
        <w:rPr>
          <w:rFonts w:ascii="Calibri" w:hAnsi="Calibri" w:cs="Calibri"/>
          <w:lang w:val="en-GB"/>
        </w:rPr>
        <w:t xml:space="preserve">European </w:t>
      </w:r>
      <w:r w:rsidR="00CA4514" w:rsidRPr="00DD65C2">
        <w:rPr>
          <w:rFonts w:ascii="Calibri" w:hAnsi="Calibri" w:cs="Calibri"/>
          <w:lang w:val="en-GB"/>
        </w:rPr>
        <w:t>decision-maker</w:t>
      </w:r>
      <w:r w:rsidRPr="00DD65C2">
        <w:rPr>
          <w:rFonts w:ascii="Calibri" w:hAnsi="Calibri" w:cs="Calibri"/>
          <w:lang w:val="en-GB"/>
        </w:rPr>
        <w:t xml:space="preserve">s are also split on the </w:t>
      </w:r>
      <w:r w:rsidR="00D02295" w:rsidRPr="00DD65C2">
        <w:rPr>
          <w:rFonts w:ascii="Calibri" w:hAnsi="Calibri" w:cs="Calibri"/>
          <w:lang w:val="en-GB"/>
        </w:rPr>
        <w:t xml:space="preserve">applicable </w:t>
      </w:r>
      <w:r w:rsidRPr="00DD65C2">
        <w:rPr>
          <w:rFonts w:ascii="Calibri" w:hAnsi="Calibri" w:cs="Calibri"/>
          <w:lang w:val="en-GB"/>
        </w:rPr>
        <w:t xml:space="preserve">legal test(s) to the public policy and morality exclusions. In a very reduced number of cases, trade mark offices and appeal courts have favoured an empirical approach to determination of an applied-for sign’s ability to cause outrage amongst the </w:t>
      </w:r>
      <w:r w:rsidR="000A2EAA" w:rsidRPr="00DD65C2">
        <w:rPr>
          <w:rFonts w:ascii="Calibri" w:hAnsi="Calibri" w:cs="Calibri"/>
          <w:lang w:val="en-GB"/>
        </w:rPr>
        <w:t>relevant public</w:t>
      </w:r>
      <w:r w:rsidRPr="00DD65C2">
        <w:rPr>
          <w:rFonts w:ascii="Calibri" w:hAnsi="Calibri" w:cs="Calibri"/>
          <w:lang w:val="en-GB"/>
        </w:rPr>
        <w:t>.</w:t>
      </w:r>
      <w:r w:rsidR="00972156" w:rsidRPr="00DD65C2">
        <w:rPr>
          <w:rStyle w:val="FootnoteReference"/>
          <w:rFonts w:ascii="Calibri" w:hAnsi="Calibri" w:cs="Calibri"/>
        </w:rPr>
        <w:footnoteReference w:id="47"/>
      </w:r>
      <w:r w:rsidRPr="00DD65C2">
        <w:rPr>
          <w:rFonts w:ascii="Calibri" w:hAnsi="Calibri" w:cs="Calibri"/>
          <w:lang w:val="en-GB"/>
        </w:rPr>
        <w:t xml:space="preserve"> </w:t>
      </w:r>
      <w:r w:rsidR="000D06C1" w:rsidRPr="00DD65C2">
        <w:rPr>
          <w:rFonts w:ascii="Calibri" w:hAnsi="Calibri" w:cs="Calibri"/>
          <w:lang w:val="en-GB"/>
        </w:rPr>
        <w:t xml:space="preserve">It is only where there is evidence to this effect that an applied-for sign can be denied registration under Article 7(1)(f) EUTMR. Because </w:t>
      </w:r>
      <w:r w:rsidR="000D53E7" w:rsidRPr="00DD65C2">
        <w:rPr>
          <w:rFonts w:ascii="Calibri" w:hAnsi="Calibri" w:cs="Calibri"/>
          <w:lang w:val="en-GB"/>
        </w:rPr>
        <w:t>empirical approaches to the</w:t>
      </w:r>
      <w:r w:rsidR="00F3782C" w:rsidRPr="00DD65C2">
        <w:rPr>
          <w:rFonts w:ascii="Calibri" w:hAnsi="Calibri" w:cs="Calibri"/>
          <w:lang w:val="en-GB"/>
        </w:rPr>
        <w:t xml:space="preserve"> interpretation of these</w:t>
      </w:r>
      <w:r w:rsidR="000D53E7" w:rsidRPr="00DD65C2">
        <w:rPr>
          <w:rFonts w:ascii="Calibri" w:hAnsi="Calibri" w:cs="Calibri"/>
          <w:lang w:val="en-GB"/>
        </w:rPr>
        <w:t xml:space="preserve"> exclusions </w:t>
      </w:r>
      <w:r w:rsidR="00005E88" w:rsidRPr="00DD65C2">
        <w:rPr>
          <w:rFonts w:ascii="Calibri" w:hAnsi="Calibri" w:cs="Calibri"/>
          <w:lang w:val="en-GB"/>
        </w:rPr>
        <w:t xml:space="preserve">often </w:t>
      </w:r>
      <w:r w:rsidR="000D53E7" w:rsidRPr="00DD65C2">
        <w:rPr>
          <w:rFonts w:ascii="Calibri" w:hAnsi="Calibri" w:cs="Calibri"/>
          <w:lang w:val="en-GB"/>
        </w:rPr>
        <w:t xml:space="preserve">stem from </w:t>
      </w:r>
      <w:r w:rsidR="00005E88" w:rsidRPr="00DD65C2">
        <w:rPr>
          <w:rFonts w:ascii="Calibri" w:hAnsi="Calibri" w:cs="Calibri"/>
          <w:lang w:val="en-GB"/>
        </w:rPr>
        <w:t>the protection afforded to applicants’ speech interests under Article 10 ECHR, these cases will</w:t>
      </w:r>
      <w:r w:rsidR="009E468F">
        <w:rPr>
          <w:rFonts w:ascii="Calibri" w:hAnsi="Calibri" w:cs="Calibri"/>
          <w:lang w:val="en-GB"/>
        </w:rPr>
        <w:t xml:space="preserve"> be</w:t>
      </w:r>
      <w:r w:rsidR="00005E88" w:rsidRPr="00DD65C2">
        <w:rPr>
          <w:rFonts w:ascii="Calibri" w:hAnsi="Calibri" w:cs="Calibri"/>
          <w:lang w:val="en-GB"/>
        </w:rPr>
        <w:t xml:space="preserve"> be</w:t>
      </w:r>
      <w:r w:rsidR="009E468F">
        <w:rPr>
          <w:rFonts w:ascii="Calibri" w:hAnsi="Calibri" w:cs="Calibri"/>
          <w:lang w:val="en-GB"/>
        </w:rPr>
        <w:t>st</w:t>
      </w:r>
      <w:r w:rsidR="00005E88" w:rsidRPr="00DD65C2">
        <w:rPr>
          <w:rFonts w:ascii="Calibri" w:hAnsi="Calibri" w:cs="Calibri"/>
          <w:lang w:val="en-GB"/>
        </w:rPr>
        <w:t xml:space="preserve"> </w:t>
      </w:r>
      <w:r w:rsidR="009E468F">
        <w:rPr>
          <w:rFonts w:ascii="Calibri" w:hAnsi="Calibri" w:cs="Calibri"/>
          <w:lang w:val="en-GB"/>
        </w:rPr>
        <w:t>addressed upon studying the interaction between marks and speech in the registration context</w:t>
      </w:r>
      <w:r w:rsidR="00005E88" w:rsidRPr="00DD65C2">
        <w:rPr>
          <w:rFonts w:ascii="Calibri" w:hAnsi="Calibri" w:cs="Calibri"/>
          <w:lang w:val="en-GB"/>
        </w:rPr>
        <w:t xml:space="preserve"> in Section 3 below. </w:t>
      </w:r>
    </w:p>
    <w:p w14:paraId="4AD68109" w14:textId="77777777" w:rsidR="00F60DF7" w:rsidRPr="00DD65C2" w:rsidRDefault="00F60DF7" w:rsidP="00D7706F">
      <w:pPr>
        <w:jc w:val="both"/>
        <w:rPr>
          <w:rFonts w:ascii="Calibri" w:hAnsi="Calibri" w:cs="Calibri"/>
          <w:lang w:val="en-GB"/>
        </w:rPr>
      </w:pPr>
    </w:p>
    <w:p w14:paraId="50AD5178" w14:textId="1AC7FF9B" w:rsidR="002102DE" w:rsidRPr="00DD65C2" w:rsidRDefault="00F60DF7" w:rsidP="002102DE">
      <w:pPr>
        <w:jc w:val="both"/>
        <w:rPr>
          <w:rFonts w:ascii="Calibri" w:hAnsi="Calibri" w:cs="Calibri"/>
          <w:lang w:val="en-GB"/>
        </w:rPr>
      </w:pPr>
      <w:r w:rsidRPr="00DD65C2">
        <w:rPr>
          <w:rFonts w:ascii="Calibri" w:hAnsi="Calibri" w:cs="Calibri"/>
          <w:lang w:val="en-GB"/>
        </w:rPr>
        <w:t xml:space="preserve">In the vast majority of cases to date, </w:t>
      </w:r>
      <w:r w:rsidR="001938A0">
        <w:rPr>
          <w:rFonts w:ascii="Calibri" w:hAnsi="Calibri" w:cs="Calibri"/>
          <w:lang w:val="en-GB"/>
        </w:rPr>
        <w:t xml:space="preserve">therefore, </w:t>
      </w:r>
      <w:r w:rsidR="00CA4514" w:rsidRPr="00DD65C2">
        <w:rPr>
          <w:rFonts w:ascii="Calibri" w:hAnsi="Calibri" w:cs="Calibri"/>
          <w:lang w:val="en-GB"/>
        </w:rPr>
        <w:t>decision-maker</w:t>
      </w:r>
      <w:r w:rsidR="00005E88" w:rsidRPr="00DD65C2">
        <w:rPr>
          <w:rFonts w:ascii="Calibri" w:hAnsi="Calibri" w:cs="Calibri"/>
          <w:lang w:val="en-GB"/>
        </w:rPr>
        <w:t>s</w:t>
      </w:r>
      <w:r w:rsidRPr="00DD65C2">
        <w:rPr>
          <w:rFonts w:ascii="Calibri" w:hAnsi="Calibri" w:cs="Calibri"/>
          <w:lang w:val="en-GB"/>
        </w:rPr>
        <w:t xml:space="preserve"> have favoured an abstract assessment of an applied-for sign’s ability to cause outrage amongst the relevant public.</w:t>
      </w:r>
      <w:r w:rsidR="00AC2CD6" w:rsidRPr="00DD65C2">
        <w:rPr>
          <w:rStyle w:val="FootnoteReference"/>
          <w:rFonts w:ascii="Calibri" w:hAnsi="Calibri" w:cs="Calibri"/>
        </w:rPr>
        <w:footnoteReference w:id="48"/>
      </w:r>
      <w:r w:rsidRPr="00DD65C2">
        <w:rPr>
          <w:rFonts w:ascii="Calibri" w:hAnsi="Calibri" w:cs="Calibri"/>
          <w:lang w:val="en-GB"/>
        </w:rPr>
        <w:t xml:space="preserve"> </w:t>
      </w:r>
      <w:r w:rsidR="00F3782C" w:rsidRPr="00DD65C2">
        <w:rPr>
          <w:rFonts w:ascii="Calibri" w:hAnsi="Calibri" w:cs="Calibri"/>
          <w:lang w:val="en-GB"/>
        </w:rPr>
        <w:t>In such instances, ‘[t]he decisive factor is the objective understanding of the sign applied for from the point of view of the recipient.’</w:t>
      </w:r>
      <w:r w:rsidR="003864D0" w:rsidRPr="00DD65C2">
        <w:rPr>
          <w:rStyle w:val="FootnoteReference"/>
          <w:rFonts w:ascii="Calibri" w:hAnsi="Calibri" w:cs="Calibri"/>
        </w:rPr>
        <w:footnoteReference w:id="49"/>
      </w:r>
      <w:r w:rsidR="003864D0" w:rsidRPr="00DD65C2">
        <w:rPr>
          <w:rFonts w:ascii="Calibri" w:hAnsi="Calibri" w:cs="Calibri"/>
          <w:lang w:val="en-GB"/>
        </w:rPr>
        <w:t xml:space="preserve"> </w:t>
      </w:r>
      <w:r w:rsidR="00786C0C" w:rsidRPr="00DD65C2">
        <w:rPr>
          <w:rFonts w:ascii="Calibri" w:hAnsi="Calibri" w:cs="Calibri"/>
          <w:lang w:val="en-GB"/>
        </w:rPr>
        <w:t xml:space="preserve">This analysis is detached </w:t>
      </w:r>
      <w:r w:rsidR="00786C0C" w:rsidRPr="00DD65C2">
        <w:rPr>
          <w:rFonts w:ascii="Calibri" w:hAnsi="Calibri" w:cs="Calibri"/>
          <w:lang w:val="en-GB"/>
        </w:rPr>
        <w:lastRenderedPageBreak/>
        <w:t>from empirical notions of morality</w:t>
      </w:r>
      <w:r w:rsidR="001938A0">
        <w:rPr>
          <w:rFonts w:ascii="Calibri" w:hAnsi="Calibri" w:cs="Calibri"/>
          <w:lang w:val="en-GB"/>
        </w:rPr>
        <w:t>/</w:t>
      </w:r>
      <w:r w:rsidR="00786C0C" w:rsidRPr="00DD65C2">
        <w:rPr>
          <w:rFonts w:ascii="Calibri" w:hAnsi="Calibri" w:cs="Calibri"/>
          <w:lang w:val="en-GB"/>
        </w:rPr>
        <w:t>public policy.</w:t>
      </w:r>
      <w:r w:rsidR="002102DE" w:rsidRPr="00DD65C2">
        <w:rPr>
          <w:rFonts w:ascii="Calibri" w:hAnsi="Calibri" w:cs="Calibri"/>
          <w:lang w:val="en-GB"/>
        </w:rPr>
        <w:t xml:space="preserve"> </w:t>
      </w:r>
      <w:r w:rsidR="00786C0C" w:rsidRPr="00DD65C2">
        <w:rPr>
          <w:rFonts w:ascii="Calibri" w:hAnsi="Calibri" w:cs="Calibri"/>
          <w:lang w:val="en-GB"/>
        </w:rPr>
        <w:t xml:space="preserve">In </w:t>
      </w:r>
      <w:r w:rsidR="00E97494" w:rsidRPr="00DD65C2">
        <w:rPr>
          <w:rFonts w:ascii="Calibri" w:hAnsi="Calibri" w:cs="Calibri"/>
          <w:i/>
          <w:iCs/>
          <w:lang w:val="en-GB"/>
        </w:rPr>
        <w:t>Application of Falcon Sporting Goods AG</w:t>
      </w:r>
      <w:r w:rsidR="00786C0C" w:rsidRPr="00DD65C2">
        <w:rPr>
          <w:rFonts w:ascii="Calibri" w:hAnsi="Calibri" w:cs="Calibri"/>
          <w:lang w:val="en-GB"/>
        </w:rPr>
        <w:t xml:space="preserve">, for instance, </w:t>
      </w:r>
      <w:r w:rsidR="002102DE" w:rsidRPr="00DD65C2">
        <w:rPr>
          <w:rFonts w:ascii="Calibri" w:hAnsi="Calibri" w:cs="Calibri"/>
          <w:lang w:val="en-GB"/>
        </w:rPr>
        <w:t>the EUIPO BoA held that applicant’s argument</w:t>
      </w:r>
      <w:r w:rsidR="00522D47" w:rsidRPr="00DD65C2">
        <w:rPr>
          <w:rFonts w:ascii="Calibri" w:hAnsi="Calibri" w:cs="Calibri"/>
          <w:lang w:val="en-GB"/>
        </w:rPr>
        <w:t>:</w:t>
      </w:r>
    </w:p>
    <w:p w14:paraId="241B5910" w14:textId="77777777" w:rsidR="002102DE" w:rsidRPr="00DD65C2" w:rsidRDefault="002102DE" w:rsidP="002102DE">
      <w:pPr>
        <w:jc w:val="both"/>
        <w:rPr>
          <w:rFonts w:ascii="Calibri" w:hAnsi="Calibri" w:cs="Calibri"/>
          <w:lang w:val="en-GB"/>
        </w:rPr>
      </w:pPr>
    </w:p>
    <w:p w14:paraId="483486F1" w14:textId="77777777" w:rsidR="002102DE" w:rsidRPr="00DD65C2" w:rsidRDefault="002102DE" w:rsidP="002102DE">
      <w:pPr>
        <w:ind w:left="720"/>
        <w:jc w:val="both"/>
        <w:rPr>
          <w:rFonts w:ascii="Calibri" w:hAnsi="Calibri" w:cs="Calibri"/>
          <w:lang w:val="en-GB"/>
        </w:rPr>
      </w:pPr>
      <w:r w:rsidRPr="00DD65C2">
        <w:rPr>
          <w:rFonts w:ascii="Calibri" w:hAnsi="Calibri" w:cs="Calibri"/>
          <w:lang w:val="en-GB"/>
        </w:rPr>
        <w:t>[R]</w:t>
      </w:r>
      <w:r w:rsidRPr="00DD65C2">
        <w:rPr>
          <w:rFonts w:ascii="Calibri" w:hAnsi="Calibri" w:cs="Calibri"/>
        </w:rPr>
        <w:t>elating to the lack of proof of outrage or repulsion on the part of the public</w:t>
      </w:r>
      <w:r w:rsidRPr="00DD65C2">
        <w:rPr>
          <w:rFonts w:ascii="Calibri" w:hAnsi="Calibri" w:cs="Calibri"/>
          <w:lang w:val="en-US"/>
        </w:rPr>
        <w:t xml:space="preserve"> […]</w:t>
      </w:r>
      <w:r w:rsidRPr="00DD65C2">
        <w:rPr>
          <w:rFonts w:ascii="Calibri" w:hAnsi="Calibri" w:cs="Calibri"/>
        </w:rPr>
        <w:t xml:space="preserve"> is dismissed since the registrability of a sign </w:t>
      </w:r>
      <w:r w:rsidRPr="00DD65C2">
        <w:rPr>
          <w:rFonts w:ascii="Calibri" w:hAnsi="Calibri" w:cs="Calibri"/>
          <w:lang w:val="en-US"/>
        </w:rPr>
        <w:t>[…]</w:t>
      </w:r>
      <w:r w:rsidRPr="00DD65C2">
        <w:rPr>
          <w:rFonts w:ascii="Calibri" w:hAnsi="Calibri" w:cs="Calibri"/>
        </w:rPr>
        <w:t xml:space="preserve"> must be assessed only on the basis of the relevant </w:t>
      </w:r>
      <w:r w:rsidRPr="00DD65C2">
        <w:rPr>
          <w:rFonts w:ascii="Calibri" w:hAnsi="Calibri" w:cs="Calibri"/>
          <w:lang w:val="en-US"/>
        </w:rPr>
        <w:t>[…]</w:t>
      </w:r>
      <w:r w:rsidRPr="00DD65C2">
        <w:rPr>
          <w:rFonts w:ascii="Calibri" w:hAnsi="Calibri" w:cs="Calibri"/>
        </w:rPr>
        <w:t xml:space="preserve"> legislation as interpreted by the </w:t>
      </w:r>
      <w:r w:rsidRPr="00DD65C2">
        <w:rPr>
          <w:rFonts w:ascii="Calibri" w:hAnsi="Calibri" w:cs="Calibri"/>
          <w:lang w:val="en-US"/>
        </w:rPr>
        <w:t>[…]</w:t>
      </w:r>
      <w:r w:rsidRPr="00DD65C2">
        <w:rPr>
          <w:rFonts w:ascii="Calibri" w:hAnsi="Calibri" w:cs="Calibri"/>
        </w:rPr>
        <w:t xml:space="preserve"> Courts without having to justify this action by the production of evidence</w:t>
      </w:r>
      <w:r w:rsidRPr="00DD65C2">
        <w:rPr>
          <w:rFonts w:ascii="Calibri" w:hAnsi="Calibri" w:cs="Calibri"/>
          <w:lang w:val="en-US"/>
        </w:rPr>
        <w:t>.</w:t>
      </w:r>
      <w:r w:rsidRPr="00DD65C2">
        <w:rPr>
          <w:rStyle w:val="FootnoteReference"/>
          <w:rFonts w:ascii="Calibri" w:hAnsi="Calibri" w:cs="Calibri"/>
        </w:rPr>
        <w:footnoteReference w:id="50"/>
      </w:r>
    </w:p>
    <w:p w14:paraId="2EBFA87F" w14:textId="77777777" w:rsidR="00786C0C" w:rsidRPr="00DD65C2" w:rsidRDefault="00786C0C" w:rsidP="00786C0C">
      <w:pPr>
        <w:jc w:val="both"/>
        <w:rPr>
          <w:rFonts w:ascii="Calibri" w:hAnsi="Calibri" w:cs="Calibri"/>
          <w:lang w:val="en-GB"/>
        </w:rPr>
      </w:pPr>
    </w:p>
    <w:p w14:paraId="2B72F3FC" w14:textId="1A96EFC5" w:rsidR="00786C0C" w:rsidRPr="00DD65C2" w:rsidRDefault="00786C0C" w:rsidP="00786C0C">
      <w:pPr>
        <w:jc w:val="both"/>
        <w:rPr>
          <w:rFonts w:ascii="Calibri" w:hAnsi="Calibri" w:cs="Calibri"/>
          <w:lang w:val="en-GB"/>
        </w:rPr>
      </w:pPr>
      <w:r w:rsidRPr="00DD65C2">
        <w:rPr>
          <w:rFonts w:ascii="Calibri" w:hAnsi="Calibri" w:cs="Calibri"/>
          <w:lang w:val="en-GB"/>
        </w:rPr>
        <w:t xml:space="preserve">Instead, </w:t>
      </w:r>
      <w:r w:rsidR="002102DE" w:rsidRPr="00DD65C2">
        <w:rPr>
          <w:rFonts w:ascii="Calibri" w:hAnsi="Calibri" w:cs="Calibri"/>
          <w:lang w:val="en-GB"/>
        </w:rPr>
        <w:t>their analysis is premised on the notion that</w:t>
      </w:r>
      <w:r w:rsidRPr="00DD65C2">
        <w:rPr>
          <w:rFonts w:ascii="Calibri" w:hAnsi="Calibri" w:cs="Calibri"/>
          <w:lang w:val="en-GB"/>
        </w:rPr>
        <w:t xml:space="preserve"> ‘Article 7(1)(f) clearly imposes a duty on the [trade mark-granting authority] to exercise a degree of moral judgment in assessing the suitability of signs to be granted trade mark protection’.</w:t>
      </w:r>
      <w:r w:rsidRPr="00DD65C2">
        <w:rPr>
          <w:rStyle w:val="FootnoteReference"/>
          <w:rFonts w:ascii="Calibri" w:hAnsi="Calibri" w:cs="Calibri"/>
        </w:rPr>
        <w:footnoteReference w:id="51"/>
      </w:r>
    </w:p>
    <w:p w14:paraId="4A564EEF" w14:textId="26339ABA" w:rsidR="00D7706F" w:rsidRPr="00DD65C2" w:rsidRDefault="00D7706F" w:rsidP="00504F94">
      <w:pPr>
        <w:jc w:val="both"/>
        <w:rPr>
          <w:rFonts w:ascii="Calibri" w:hAnsi="Calibri" w:cs="Calibri"/>
          <w:lang w:val="en-GB"/>
        </w:rPr>
      </w:pPr>
    </w:p>
    <w:p w14:paraId="1F9DC403" w14:textId="48FB41B3" w:rsidR="00A863E1" w:rsidRPr="00DD65C2" w:rsidRDefault="00D7706F" w:rsidP="00504F94">
      <w:pPr>
        <w:jc w:val="both"/>
        <w:rPr>
          <w:rFonts w:ascii="Calibri" w:hAnsi="Calibri" w:cs="Calibri"/>
          <w:lang w:val="en-GB"/>
        </w:rPr>
      </w:pPr>
      <w:r w:rsidRPr="00DD65C2">
        <w:rPr>
          <w:rFonts w:ascii="Calibri" w:hAnsi="Calibri" w:cs="Calibri"/>
          <w:lang w:val="en-GB"/>
        </w:rPr>
        <w:t>In their attempt to develop a</w:t>
      </w:r>
      <w:r w:rsidR="00005E88" w:rsidRPr="00DD65C2">
        <w:rPr>
          <w:rFonts w:ascii="Calibri" w:hAnsi="Calibri" w:cs="Calibri"/>
          <w:lang w:val="en-GB"/>
        </w:rPr>
        <w:t xml:space="preserve"> </w:t>
      </w:r>
      <w:r w:rsidR="004A60D4" w:rsidRPr="00DD65C2">
        <w:rPr>
          <w:rFonts w:ascii="Calibri" w:hAnsi="Calibri" w:cs="Calibri"/>
          <w:lang w:val="en-GB"/>
        </w:rPr>
        <w:t xml:space="preserve">test </w:t>
      </w:r>
      <w:r w:rsidR="00005E88" w:rsidRPr="00DD65C2">
        <w:rPr>
          <w:rFonts w:ascii="Calibri" w:hAnsi="Calibri" w:cs="Calibri"/>
          <w:lang w:val="en-GB"/>
        </w:rPr>
        <w:t xml:space="preserve">that allows for </w:t>
      </w:r>
      <w:r w:rsidR="004A60D4" w:rsidRPr="00DD65C2">
        <w:rPr>
          <w:rFonts w:ascii="Calibri" w:hAnsi="Calibri" w:cs="Calibri"/>
          <w:lang w:val="en-GB"/>
        </w:rPr>
        <w:t xml:space="preserve">determination of when an applied-for sign will be deemed contrary to public policy </w:t>
      </w:r>
      <w:r w:rsidR="009078C6" w:rsidRPr="00DD65C2">
        <w:rPr>
          <w:rFonts w:ascii="Calibri" w:hAnsi="Calibri" w:cs="Calibri"/>
          <w:lang w:val="en-GB"/>
        </w:rPr>
        <w:t>and/</w:t>
      </w:r>
      <w:r w:rsidR="004A60D4" w:rsidRPr="00DD65C2">
        <w:rPr>
          <w:rFonts w:ascii="Calibri" w:hAnsi="Calibri" w:cs="Calibri"/>
          <w:lang w:val="en-GB"/>
        </w:rPr>
        <w:t>or morality</w:t>
      </w:r>
      <w:r w:rsidR="00005E88" w:rsidRPr="00DD65C2">
        <w:rPr>
          <w:rFonts w:ascii="Calibri" w:hAnsi="Calibri" w:cs="Calibri"/>
          <w:lang w:val="en-GB"/>
        </w:rPr>
        <w:t xml:space="preserve"> in objective terms</w:t>
      </w:r>
      <w:r w:rsidR="004A60D4" w:rsidRPr="00DD65C2">
        <w:rPr>
          <w:rFonts w:ascii="Calibri" w:hAnsi="Calibri" w:cs="Calibri"/>
          <w:lang w:val="en-GB"/>
        </w:rPr>
        <w:t xml:space="preserve">, </w:t>
      </w:r>
      <w:r w:rsidR="00CA4514" w:rsidRPr="00DD65C2">
        <w:rPr>
          <w:rFonts w:ascii="Calibri" w:hAnsi="Calibri" w:cs="Calibri"/>
          <w:lang w:val="en-GB"/>
        </w:rPr>
        <w:t>decision-maker</w:t>
      </w:r>
      <w:r w:rsidR="004A60D4" w:rsidRPr="00DD65C2">
        <w:rPr>
          <w:rFonts w:ascii="Calibri" w:hAnsi="Calibri" w:cs="Calibri"/>
          <w:lang w:val="en-GB"/>
        </w:rPr>
        <w:t xml:space="preserve">s have adopted </w:t>
      </w:r>
      <w:r w:rsidR="00F95B7A" w:rsidRPr="00DD65C2">
        <w:rPr>
          <w:rFonts w:ascii="Calibri" w:hAnsi="Calibri" w:cs="Calibri"/>
          <w:lang w:val="en-GB"/>
        </w:rPr>
        <w:t>very diverse</w:t>
      </w:r>
      <w:r w:rsidR="004A60D4" w:rsidRPr="00DD65C2">
        <w:rPr>
          <w:rFonts w:ascii="Calibri" w:hAnsi="Calibri" w:cs="Calibri"/>
          <w:lang w:val="en-GB"/>
        </w:rPr>
        <w:t xml:space="preserve"> standards. Two decisions have, however, </w:t>
      </w:r>
      <w:r w:rsidR="00B56C97" w:rsidRPr="00DD65C2">
        <w:rPr>
          <w:rFonts w:ascii="Calibri" w:hAnsi="Calibri" w:cs="Calibri"/>
          <w:lang w:val="en-GB"/>
        </w:rPr>
        <w:t>sought</w:t>
      </w:r>
      <w:r w:rsidR="004A60D4" w:rsidRPr="00DD65C2">
        <w:rPr>
          <w:rFonts w:ascii="Calibri" w:hAnsi="Calibri" w:cs="Calibri"/>
          <w:lang w:val="en-GB"/>
        </w:rPr>
        <w:t xml:space="preserve"> to harmonize the</w:t>
      </w:r>
      <w:r w:rsidR="00483D3F" w:rsidRPr="00DD65C2">
        <w:rPr>
          <w:rFonts w:ascii="Calibri" w:hAnsi="Calibri" w:cs="Calibri"/>
          <w:lang w:val="en-GB"/>
        </w:rPr>
        <w:t xml:space="preserve"> applicable</w:t>
      </w:r>
      <w:r w:rsidR="004A60D4" w:rsidRPr="00DD65C2">
        <w:rPr>
          <w:rFonts w:ascii="Calibri" w:hAnsi="Calibri" w:cs="Calibri"/>
          <w:lang w:val="en-GB"/>
        </w:rPr>
        <w:t xml:space="preserve"> tests by identifying common features in the case law, more precisely: (a) the judgment from the UK AP in </w:t>
      </w:r>
      <w:r w:rsidR="004A60D4" w:rsidRPr="00DD65C2">
        <w:rPr>
          <w:rFonts w:ascii="Calibri" w:hAnsi="Calibri" w:cs="Calibri"/>
          <w:i/>
          <w:iCs/>
          <w:lang w:val="en-GB"/>
        </w:rPr>
        <w:t>French Connection</w:t>
      </w:r>
      <w:r w:rsidR="004A60D4" w:rsidRPr="00DD65C2">
        <w:rPr>
          <w:rFonts w:ascii="Calibri" w:hAnsi="Calibri" w:cs="Calibri"/>
          <w:lang w:val="en-GB"/>
        </w:rPr>
        <w:t xml:space="preserve">; and (b) the decision of the EUIPO’s Grand BoA in </w:t>
      </w:r>
      <w:r w:rsidR="004A60D4" w:rsidRPr="00DD65C2">
        <w:rPr>
          <w:rFonts w:ascii="Calibri" w:hAnsi="Calibri" w:cs="Calibri"/>
          <w:i/>
          <w:iCs/>
          <w:lang w:val="en-GB"/>
        </w:rPr>
        <w:t>Application of Jebaraj Kenneth</w:t>
      </w:r>
      <w:r w:rsidR="004A60D4" w:rsidRPr="00DD65C2">
        <w:rPr>
          <w:rFonts w:ascii="Calibri" w:hAnsi="Calibri" w:cs="Calibri"/>
          <w:lang w:val="en-GB"/>
        </w:rPr>
        <w:t>.</w:t>
      </w:r>
      <w:r w:rsidR="004A60D4" w:rsidRPr="00DD65C2">
        <w:rPr>
          <w:rStyle w:val="FootnoteReference"/>
          <w:rFonts w:ascii="Calibri" w:hAnsi="Calibri" w:cs="Calibri"/>
        </w:rPr>
        <w:footnoteReference w:id="52"/>
      </w:r>
      <w:r w:rsidR="004A60D4" w:rsidRPr="00DD65C2">
        <w:rPr>
          <w:rFonts w:ascii="Calibri" w:hAnsi="Calibri" w:cs="Calibri"/>
          <w:lang w:val="en-GB"/>
        </w:rPr>
        <w:t xml:space="preserve"> </w:t>
      </w:r>
      <w:r w:rsidR="005E61F2" w:rsidRPr="00DD65C2">
        <w:rPr>
          <w:rFonts w:ascii="Calibri" w:hAnsi="Calibri" w:cs="Calibri"/>
          <w:lang w:val="en-GB"/>
        </w:rPr>
        <w:t>D</w:t>
      </w:r>
      <w:r w:rsidR="004A60D4" w:rsidRPr="00DD65C2">
        <w:rPr>
          <w:rFonts w:ascii="Calibri" w:hAnsi="Calibri" w:cs="Calibri"/>
          <w:lang w:val="en-GB"/>
        </w:rPr>
        <w:t xml:space="preserve">espite originating from different jurisdictions, both decisions show awareness of, and willingness to learn from, the precedents stemming from the other –this is likely in an attempt for consistency.  </w:t>
      </w:r>
    </w:p>
    <w:p w14:paraId="7A825735" w14:textId="77777777" w:rsidR="00614BF9" w:rsidRPr="00DD65C2" w:rsidRDefault="00614BF9" w:rsidP="00504F94">
      <w:pPr>
        <w:jc w:val="both"/>
        <w:rPr>
          <w:rFonts w:ascii="Calibri" w:hAnsi="Calibri" w:cs="Calibri"/>
          <w:lang w:val="en-GB"/>
        </w:rPr>
      </w:pPr>
    </w:p>
    <w:p w14:paraId="5F3F2640" w14:textId="60BED413" w:rsidR="0055304A" w:rsidRPr="00DD65C2" w:rsidRDefault="000D4636" w:rsidP="00504F94">
      <w:pPr>
        <w:jc w:val="both"/>
        <w:rPr>
          <w:rFonts w:ascii="Calibri" w:hAnsi="Calibri" w:cs="Calibri"/>
          <w:lang w:val="en-GB"/>
        </w:rPr>
      </w:pPr>
      <w:r w:rsidRPr="00DD65C2">
        <w:rPr>
          <w:rFonts w:ascii="Calibri" w:hAnsi="Calibri" w:cs="Calibri"/>
          <w:lang w:val="en-GB"/>
        </w:rPr>
        <w:t xml:space="preserve">In </w:t>
      </w:r>
      <w:r w:rsidRPr="00DD65C2">
        <w:rPr>
          <w:rFonts w:ascii="Calibri" w:hAnsi="Calibri" w:cs="Calibri"/>
          <w:i/>
          <w:iCs/>
          <w:lang w:val="en-GB"/>
        </w:rPr>
        <w:t>French Connection</w:t>
      </w:r>
      <w:r w:rsidRPr="00DD65C2">
        <w:rPr>
          <w:rFonts w:ascii="Calibri" w:hAnsi="Calibri" w:cs="Calibri"/>
          <w:lang w:val="en-GB"/>
        </w:rPr>
        <w:t xml:space="preserve">, </w:t>
      </w:r>
      <w:r w:rsidR="002938EB" w:rsidRPr="00DD65C2">
        <w:rPr>
          <w:rFonts w:ascii="Calibri" w:hAnsi="Calibri" w:cs="Calibri"/>
          <w:lang w:val="en-GB"/>
        </w:rPr>
        <w:t>Arnold QC</w:t>
      </w:r>
      <w:r w:rsidRPr="00DD65C2">
        <w:rPr>
          <w:rFonts w:ascii="Calibri" w:hAnsi="Calibri" w:cs="Calibri"/>
          <w:lang w:val="en-GB"/>
        </w:rPr>
        <w:t xml:space="preserve"> </w:t>
      </w:r>
      <w:r w:rsidR="004A60D4" w:rsidRPr="00DD65C2">
        <w:rPr>
          <w:rFonts w:ascii="Calibri" w:hAnsi="Calibri" w:cs="Calibri"/>
          <w:lang w:val="en-GB"/>
        </w:rPr>
        <w:t xml:space="preserve">found the registered </w:t>
      </w:r>
      <w:r w:rsidR="00045670" w:rsidRPr="00DD65C2">
        <w:rPr>
          <w:rFonts w:ascii="Calibri" w:hAnsi="Calibri" w:cs="Calibri"/>
          <w:lang w:val="en-GB"/>
        </w:rPr>
        <w:t xml:space="preserve">trade </w:t>
      </w:r>
      <w:r w:rsidR="004A60D4" w:rsidRPr="00DD65C2">
        <w:rPr>
          <w:rFonts w:ascii="Calibri" w:hAnsi="Calibri" w:cs="Calibri"/>
          <w:lang w:val="en-GB"/>
        </w:rPr>
        <w:t xml:space="preserve">mark ‘FCUK’ compatible with accepted principles of morality and, thus, ordered that it </w:t>
      </w:r>
      <w:r w:rsidR="00EF1FBE" w:rsidRPr="00DD65C2">
        <w:rPr>
          <w:rFonts w:ascii="Calibri" w:hAnsi="Calibri" w:cs="Calibri"/>
          <w:lang w:val="en-GB"/>
        </w:rPr>
        <w:t>remain on</w:t>
      </w:r>
      <w:r w:rsidR="004A60D4" w:rsidRPr="00DD65C2">
        <w:rPr>
          <w:rFonts w:ascii="Calibri" w:hAnsi="Calibri" w:cs="Calibri"/>
          <w:lang w:val="en-GB"/>
        </w:rPr>
        <w:t xml:space="preserve"> the register. </w:t>
      </w:r>
      <w:r w:rsidR="005E61F2" w:rsidRPr="00DD65C2">
        <w:rPr>
          <w:rFonts w:ascii="Calibri" w:hAnsi="Calibri" w:cs="Calibri"/>
          <w:lang w:val="en-GB"/>
        </w:rPr>
        <w:t>Admittedly,</w:t>
      </w:r>
      <w:r w:rsidR="004A60D4" w:rsidRPr="00DD65C2">
        <w:rPr>
          <w:rFonts w:ascii="Calibri" w:hAnsi="Calibri" w:cs="Calibri"/>
          <w:lang w:val="en-GB"/>
        </w:rPr>
        <w:t xml:space="preserve"> </w:t>
      </w:r>
      <w:r w:rsidR="00EF1FBE" w:rsidRPr="00DD65C2">
        <w:rPr>
          <w:rFonts w:ascii="Calibri" w:hAnsi="Calibri" w:cs="Calibri"/>
          <w:lang w:val="en-GB"/>
        </w:rPr>
        <w:t xml:space="preserve">this </w:t>
      </w:r>
      <w:r w:rsidR="004A60D4" w:rsidRPr="00DD65C2">
        <w:rPr>
          <w:rFonts w:ascii="Calibri" w:hAnsi="Calibri" w:cs="Calibri"/>
          <w:lang w:val="en-GB"/>
        </w:rPr>
        <w:t xml:space="preserve">decision </w:t>
      </w:r>
      <w:r w:rsidR="00EF1FBE" w:rsidRPr="00DD65C2">
        <w:rPr>
          <w:rFonts w:ascii="Calibri" w:hAnsi="Calibri" w:cs="Calibri"/>
          <w:lang w:val="en-GB"/>
        </w:rPr>
        <w:t>ultimately hinge</w:t>
      </w:r>
      <w:r w:rsidR="005E61F2" w:rsidRPr="00DD65C2">
        <w:rPr>
          <w:rFonts w:ascii="Calibri" w:hAnsi="Calibri" w:cs="Calibri"/>
          <w:lang w:val="en-GB"/>
        </w:rPr>
        <w:t>d</w:t>
      </w:r>
      <w:r w:rsidR="00EF1FBE" w:rsidRPr="00DD65C2">
        <w:rPr>
          <w:rFonts w:ascii="Calibri" w:hAnsi="Calibri" w:cs="Calibri"/>
          <w:lang w:val="en-GB"/>
        </w:rPr>
        <w:t xml:space="preserve"> on the lack of evidence to show that the sign had caused outrage amongst the public</w:t>
      </w:r>
      <w:r w:rsidR="005E61F2" w:rsidRPr="00DD65C2">
        <w:rPr>
          <w:rFonts w:ascii="Calibri" w:hAnsi="Calibri" w:cs="Calibri"/>
          <w:lang w:val="en-GB"/>
        </w:rPr>
        <w:t xml:space="preserve">, </w:t>
      </w:r>
      <w:r w:rsidR="00EF1FBE" w:rsidRPr="00DD65C2">
        <w:rPr>
          <w:rFonts w:ascii="Calibri" w:hAnsi="Calibri" w:cs="Calibri"/>
          <w:lang w:val="en-GB"/>
        </w:rPr>
        <w:t xml:space="preserve">despite </w:t>
      </w:r>
      <w:r w:rsidR="00B57883" w:rsidRPr="00DD65C2">
        <w:rPr>
          <w:rFonts w:ascii="Calibri" w:hAnsi="Calibri" w:cs="Calibri"/>
          <w:lang w:val="en-GB"/>
        </w:rPr>
        <w:t xml:space="preserve">extensive use by </w:t>
      </w:r>
      <w:r w:rsidR="00EF1FBE" w:rsidRPr="00DD65C2">
        <w:rPr>
          <w:rFonts w:ascii="Calibri" w:hAnsi="Calibri" w:cs="Calibri"/>
          <w:lang w:val="en-GB"/>
        </w:rPr>
        <w:t>its owner</w:t>
      </w:r>
      <w:r w:rsidR="005E61F2" w:rsidRPr="00DD65C2">
        <w:rPr>
          <w:rFonts w:ascii="Calibri" w:hAnsi="Calibri" w:cs="Calibri"/>
          <w:lang w:val="en-GB"/>
        </w:rPr>
        <w:t>.</w:t>
      </w:r>
      <w:r w:rsidR="00EF1FBE" w:rsidRPr="00DD65C2">
        <w:rPr>
          <w:rStyle w:val="FootnoteReference"/>
          <w:rFonts w:ascii="Calibri" w:hAnsi="Calibri" w:cs="Calibri"/>
        </w:rPr>
        <w:footnoteReference w:id="53"/>
      </w:r>
      <w:r w:rsidR="005E61F2" w:rsidRPr="00DD65C2">
        <w:rPr>
          <w:rFonts w:ascii="Calibri" w:hAnsi="Calibri" w:cs="Calibri"/>
          <w:lang w:val="en-GB"/>
        </w:rPr>
        <w:t xml:space="preserve"> However,</w:t>
      </w:r>
      <w:r w:rsidR="00EF1FBE" w:rsidRPr="00DD65C2">
        <w:rPr>
          <w:rFonts w:ascii="Calibri" w:hAnsi="Calibri" w:cs="Calibri"/>
          <w:lang w:val="en-GB"/>
        </w:rPr>
        <w:t xml:space="preserve"> the AP extract</w:t>
      </w:r>
      <w:r w:rsidR="005E61F2" w:rsidRPr="00DD65C2">
        <w:rPr>
          <w:rFonts w:ascii="Calibri" w:hAnsi="Calibri" w:cs="Calibri"/>
          <w:lang w:val="en-GB"/>
        </w:rPr>
        <w:t>ed</w:t>
      </w:r>
      <w:r w:rsidR="00EF1FBE" w:rsidRPr="00DD65C2">
        <w:rPr>
          <w:rFonts w:ascii="Calibri" w:hAnsi="Calibri" w:cs="Calibri"/>
          <w:lang w:val="en-GB"/>
        </w:rPr>
        <w:t xml:space="preserve"> </w:t>
      </w:r>
      <w:r w:rsidR="00DA5B76" w:rsidRPr="00DD65C2">
        <w:rPr>
          <w:rFonts w:ascii="Calibri" w:hAnsi="Calibri" w:cs="Calibri"/>
          <w:lang w:val="en-GB"/>
        </w:rPr>
        <w:t xml:space="preserve">a series of principles from </w:t>
      </w:r>
      <w:r w:rsidR="005E685D" w:rsidRPr="00DD65C2">
        <w:rPr>
          <w:rFonts w:ascii="Calibri" w:hAnsi="Calibri" w:cs="Calibri"/>
          <w:lang w:val="en-GB"/>
        </w:rPr>
        <w:t>the</w:t>
      </w:r>
      <w:r w:rsidR="00DA5B76" w:rsidRPr="00DD65C2">
        <w:rPr>
          <w:rFonts w:ascii="Calibri" w:hAnsi="Calibri" w:cs="Calibri"/>
          <w:lang w:val="en-GB"/>
        </w:rPr>
        <w:t xml:space="preserve"> </w:t>
      </w:r>
      <w:r w:rsidR="005E61F2" w:rsidRPr="00DD65C2">
        <w:rPr>
          <w:rFonts w:ascii="Calibri" w:hAnsi="Calibri" w:cs="Calibri"/>
          <w:lang w:val="en-GB"/>
        </w:rPr>
        <w:t xml:space="preserve">prior </w:t>
      </w:r>
      <w:r w:rsidR="00DA5B76" w:rsidRPr="00DD65C2">
        <w:rPr>
          <w:rFonts w:ascii="Calibri" w:hAnsi="Calibri" w:cs="Calibri"/>
          <w:lang w:val="en-GB"/>
        </w:rPr>
        <w:t xml:space="preserve">case law </w:t>
      </w:r>
      <w:r w:rsidR="005E685D" w:rsidRPr="00DD65C2">
        <w:rPr>
          <w:rFonts w:ascii="Calibri" w:hAnsi="Calibri" w:cs="Calibri"/>
          <w:lang w:val="en-GB"/>
        </w:rPr>
        <w:t>(</w:t>
      </w:r>
      <w:r w:rsidR="005E61F2" w:rsidRPr="00DD65C2">
        <w:rPr>
          <w:rFonts w:ascii="Calibri" w:hAnsi="Calibri" w:cs="Calibri"/>
          <w:lang w:val="en-GB"/>
        </w:rPr>
        <w:t>where</w:t>
      </w:r>
      <w:r w:rsidR="005E685D" w:rsidRPr="00DD65C2">
        <w:rPr>
          <w:rFonts w:ascii="Calibri" w:hAnsi="Calibri" w:cs="Calibri"/>
          <w:lang w:val="en-GB"/>
        </w:rPr>
        <w:t xml:space="preserve"> the </w:t>
      </w:r>
      <w:r w:rsidR="007565DC" w:rsidRPr="00DD65C2">
        <w:rPr>
          <w:rFonts w:ascii="Calibri" w:hAnsi="Calibri" w:cs="Calibri"/>
          <w:lang w:val="en-GB"/>
        </w:rPr>
        <w:t xml:space="preserve">UK </w:t>
      </w:r>
      <w:r w:rsidR="00E74CBB" w:rsidRPr="00DD65C2">
        <w:rPr>
          <w:rFonts w:ascii="Calibri" w:hAnsi="Calibri" w:cs="Calibri"/>
          <w:lang w:val="en-GB"/>
        </w:rPr>
        <w:t>AP</w:t>
      </w:r>
      <w:r w:rsidR="005E685D" w:rsidRPr="00DD65C2">
        <w:rPr>
          <w:rFonts w:ascii="Calibri" w:hAnsi="Calibri" w:cs="Calibri"/>
          <w:lang w:val="en-GB"/>
        </w:rPr>
        <w:t xml:space="preserve"> and the EUIPO</w:t>
      </w:r>
      <w:r w:rsidR="00321C08" w:rsidRPr="00DD65C2">
        <w:rPr>
          <w:rFonts w:ascii="Calibri" w:hAnsi="Calibri" w:cs="Calibri"/>
          <w:lang w:val="en-GB"/>
        </w:rPr>
        <w:t xml:space="preserve"> BoA</w:t>
      </w:r>
      <w:r w:rsidR="005E61F2" w:rsidRPr="00DD65C2">
        <w:rPr>
          <w:rFonts w:ascii="Calibri" w:hAnsi="Calibri" w:cs="Calibri"/>
          <w:lang w:val="en-GB"/>
        </w:rPr>
        <w:t xml:space="preserve"> had engaged in abstract assessment of morality</w:t>
      </w:r>
      <w:r w:rsidR="005E685D" w:rsidRPr="00DD65C2">
        <w:rPr>
          <w:rFonts w:ascii="Calibri" w:hAnsi="Calibri" w:cs="Calibri"/>
          <w:lang w:val="en-GB"/>
        </w:rPr>
        <w:t xml:space="preserve">) </w:t>
      </w:r>
      <w:r w:rsidR="00DA5B76" w:rsidRPr="00DD65C2">
        <w:rPr>
          <w:rFonts w:ascii="Calibri" w:hAnsi="Calibri" w:cs="Calibri"/>
          <w:lang w:val="en-GB"/>
        </w:rPr>
        <w:t xml:space="preserve">that </w:t>
      </w:r>
      <w:r w:rsidR="005E685D" w:rsidRPr="00DD65C2">
        <w:rPr>
          <w:rFonts w:ascii="Calibri" w:hAnsi="Calibri" w:cs="Calibri"/>
          <w:lang w:val="en-GB"/>
        </w:rPr>
        <w:t xml:space="preserve">ought to guide </w:t>
      </w:r>
      <w:r w:rsidR="001052D1" w:rsidRPr="00DD65C2">
        <w:rPr>
          <w:rFonts w:ascii="Calibri" w:hAnsi="Calibri" w:cs="Calibri"/>
          <w:lang w:val="en-GB"/>
        </w:rPr>
        <w:t>the</w:t>
      </w:r>
      <w:r w:rsidR="00DC24D6" w:rsidRPr="00DD65C2">
        <w:rPr>
          <w:rFonts w:ascii="Calibri" w:hAnsi="Calibri" w:cs="Calibri"/>
          <w:lang w:val="en-GB"/>
        </w:rPr>
        <w:t xml:space="preserve"> objective</w:t>
      </w:r>
      <w:r w:rsidR="005E685D" w:rsidRPr="00DD65C2">
        <w:rPr>
          <w:rFonts w:ascii="Calibri" w:hAnsi="Calibri" w:cs="Calibri"/>
          <w:lang w:val="en-GB"/>
        </w:rPr>
        <w:t xml:space="preserve"> interpretation of the morality exclusion</w:t>
      </w:r>
      <w:r w:rsidR="00EF1FBE" w:rsidRPr="00DD65C2">
        <w:rPr>
          <w:rFonts w:ascii="Calibri" w:hAnsi="Calibri" w:cs="Calibri"/>
          <w:lang w:val="en-GB"/>
        </w:rPr>
        <w:t>.</w:t>
      </w:r>
      <w:r w:rsidR="00EB54D8" w:rsidRPr="00DD65C2">
        <w:rPr>
          <w:rStyle w:val="FootnoteReference"/>
          <w:rFonts w:ascii="Calibri" w:hAnsi="Calibri" w:cs="Calibri"/>
        </w:rPr>
        <w:footnoteReference w:id="54"/>
      </w:r>
      <w:r w:rsidR="005E685D" w:rsidRPr="00DD65C2">
        <w:rPr>
          <w:rFonts w:ascii="Calibri" w:hAnsi="Calibri" w:cs="Calibri"/>
          <w:lang w:val="en-GB"/>
        </w:rPr>
        <w:t xml:space="preserve"> </w:t>
      </w:r>
      <w:r w:rsidR="001D5B9E" w:rsidRPr="00DD65C2">
        <w:rPr>
          <w:rFonts w:ascii="Calibri" w:hAnsi="Calibri" w:cs="Calibri"/>
          <w:lang w:val="en-GB"/>
        </w:rPr>
        <w:t>According to Arnold QC</w:t>
      </w:r>
      <w:r w:rsidR="005E685D" w:rsidRPr="00DD65C2">
        <w:rPr>
          <w:rFonts w:ascii="Calibri" w:hAnsi="Calibri" w:cs="Calibri"/>
          <w:lang w:val="en-GB"/>
        </w:rPr>
        <w:t xml:space="preserve">: </w:t>
      </w:r>
    </w:p>
    <w:p w14:paraId="0B074B5B" w14:textId="77777777" w:rsidR="0055304A" w:rsidRPr="00DD65C2" w:rsidRDefault="0055304A" w:rsidP="00504F94">
      <w:pPr>
        <w:jc w:val="both"/>
        <w:rPr>
          <w:rFonts w:ascii="Calibri" w:hAnsi="Calibri" w:cs="Calibri"/>
          <w:lang w:val="en-GB"/>
        </w:rPr>
      </w:pPr>
    </w:p>
    <w:p w14:paraId="27DD9868" w14:textId="50911CAF" w:rsidR="008E1790" w:rsidRPr="00DD65C2" w:rsidRDefault="008E1790" w:rsidP="00504F94">
      <w:pPr>
        <w:ind w:left="720"/>
        <w:jc w:val="both"/>
        <w:rPr>
          <w:rFonts w:ascii="Calibri" w:hAnsi="Calibri" w:cs="Calibri"/>
          <w:lang w:val="en-GB"/>
        </w:rPr>
      </w:pPr>
      <w:r w:rsidRPr="00DD65C2">
        <w:rPr>
          <w:rFonts w:ascii="Calibri" w:hAnsi="Calibri" w:cs="Calibri"/>
          <w:lang w:val="en-GB"/>
        </w:rPr>
        <w:t>For [the exclusion] to apply, there must be a generally accepted moral principle which use of the mark would plainly contravene</w:t>
      </w:r>
      <w:r w:rsidR="00E54EC5" w:rsidRPr="00DD65C2">
        <w:rPr>
          <w:rFonts w:ascii="Calibri" w:hAnsi="Calibri" w:cs="Calibri"/>
          <w:lang w:val="en-GB"/>
        </w:rPr>
        <w:t xml:space="preserve"> […]</w:t>
      </w:r>
      <w:r w:rsidRPr="00DD65C2">
        <w:rPr>
          <w:rFonts w:ascii="Calibri" w:hAnsi="Calibri" w:cs="Calibri"/>
          <w:lang w:val="en-GB"/>
        </w:rPr>
        <w:t>.</w:t>
      </w:r>
    </w:p>
    <w:p w14:paraId="782D92B4" w14:textId="6B0CCD72" w:rsidR="008E1790" w:rsidRPr="00DD65C2" w:rsidRDefault="008E1790" w:rsidP="00504F94">
      <w:pPr>
        <w:ind w:left="720"/>
        <w:jc w:val="both"/>
        <w:rPr>
          <w:rFonts w:ascii="Calibri" w:hAnsi="Calibri" w:cs="Calibri"/>
          <w:lang w:val="en-GB"/>
        </w:rPr>
      </w:pPr>
      <w:r w:rsidRPr="00DD65C2">
        <w:rPr>
          <w:rFonts w:ascii="Calibri" w:hAnsi="Calibri" w:cs="Calibri"/>
          <w:lang w:val="en-GB"/>
        </w:rPr>
        <w:t>Mere offence to a section of the public, in the sense that that section of the public would consider the mark distasteful, is not enough for [the exclusion] to apply</w:t>
      </w:r>
      <w:r w:rsidR="00E54EC5" w:rsidRPr="00DD65C2">
        <w:rPr>
          <w:rFonts w:ascii="Calibri" w:hAnsi="Calibri" w:cs="Calibri"/>
          <w:lang w:val="en-GB"/>
        </w:rPr>
        <w:t xml:space="preserve"> […]</w:t>
      </w:r>
      <w:r w:rsidRPr="00DD65C2">
        <w:rPr>
          <w:rFonts w:ascii="Calibri" w:hAnsi="Calibri" w:cs="Calibri"/>
          <w:lang w:val="en-GB"/>
        </w:rPr>
        <w:t>.</w:t>
      </w:r>
    </w:p>
    <w:p w14:paraId="38E1679C" w14:textId="77777777" w:rsidR="00E54EC5" w:rsidRPr="00DD65C2" w:rsidRDefault="008E1790" w:rsidP="00504F94">
      <w:pPr>
        <w:ind w:left="720"/>
        <w:jc w:val="both"/>
        <w:rPr>
          <w:rFonts w:ascii="Calibri" w:hAnsi="Calibri" w:cs="Calibri"/>
          <w:lang w:val="en-GB"/>
        </w:rPr>
      </w:pPr>
      <w:r w:rsidRPr="00DD65C2">
        <w:rPr>
          <w:rFonts w:ascii="Calibri" w:hAnsi="Calibri" w:cs="Calibri"/>
          <w:lang w:val="en-GB"/>
        </w:rPr>
        <w:t>[The exclusion] does apply if the use of the mark would justifiably cause outrage, or would be the subject of justifiable censure, amongst an identifiable section of the public as being likely significantly to undermine current religious, family or social values […]</w:t>
      </w:r>
      <w:r w:rsidR="00E54EC5" w:rsidRPr="00DD65C2">
        <w:rPr>
          <w:rFonts w:ascii="Calibri" w:hAnsi="Calibri" w:cs="Calibri"/>
          <w:lang w:val="en-GB"/>
        </w:rPr>
        <w:t xml:space="preserve">. </w:t>
      </w:r>
    </w:p>
    <w:p w14:paraId="1D47CD7F" w14:textId="7E12F8D8" w:rsidR="00AE2549" w:rsidRPr="00DD65C2" w:rsidRDefault="00E54EC5" w:rsidP="00504F94">
      <w:pPr>
        <w:ind w:left="720"/>
        <w:jc w:val="both"/>
        <w:rPr>
          <w:rFonts w:ascii="Calibri" w:hAnsi="Calibri" w:cs="Calibri"/>
          <w:lang w:val="en-GB"/>
        </w:rPr>
      </w:pPr>
      <w:r w:rsidRPr="00DD65C2">
        <w:rPr>
          <w:rFonts w:ascii="Calibri" w:hAnsi="Calibri" w:cs="Calibri"/>
          <w:lang w:val="en-GB"/>
        </w:rPr>
        <w:t>[…]</w:t>
      </w:r>
    </w:p>
    <w:p w14:paraId="531193EB" w14:textId="5461AE45" w:rsidR="008E1790" w:rsidRPr="00DD65C2" w:rsidRDefault="0055304A" w:rsidP="00504F94">
      <w:pPr>
        <w:ind w:left="720"/>
        <w:jc w:val="both"/>
        <w:rPr>
          <w:rFonts w:ascii="Calibri" w:hAnsi="Calibri" w:cs="Calibri"/>
          <w:lang w:val="en-GB"/>
        </w:rPr>
      </w:pPr>
      <w:r w:rsidRPr="00DD65C2">
        <w:rPr>
          <w:rFonts w:ascii="Calibri" w:hAnsi="Calibri" w:cs="Calibri"/>
          <w:lang w:val="en-GB"/>
        </w:rPr>
        <w:lastRenderedPageBreak/>
        <w:t>A mark which does not proclaim an opinion, or contain an incitement or convey an insult is less likely to be objectionable than one that does</w:t>
      </w:r>
      <w:r w:rsidR="00390832" w:rsidRPr="00DD65C2">
        <w:rPr>
          <w:rFonts w:ascii="Calibri" w:hAnsi="Calibri" w:cs="Calibri"/>
          <w:lang w:val="en-GB"/>
        </w:rPr>
        <w:t xml:space="preserve"> […]</w:t>
      </w:r>
      <w:r w:rsidRPr="00DD65C2">
        <w:rPr>
          <w:rFonts w:ascii="Calibri" w:hAnsi="Calibri" w:cs="Calibri"/>
          <w:lang w:val="en-GB"/>
        </w:rPr>
        <w:t>.</w:t>
      </w:r>
      <w:r w:rsidR="005E685D" w:rsidRPr="00DD65C2">
        <w:rPr>
          <w:rStyle w:val="FootnoteReference"/>
          <w:rFonts w:ascii="Calibri" w:hAnsi="Calibri" w:cs="Calibri"/>
        </w:rPr>
        <w:footnoteReference w:id="55"/>
      </w:r>
    </w:p>
    <w:p w14:paraId="7D955F16" w14:textId="666DD569" w:rsidR="008E1790" w:rsidRPr="00DD65C2" w:rsidRDefault="008E1790" w:rsidP="00504F94">
      <w:pPr>
        <w:jc w:val="both"/>
        <w:rPr>
          <w:rFonts w:ascii="Calibri" w:hAnsi="Calibri" w:cs="Calibri"/>
          <w:lang w:val="en-GB"/>
        </w:rPr>
      </w:pPr>
    </w:p>
    <w:p w14:paraId="3E306A2B" w14:textId="4456D73C" w:rsidR="009D2409" w:rsidRPr="00DD65C2" w:rsidRDefault="009819CE" w:rsidP="00504F94">
      <w:pPr>
        <w:jc w:val="both"/>
        <w:rPr>
          <w:rFonts w:ascii="Calibri" w:hAnsi="Calibri" w:cs="Calibri"/>
          <w:lang w:val="en-GB"/>
        </w:rPr>
      </w:pPr>
      <w:r w:rsidRPr="00DD65C2">
        <w:rPr>
          <w:rFonts w:ascii="Calibri" w:hAnsi="Calibri" w:cs="Calibri"/>
          <w:lang w:val="en-GB"/>
        </w:rPr>
        <w:t xml:space="preserve">In </w:t>
      </w:r>
      <w:r w:rsidR="00321C08" w:rsidRPr="00DD65C2">
        <w:rPr>
          <w:rFonts w:ascii="Calibri" w:hAnsi="Calibri" w:cs="Calibri"/>
          <w:i/>
          <w:iCs/>
          <w:lang w:val="en-GB"/>
        </w:rPr>
        <w:t>Jebaraj Kenneth</w:t>
      </w:r>
      <w:r w:rsidR="009364A6" w:rsidRPr="00DD65C2">
        <w:rPr>
          <w:rFonts w:ascii="Calibri" w:hAnsi="Calibri" w:cs="Calibri"/>
          <w:lang w:val="en-GB"/>
        </w:rPr>
        <w:t xml:space="preserve">, </w:t>
      </w:r>
      <w:r w:rsidR="008E6127" w:rsidRPr="00DD65C2">
        <w:rPr>
          <w:rFonts w:ascii="Calibri" w:hAnsi="Calibri" w:cs="Calibri"/>
          <w:lang w:val="en-GB"/>
        </w:rPr>
        <w:t xml:space="preserve">the EUIPO Grand </w:t>
      </w:r>
      <w:r w:rsidR="0009722C" w:rsidRPr="00DD65C2">
        <w:rPr>
          <w:rFonts w:ascii="Calibri" w:hAnsi="Calibri" w:cs="Calibri"/>
          <w:lang w:val="en-GB"/>
        </w:rPr>
        <w:t>BoA</w:t>
      </w:r>
      <w:r w:rsidR="008E6127" w:rsidRPr="00DD65C2">
        <w:rPr>
          <w:rFonts w:ascii="Calibri" w:hAnsi="Calibri" w:cs="Calibri"/>
          <w:lang w:val="en-GB"/>
        </w:rPr>
        <w:t xml:space="preserve"> partially upheld the refusal to grant registration of the sign ‘S</w:t>
      </w:r>
      <w:r w:rsidR="00DD65C2">
        <w:rPr>
          <w:rFonts w:ascii="Calibri" w:hAnsi="Calibri" w:cs="Calibri"/>
          <w:lang w:val="en-GB"/>
        </w:rPr>
        <w:t>crew You</w:t>
      </w:r>
      <w:r w:rsidR="008E6127" w:rsidRPr="00DD65C2">
        <w:rPr>
          <w:rFonts w:ascii="Calibri" w:hAnsi="Calibri" w:cs="Calibri"/>
          <w:lang w:val="en-GB"/>
        </w:rPr>
        <w:t xml:space="preserve">’ in relation to goods that are used by the general public, for it </w:t>
      </w:r>
      <w:r w:rsidR="006F40CD" w:rsidRPr="00DD65C2">
        <w:rPr>
          <w:rFonts w:ascii="Calibri" w:hAnsi="Calibri" w:cs="Calibri"/>
          <w:lang w:val="en-GB"/>
        </w:rPr>
        <w:t>‘</w:t>
      </w:r>
      <w:r w:rsidR="008E6127" w:rsidRPr="00DD65C2">
        <w:rPr>
          <w:rFonts w:ascii="Calibri" w:hAnsi="Calibri" w:cs="Calibri"/>
          <w:lang w:val="en-GB"/>
        </w:rPr>
        <w:t>would inevitably cause a significant section of that public to be upset and affronted</w:t>
      </w:r>
      <w:r w:rsidR="006F40CD" w:rsidRPr="00DD65C2">
        <w:rPr>
          <w:rFonts w:ascii="Calibri" w:hAnsi="Calibri" w:cs="Calibri"/>
          <w:lang w:val="en-GB"/>
        </w:rPr>
        <w:t>’</w:t>
      </w:r>
      <w:r w:rsidR="008E6127" w:rsidRPr="00DD65C2">
        <w:rPr>
          <w:rFonts w:ascii="Calibri" w:hAnsi="Calibri" w:cs="Calibri"/>
          <w:lang w:val="en-GB"/>
        </w:rPr>
        <w:t>.</w:t>
      </w:r>
      <w:r w:rsidR="00927BA1" w:rsidRPr="00DD65C2">
        <w:rPr>
          <w:rStyle w:val="FootnoteReference"/>
          <w:rFonts w:ascii="Calibri" w:hAnsi="Calibri" w:cs="Calibri"/>
        </w:rPr>
        <w:footnoteReference w:id="56"/>
      </w:r>
      <w:r w:rsidR="008E6127" w:rsidRPr="00DD65C2">
        <w:rPr>
          <w:rFonts w:ascii="Calibri" w:hAnsi="Calibri" w:cs="Calibri"/>
          <w:lang w:val="en-GB"/>
        </w:rPr>
        <w:t xml:space="preserve"> And partially overturned as regards goods that are sold in sex shops, where </w:t>
      </w:r>
      <w:r w:rsidR="006F40CD" w:rsidRPr="00DD65C2">
        <w:rPr>
          <w:rFonts w:ascii="Calibri" w:hAnsi="Calibri" w:cs="Calibri"/>
          <w:lang w:val="en-GB"/>
        </w:rPr>
        <w:t>‘</w:t>
      </w:r>
      <w:r w:rsidR="008E6127" w:rsidRPr="00DD65C2">
        <w:rPr>
          <w:rFonts w:ascii="Calibri" w:hAnsi="Calibri" w:cs="Calibri"/>
          <w:lang w:val="en-GB"/>
        </w:rPr>
        <w:t xml:space="preserve">the relevant consuming public is unlikely to be perturbed by the use of the </w:t>
      </w:r>
      <w:r w:rsidR="00927BA1" w:rsidRPr="00DD65C2">
        <w:rPr>
          <w:rFonts w:ascii="Calibri" w:hAnsi="Calibri" w:cs="Calibri"/>
          <w:lang w:val="en-GB"/>
        </w:rPr>
        <w:t xml:space="preserve">[applied-for] </w:t>
      </w:r>
      <w:r w:rsidR="008E6127" w:rsidRPr="00DD65C2">
        <w:rPr>
          <w:rFonts w:ascii="Calibri" w:hAnsi="Calibri" w:cs="Calibri"/>
          <w:lang w:val="en-GB"/>
        </w:rPr>
        <w:t>term</w:t>
      </w:r>
      <w:r w:rsidR="006F40CD" w:rsidRPr="00DD65C2">
        <w:rPr>
          <w:rFonts w:ascii="Calibri" w:hAnsi="Calibri" w:cs="Calibri"/>
          <w:lang w:val="en-GB"/>
        </w:rPr>
        <w:t>’</w:t>
      </w:r>
      <w:r w:rsidR="008E6127" w:rsidRPr="00DD65C2">
        <w:rPr>
          <w:rFonts w:ascii="Calibri" w:hAnsi="Calibri" w:cs="Calibri"/>
          <w:lang w:val="en-GB"/>
        </w:rPr>
        <w:t>.</w:t>
      </w:r>
      <w:r w:rsidR="00927BA1" w:rsidRPr="00DD65C2">
        <w:rPr>
          <w:rStyle w:val="FootnoteReference"/>
          <w:rFonts w:ascii="Calibri" w:hAnsi="Calibri" w:cs="Calibri"/>
        </w:rPr>
        <w:footnoteReference w:id="57"/>
      </w:r>
      <w:r w:rsidR="008E6127" w:rsidRPr="00DD65C2">
        <w:rPr>
          <w:rFonts w:ascii="Calibri" w:hAnsi="Calibri" w:cs="Calibri"/>
          <w:lang w:val="en-GB"/>
        </w:rPr>
        <w:t xml:space="preserve"> In reaching this decision, the </w:t>
      </w:r>
      <w:r w:rsidR="00E3227D" w:rsidRPr="00DD65C2">
        <w:rPr>
          <w:rFonts w:ascii="Calibri" w:hAnsi="Calibri" w:cs="Calibri"/>
          <w:lang w:val="en-GB"/>
        </w:rPr>
        <w:t>Grand BoA</w:t>
      </w:r>
      <w:r w:rsidR="008E6127" w:rsidRPr="00DD65C2">
        <w:rPr>
          <w:rFonts w:ascii="Calibri" w:hAnsi="Calibri" w:cs="Calibri"/>
          <w:lang w:val="en-GB"/>
        </w:rPr>
        <w:t xml:space="preserve"> </w:t>
      </w:r>
      <w:r w:rsidR="00540FDF" w:rsidRPr="00DD65C2">
        <w:rPr>
          <w:rFonts w:ascii="Calibri" w:hAnsi="Calibri" w:cs="Calibri"/>
          <w:lang w:val="en-GB"/>
        </w:rPr>
        <w:t>provided guidance on the interpretation of the exclusions</w:t>
      </w:r>
      <w:r w:rsidR="00243649" w:rsidRPr="00DD65C2">
        <w:rPr>
          <w:rFonts w:ascii="Calibri" w:hAnsi="Calibri" w:cs="Calibri"/>
          <w:lang w:val="en-GB"/>
        </w:rPr>
        <w:t xml:space="preserve"> by</w:t>
      </w:r>
      <w:r w:rsidR="003A60EB" w:rsidRPr="00DD65C2">
        <w:rPr>
          <w:rFonts w:ascii="Calibri" w:hAnsi="Calibri" w:cs="Calibri"/>
          <w:lang w:val="en-GB"/>
        </w:rPr>
        <w:t xml:space="preserve"> fram</w:t>
      </w:r>
      <w:r w:rsidR="00243649" w:rsidRPr="00DD65C2">
        <w:rPr>
          <w:rFonts w:ascii="Calibri" w:hAnsi="Calibri" w:cs="Calibri"/>
          <w:lang w:val="en-GB"/>
        </w:rPr>
        <w:t>ing</w:t>
      </w:r>
      <w:r w:rsidR="003A60EB" w:rsidRPr="00DD65C2">
        <w:rPr>
          <w:rFonts w:ascii="Calibri" w:hAnsi="Calibri" w:cs="Calibri"/>
          <w:lang w:val="en-GB"/>
        </w:rPr>
        <w:t xml:space="preserve"> the inquiry in less exacting terms, as the </w:t>
      </w:r>
      <w:r w:rsidR="006F40CD" w:rsidRPr="00DD65C2">
        <w:rPr>
          <w:rFonts w:ascii="Calibri" w:hAnsi="Calibri" w:cs="Calibri"/>
          <w:lang w:val="en-GB"/>
        </w:rPr>
        <w:t>‘</w:t>
      </w:r>
      <w:r w:rsidR="003A60EB" w:rsidRPr="00DD65C2">
        <w:rPr>
          <w:rFonts w:ascii="Calibri" w:hAnsi="Calibri" w:cs="Calibri"/>
          <w:lang w:val="en-GB"/>
        </w:rPr>
        <w:t xml:space="preserve">ascertain[ment of] when </w:t>
      </w:r>
      <w:r w:rsidR="005742D1" w:rsidRPr="00DD65C2">
        <w:rPr>
          <w:rFonts w:ascii="Calibri" w:hAnsi="Calibri" w:cs="Calibri"/>
          <w:lang w:val="en-GB"/>
        </w:rPr>
        <w:t>a sign crosses the boundary</w:t>
      </w:r>
      <w:r w:rsidR="003A60EB" w:rsidRPr="00DD65C2">
        <w:rPr>
          <w:rFonts w:ascii="Calibri" w:hAnsi="Calibri" w:cs="Calibri"/>
          <w:lang w:val="en-GB"/>
        </w:rPr>
        <w:t xml:space="preserve"> </w:t>
      </w:r>
      <w:r w:rsidR="005742D1" w:rsidRPr="00DD65C2">
        <w:rPr>
          <w:rFonts w:ascii="Calibri" w:hAnsi="Calibri" w:cs="Calibri"/>
          <w:lang w:val="en-GB"/>
        </w:rPr>
        <w:t>from being merely irreverent or distasteful to being seriously abusive and likely to cause deep offence</w:t>
      </w:r>
      <w:r w:rsidR="006F40CD" w:rsidRPr="00DD65C2">
        <w:rPr>
          <w:rFonts w:ascii="Calibri" w:hAnsi="Calibri" w:cs="Calibri"/>
          <w:lang w:val="en-GB"/>
        </w:rPr>
        <w:t>’</w:t>
      </w:r>
      <w:r w:rsidR="005742D1" w:rsidRPr="00DD65C2">
        <w:rPr>
          <w:rFonts w:ascii="Calibri" w:hAnsi="Calibri" w:cs="Calibri"/>
          <w:lang w:val="en-GB"/>
        </w:rPr>
        <w:t>.</w:t>
      </w:r>
      <w:r w:rsidR="005742D1" w:rsidRPr="00DD65C2">
        <w:rPr>
          <w:rStyle w:val="FootnoteReference"/>
          <w:rFonts w:ascii="Calibri" w:hAnsi="Calibri" w:cs="Calibri"/>
        </w:rPr>
        <w:footnoteReference w:id="58"/>
      </w:r>
      <w:r w:rsidR="005742D1" w:rsidRPr="00DD65C2">
        <w:rPr>
          <w:rFonts w:ascii="Calibri" w:hAnsi="Calibri" w:cs="Calibri"/>
          <w:lang w:val="en-GB"/>
        </w:rPr>
        <w:t xml:space="preserve"> </w:t>
      </w:r>
      <w:r w:rsidR="00A52015" w:rsidRPr="00DD65C2">
        <w:rPr>
          <w:rFonts w:ascii="Calibri" w:hAnsi="Calibri" w:cs="Calibri"/>
          <w:lang w:val="en-GB"/>
        </w:rPr>
        <w:t xml:space="preserve">To assist future </w:t>
      </w:r>
      <w:r w:rsidR="00CA4514" w:rsidRPr="00DD65C2">
        <w:rPr>
          <w:rFonts w:ascii="Calibri" w:hAnsi="Calibri" w:cs="Calibri"/>
          <w:lang w:val="en-GB"/>
        </w:rPr>
        <w:t>decision-maker</w:t>
      </w:r>
      <w:r w:rsidR="00A52015" w:rsidRPr="00DD65C2">
        <w:rPr>
          <w:rFonts w:ascii="Calibri" w:hAnsi="Calibri" w:cs="Calibri"/>
          <w:lang w:val="en-GB"/>
        </w:rPr>
        <w:t xml:space="preserve">s in this endeavour, the Grand Board </w:t>
      </w:r>
      <w:r w:rsidR="003A60EB" w:rsidRPr="00DD65C2">
        <w:rPr>
          <w:rFonts w:ascii="Calibri" w:hAnsi="Calibri" w:cs="Calibri"/>
          <w:lang w:val="en-GB"/>
        </w:rPr>
        <w:t xml:space="preserve">went on to </w:t>
      </w:r>
      <w:r w:rsidR="005742D1" w:rsidRPr="00DD65C2">
        <w:rPr>
          <w:rFonts w:ascii="Calibri" w:hAnsi="Calibri" w:cs="Calibri"/>
          <w:lang w:val="en-GB"/>
        </w:rPr>
        <w:t xml:space="preserve">explain that </w:t>
      </w:r>
      <w:r w:rsidR="006F40CD" w:rsidRPr="00DD65C2">
        <w:rPr>
          <w:rFonts w:ascii="Calibri" w:hAnsi="Calibri" w:cs="Calibri"/>
          <w:lang w:val="en-GB"/>
        </w:rPr>
        <w:t>‘</w:t>
      </w:r>
      <w:r w:rsidR="005742D1" w:rsidRPr="00DD65C2">
        <w:rPr>
          <w:rFonts w:ascii="Calibri" w:hAnsi="Calibri" w:cs="Calibri"/>
          <w:lang w:val="en-GB"/>
        </w:rPr>
        <w:t>[s]</w:t>
      </w:r>
      <w:r w:rsidR="00B41FBF" w:rsidRPr="00DD65C2">
        <w:rPr>
          <w:rFonts w:ascii="Calibri" w:hAnsi="Calibri" w:cs="Calibri"/>
          <w:lang w:val="en-GB"/>
        </w:rPr>
        <w:t>igns which contain slightly rude words or mild sexual innuendo might not be refused, but signs which contain manifestly profane language or depict gross obscenity have no place on the register</w:t>
      </w:r>
      <w:r w:rsidR="006F40CD" w:rsidRPr="00DD65C2">
        <w:rPr>
          <w:rFonts w:ascii="Calibri" w:hAnsi="Calibri" w:cs="Calibri"/>
          <w:lang w:val="en-GB"/>
        </w:rPr>
        <w:t>’</w:t>
      </w:r>
      <w:r w:rsidR="00B41FBF" w:rsidRPr="00DD65C2">
        <w:rPr>
          <w:rFonts w:ascii="Calibri" w:hAnsi="Calibri" w:cs="Calibri"/>
          <w:lang w:val="en-GB"/>
        </w:rPr>
        <w:t>.</w:t>
      </w:r>
      <w:r w:rsidR="005742D1" w:rsidRPr="00DD65C2">
        <w:rPr>
          <w:rStyle w:val="FootnoteReference"/>
          <w:rFonts w:ascii="Calibri" w:hAnsi="Calibri" w:cs="Calibri"/>
        </w:rPr>
        <w:footnoteReference w:id="59"/>
      </w:r>
    </w:p>
    <w:p w14:paraId="437B3447" w14:textId="3E3565A4" w:rsidR="00320D1C" w:rsidRPr="00DD65C2" w:rsidRDefault="00320D1C" w:rsidP="00504F94">
      <w:pPr>
        <w:jc w:val="both"/>
        <w:rPr>
          <w:rFonts w:ascii="Calibri" w:hAnsi="Calibri" w:cs="Calibri"/>
          <w:lang w:val="en-GB"/>
        </w:rPr>
      </w:pPr>
    </w:p>
    <w:p w14:paraId="783C90FB" w14:textId="688604EF" w:rsidR="00320D1C" w:rsidRPr="00DD65C2" w:rsidRDefault="008449A7" w:rsidP="00504F94">
      <w:pPr>
        <w:jc w:val="both"/>
        <w:rPr>
          <w:rFonts w:ascii="Calibri" w:hAnsi="Calibri" w:cs="Calibri"/>
          <w:lang w:val="en-GB"/>
        </w:rPr>
      </w:pPr>
      <w:r w:rsidRPr="00DD65C2">
        <w:rPr>
          <w:rFonts w:ascii="Calibri" w:hAnsi="Calibri" w:cs="Calibri"/>
          <w:lang w:val="en-GB"/>
        </w:rPr>
        <w:t>T</w:t>
      </w:r>
      <w:r w:rsidR="00320D1C" w:rsidRPr="00DD65C2">
        <w:rPr>
          <w:rFonts w:ascii="Calibri" w:hAnsi="Calibri" w:cs="Calibri"/>
          <w:lang w:val="en-GB"/>
        </w:rPr>
        <w:t xml:space="preserve">he </w:t>
      </w:r>
      <w:r w:rsidR="008367D5" w:rsidRPr="00DD65C2">
        <w:rPr>
          <w:rFonts w:ascii="Calibri" w:hAnsi="Calibri" w:cs="Calibri"/>
          <w:lang w:val="en-GB"/>
        </w:rPr>
        <w:t xml:space="preserve">recent </w:t>
      </w:r>
      <w:r w:rsidR="00320D1C" w:rsidRPr="00DD65C2">
        <w:rPr>
          <w:rFonts w:ascii="Calibri" w:hAnsi="Calibri" w:cs="Calibri"/>
          <w:lang w:val="en-GB"/>
        </w:rPr>
        <w:t xml:space="preserve">decision of the </w:t>
      </w:r>
      <w:r w:rsidR="00E3227D" w:rsidRPr="00DD65C2">
        <w:rPr>
          <w:rFonts w:ascii="Calibri" w:hAnsi="Calibri" w:cs="Calibri"/>
          <w:lang w:val="en-GB"/>
        </w:rPr>
        <w:t>CJEU</w:t>
      </w:r>
      <w:r w:rsidR="00320D1C" w:rsidRPr="00DD65C2">
        <w:rPr>
          <w:rFonts w:ascii="Calibri" w:hAnsi="Calibri" w:cs="Calibri"/>
          <w:lang w:val="en-GB"/>
        </w:rPr>
        <w:t xml:space="preserve"> in </w:t>
      </w:r>
      <w:r w:rsidR="00320D1C" w:rsidRPr="00DD65C2">
        <w:rPr>
          <w:rFonts w:ascii="Calibri" w:hAnsi="Calibri" w:cs="Calibri"/>
          <w:i/>
          <w:iCs/>
          <w:lang w:val="en-GB"/>
        </w:rPr>
        <w:t>Constantin Film Produktion</w:t>
      </w:r>
      <w:r w:rsidR="00320D1C" w:rsidRPr="00DD65C2">
        <w:rPr>
          <w:rFonts w:ascii="Calibri" w:hAnsi="Calibri" w:cs="Calibri"/>
          <w:lang w:val="en-GB"/>
        </w:rPr>
        <w:t xml:space="preserve"> </w:t>
      </w:r>
      <w:r w:rsidR="008367D5" w:rsidRPr="00DD65C2">
        <w:rPr>
          <w:rFonts w:ascii="Calibri" w:hAnsi="Calibri" w:cs="Calibri"/>
          <w:lang w:val="en-GB"/>
        </w:rPr>
        <w:t>has brought</w:t>
      </w:r>
      <w:r w:rsidR="00320D1C" w:rsidRPr="00DD65C2">
        <w:rPr>
          <w:rFonts w:ascii="Calibri" w:hAnsi="Calibri" w:cs="Calibri"/>
          <w:lang w:val="en-GB"/>
        </w:rPr>
        <w:t xml:space="preserve"> much to the table in terms of harmonising the</w:t>
      </w:r>
      <w:r w:rsidRPr="00DD65C2">
        <w:rPr>
          <w:rFonts w:ascii="Calibri" w:hAnsi="Calibri" w:cs="Calibri"/>
          <w:lang w:val="en-GB"/>
        </w:rPr>
        <w:t xml:space="preserve"> </w:t>
      </w:r>
      <w:r w:rsidR="00B414EB" w:rsidRPr="00DD65C2">
        <w:rPr>
          <w:rFonts w:ascii="Calibri" w:hAnsi="Calibri" w:cs="Calibri"/>
          <w:lang w:val="en-GB"/>
        </w:rPr>
        <w:t xml:space="preserve">applicable </w:t>
      </w:r>
      <w:r w:rsidR="00320D1C" w:rsidRPr="00DD65C2">
        <w:rPr>
          <w:rFonts w:ascii="Calibri" w:hAnsi="Calibri" w:cs="Calibri"/>
          <w:lang w:val="en-GB"/>
        </w:rPr>
        <w:t xml:space="preserve">legal test </w:t>
      </w:r>
      <w:r w:rsidR="00960336" w:rsidRPr="00DD65C2">
        <w:rPr>
          <w:rFonts w:ascii="Calibri" w:hAnsi="Calibri" w:cs="Calibri"/>
          <w:lang w:val="en-GB"/>
        </w:rPr>
        <w:t>to</w:t>
      </w:r>
      <w:r w:rsidRPr="00DD65C2">
        <w:rPr>
          <w:rFonts w:ascii="Calibri" w:hAnsi="Calibri" w:cs="Calibri"/>
          <w:lang w:val="en-GB"/>
        </w:rPr>
        <w:t xml:space="preserve"> </w:t>
      </w:r>
      <w:r w:rsidR="00320D1C" w:rsidRPr="00DD65C2">
        <w:rPr>
          <w:rFonts w:ascii="Calibri" w:hAnsi="Calibri" w:cs="Calibri"/>
          <w:lang w:val="en-GB"/>
        </w:rPr>
        <w:t xml:space="preserve">the morality exclusion. </w:t>
      </w:r>
      <w:r w:rsidRPr="00DD65C2">
        <w:rPr>
          <w:rFonts w:ascii="Calibri" w:hAnsi="Calibri" w:cs="Calibri"/>
          <w:lang w:val="en-GB"/>
        </w:rPr>
        <w:t>F</w:t>
      </w:r>
      <w:r w:rsidR="00320D1C" w:rsidRPr="00DD65C2">
        <w:rPr>
          <w:rFonts w:ascii="Calibri" w:hAnsi="Calibri" w:cs="Calibri"/>
          <w:lang w:val="en-GB"/>
        </w:rPr>
        <w:t>or</w:t>
      </w:r>
      <w:r w:rsidR="00DA217E" w:rsidRPr="00DD65C2">
        <w:rPr>
          <w:rFonts w:ascii="Calibri" w:hAnsi="Calibri" w:cs="Calibri"/>
          <w:lang w:val="en-GB"/>
        </w:rPr>
        <w:t xml:space="preserve"> </w:t>
      </w:r>
      <w:r w:rsidR="00AC5EB1" w:rsidRPr="00DD65C2">
        <w:rPr>
          <w:rFonts w:ascii="Calibri" w:hAnsi="Calibri" w:cs="Calibri"/>
          <w:lang w:val="en-GB"/>
        </w:rPr>
        <w:t xml:space="preserve">clarity </w:t>
      </w:r>
      <w:r w:rsidR="00730FC2" w:rsidRPr="00DD65C2">
        <w:rPr>
          <w:rFonts w:ascii="Calibri" w:hAnsi="Calibri" w:cs="Calibri"/>
          <w:lang w:val="en-GB"/>
        </w:rPr>
        <w:t>purposes</w:t>
      </w:r>
      <w:r w:rsidRPr="00DD65C2">
        <w:rPr>
          <w:rFonts w:ascii="Calibri" w:hAnsi="Calibri" w:cs="Calibri"/>
          <w:lang w:val="en-GB"/>
        </w:rPr>
        <w:t xml:space="preserve">, </w:t>
      </w:r>
      <w:r w:rsidR="0079134F" w:rsidRPr="00DD65C2">
        <w:rPr>
          <w:rFonts w:ascii="Calibri" w:hAnsi="Calibri" w:cs="Calibri"/>
          <w:lang w:val="en-GB"/>
        </w:rPr>
        <w:t xml:space="preserve">however, </w:t>
      </w:r>
      <w:r w:rsidR="00730FC2" w:rsidRPr="00DD65C2">
        <w:rPr>
          <w:rFonts w:ascii="Calibri" w:hAnsi="Calibri" w:cs="Calibri"/>
          <w:lang w:val="en-GB"/>
        </w:rPr>
        <w:t>th</w:t>
      </w:r>
      <w:r w:rsidRPr="00DD65C2">
        <w:rPr>
          <w:rFonts w:ascii="Calibri" w:hAnsi="Calibri" w:cs="Calibri"/>
          <w:lang w:val="en-GB"/>
        </w:rPr>
        <w:t>is</w:t>
      </w:r>
      <w:r w:rsidR="00730FC2" w:rsidRPr="00DD65C2">
        <w:rPr>
          <w:rFonts w:ascii="Calibri" w:hAnsi="Calibri" w:cs="Calibri"/>
          <w:lang w:val="en-GB"/>
        </w:rPr>
        <w:t xml:space="preserve"> test will be analysed in Section </w:t>
      </w:r>
      <w:r w:rsidR="00BC25AE" w:rsidRPr="00DD65C2">
        <w:rPr>
          <w:rFonts w:ascii="Calibri" w:hAnsi="Calibri" w:cs="Calibri"/>
          <w:lang w:val="en-GB"/>
        </w:rPr>
        <w:t>4</w:t>
      </w:r>
      <w:r w:rsidR="005F0E91" w:rsidRPr="00DD65C2">
        <w:rPr>
          <w:rFonts w:ascii="Calibri" w:hAnsi="Calibri" w:cs="Calibri"/>
          <w:lang w:val="en-GB"/>
        </w:rPr>
        <w:t>.3.</w:t>
      </w:r>
      <w:r w:rsidR="00B414EB" w:rsidRPr="00DD65C2">
        <w:rPr>
          <w:rFonts w:ascii="Calibri" w:hAnsi="Calibri" w:cs="Calibri"/>
          <w:lang w:val="en-GB"/>
        </w:rPr>
        <w:t xml:space="preserve"> below.</w:t>
      </w:r>
      <w:r w:rsidR="000F6C71" w:rsidRPr="00DD65C2">
        <w:rPr>
          <w:rFonts w:ascii="Calibri" w:hAnsi="Calibri" w:cs="Calibri"/>
          <w:lang w:val="en-GB"/>
        </w:rPr>
        <w:t xml:space="preserve"> </w:t>
      </w:r>
    </w:p>
    <w:p w14:paraId="7BCAA604" w14:textId="284FDE5E" w:rsidR="00346488" w:rsidRPr="00DD65C2" w:rsidRDefault="00346488" w:rsidP="00504F94">
      <w:pPr>
        <w:jc w:val="both"/>
        <w:rPr>
          <w:rFonts w:ascii="Calibri" w:hAnsi="Calibri" w:cs="Calibri"/>
          <w:lang w:val="en-GB"/>
        </w:rPr>
      </w:pPr>
    </w:p>
    <w:p w14:paraId="28E7C025" w14:textId="54E48952" w:rsidR="00393F84" w:rsidRPr="00DD65C2" w:rsidRDefault="00393F84" w:rsidP="003833A7">
      <w:pPr>
        <w:pStyle w:val="ListParagraph"/>
        <w:numPr>
          <w:ilvl w:val="0"/>
          <w:numId w:val="13"/>
        </w:numPr>
        <w:jc w:val="both"/>
        <w:rPr>
          <w:rFonts w:ascii="Calibri" w:hAnsi="Calibri" w:cs="Calibri"/>
          <w:b/>
          <w:bCs/>
        </w:rPr>
      </w:pPr>
      <w:r w:rsidRPr="00DD65C2">
        <w:rPr>
          <w:rFonts w:ascii="Calibri" w:hAnsi="Calibri" w:cs="Calibri"/>
          <w:b/>
          <w:bCs/>
        </w:rPr>
        <w:t xml:space="preserve">The </w:t>
      </w:r>
      <w:r w:rsidR="00390459" w:rsidRPr="00DD65C2">
        <w:rPr>
          <w:rFonts w:ascii="Calibri" w:hAnsi="Calibri" w:cs="Calibri"/>
          <w:b/>
          <w:bCs/>
        </w:rPr>
        <w:t>Inconsistent</w:t>
      </w:r>
      <w:r w:rsidRPr="00DD65C2">
        <w:rPr>
          <w:rFonts w:ascii="Calibri" w:hAnsi="Calibri" w:cs="Calibri"/>
          <w:b/>
          <w:bCs/>
        </w:rPr>
        <w:t xml:space="preserve"> Interpretation of the Public Policy and Morality Exclusions in Europe (I</w:t>
      </w:r>
      <w:r w:rsidR="00E230BF" w:rsidRPr="00DD65C2">
        <w:rPr>
          <w:rFonts w:ascii="Calibri" w:hAnsi="Calibri" w:cs="Calibri"/>
          <w:b/>
          <w:bCs/>
        </w:rPr>
        <w:t>I</w:t>
      </w:r>
      <w:r w:rsidRPr="00DD65C2">
        <w:rPr>
          <w:rFonts w:ascii="Calibri" w:hAnsi="Calibri" w:cs="Calibri"/>
          <w:b/>
          <w:bCs/>
        </w:rPr>
        <w:t>): The Interaction Between Trade Marks and</w:t>
      </w:r>
      <w:r w:rsidR="00A031FA" w:rsidRPr="00DD65C2">
        <w:rPr>
          <w:rFonts w:ascii="Calibri" w:hAnsi="Calibri" w:cs="Calibri"/>
          <w:b/>
          <w:bCs/>
        </w:rPr>
        <w:t xml:space="preserve"> Speech</w:t>
      </w:r>
    </w:p>
    <w:p w14:paraId="468C0C0B" w14:textId="77777777" w:rsidR="00E01174" w:rsidRPr="00DD65C2" w:rsidRDefault="00E01174" w:rsidP="00504F94">
      <w:pPr>
        <w:jc w:val="both"/>
        <w:rPr>
          <w:rFonts w:ascii="Calibri" w:hAnsi="Calibri" w:cs="Calibri"/>
          <w:lang w:val="en-GB"/>
        </w:rPr>
      </w:pPr>
    </w:p>
    <w:p w14:paraId="02F342B6" w14:textId="36502445" w:rsidR="009E7EE9" w:rsidRPr="00DD65C2" w:rsidRDefault="00E01174" w:rsidP="00504F94">
      <w:pPr>
        <w:jc w:val="both"/>
        <w:rPr>
          <w:rFonts w:ascii="Calibri" w:hAnsi="Calibri" w:cs="Calibri"/>
          <w:lang w:val="en-GB"/>
        </w:rPr>
      </w:pPr>
      <w:r w:rsidRPr="00DD65C2">
        <w:rPr>
          <w:rFonts w:ascii="Calibri" w:hAnsi="Calibri" w:cs="Calibri"/>
          <w:lang w:val="en-GB"/>
        </w:rPr>
        <w:t>T</w:t>
      </w:r>
      <w:r w:rsidR="00533B3E" w:rsidRPr="00DD65C2">
        <w:rPr>
          <w:rFonts w:ascii="Calibri" w:hAnsi="Calibri" w:cs="Calibri"/>
          <w:lang w:val="en-GB"/>
        </w:rPr>
        <w:t xml:space="preserve">here is much uncertainty as to </w:t>
      </w:r>
      <w:r w:rsidR="00985803" w:rsidRPr="00DD65C2">
        <w:rPr>
          <w:rFonts w:ascii="Calibri" w:hAnsi="Calibri" w:cs="Calibri"/>
          <w:lang w:val="en-GB"/>
        </w:rPr>
        <w:t xml:space="preserve">how the </w:t>
      </w:r>
      <w:r w:rsidR="00483F38" w:rsidRPr="00DD65C2">
        <w:rPr>
          <w:rFonts w:ascii="Calibri" w:hAnsi="Calibri" w:cs="Calibri"/>
          <w:lang w:val="en-GB"/>
        </w:rPr>
        <w:t xml:space="preserve">protection afforded by the </w:t>
      </w:r>
      <w:r w:rsidR="00985803" w:rsidRPr="00DD65C2">
        <w:rPr>
          <w:rFonts w:ascii="Calibri" w:hAnsi="Calibri" w:cs="Calibri"/>
          <w:lang w:val="en-GB"/>
        </w:rPr>
        <w:t xml:space="preserve">right to freedom of expression </w:t>
      </w:r>
      <w:r w:rsidR="00533B3E" w:rsidRPr="00DD65C2">
        <w:rPr>
          <w:rFonts w:ascii="Calibri" w:hAnsi="Calibri" w:cs="Calibri"/>
          <w:lang w:val="en-GB"/>
        </w:rPr>
        <w:t>under</w:t>
      </w:r>
      <w:r w:rsidR="00483F38" w:rsidRPr="00DD65C2">
        <w:rPr>
          <w:rFonts w:ascii="Calibri" w:hAnsi="Calibri" w:cs="Calibri"/>
          <w:lang w:val="en-GB"/>
        </w:rPr>
        <w:t xml:space="preserve"> Article 10 ECHR </w:t>
      </w:r>
      <w:r w:rsidR="00533B3E" w:rsidRPr="00DD65C2">
        <w:rPr>
          <w:rFonts w:ascii="Calibri" w:hAnsi="Calibri" w:cs="Calibri"/>
          <w:lang w:val="en-GB"/>
        </w:rPr>
        <w:t>ought to operate in</w:t>
      </w:r>
      <w:r w:rsidR="00FB67E7" w:rsidRPr="00DD65C2">
        <w:rPr>
          <w:rFonts w:ascii="Calibri" w:hAnsi="Calibri" w:cs="Calibri"/>
          <w:lang w:val="en-GB"/>
        </w:rPr>
        <w:t xml:space="preserve"> trade mark law, including in</w:t>
      </w:r>
      <w:r w:rsidR="00533B3E" w:rsidRPr="00DD65C2">
        <w:rPr>
          <w:rFonts w:ascii="Calibri" w:hAnsi="Calibri" w:cs="Calibri"/>
          <w:lang w:val="en-GB"/>
        </w:rPr>
        <w:t xml:space="preserve"> the registration context. </w:t>
      </w:r>
      <w:r w:rsidR="004C4A8D" w:rsidRPr="00DD65C2">
        <w:rPr>
          <w:rFonts w:ascii="Calibri" w:hAnsi="Calibri" w:cs="Calibri"/>
          <w:lang w:val="en-GB"/>
        </w:rPr>
        <w:t xml:space="preserve">Proper engagement with the case law in this area requires that we begin by </w:t>
      </w:r>
      <w:r w:rsidR="00B81CB3" w:rsidRPr="00DD65C2">
        <w:rPr>
          <w:rFonts w:ascii="Calibri" w:hAnsi="Calibri" w:cs="Calibri"/>
          <w:lang w:val="en-GB"/>
        </w:rPr>
        <w:t xml:space="preserve">introducing two topics on which we will be touching upon repeatedly in this article. First, we must provide some background on the fundamental right to freedom of expression enshrined in Article 10 ECHR, including its content and the scope of protection it affords </w:t>
      </w:r>
      <w:r w:rsidR="00F40A6B">
        <w:rPr>
          <w:rFonts w:ascii="Calibri" w:hAnsi="Calibri" w:cs="Calibri"/>
          <w:lang w:val="en-GB"/>
        </w:rPr>
        <w:t xml:space="preserve">to </w:t>
      </w:r>
      <w:r w:rsidR="00B81CB3" w:rsidRPr="00DD65C2">
        <w:rPr>
          <w:rFonts w:ascii="Calibri" w:hAnsi="Calibri" w:cs="Calibri"/>
          <w:lang w:val="en-GB"/>
        </w:rPr>
        <w:t>all individuals</w:t>
      </w:r>
      <w:r w:rsidR="009E7EE9" w:rsidRPr="00DD65C2">
        <w:rPr>
          <w:rFonts w:ascii="Calibri" w:hAnsi="Calibri" w:cs="Calibri"/>
          <w:lang w:val="en-GB"/>
        </w:rPr>
        <w:t xml:space="preserve"> under European law</w:t>
      </w:r>
      <w:r w:rsidR="00B81CB3" w:rsidRPr="00DD65C2">
        <w:rPr>
          <w:rFonts w:ascii="Calibri" w:hAnsi="Calibri" w:cs="Calibri"/>
          <w:lang w:val="en-GB"/>
        </w:rPr>
        <w:t xml:space="preserve">. </w:t>
      </w:r>
      <w:r w:rsidR="009E7EE9" w:rsidRPr="00DD65C2">
        <w:rPr>
          <w:rFonts w:ascii="Calibri" w:hAnsi="Calibri" w:cs="Calibri"/>
          <w:lang w:val="en-GB"/>
        </w:rPr>
        <w:t xml:space="preserve">And, second, understanding how speech protection can be implicated in the registration context requires having a working knowledge of the ways in which </w:t>
      </w:r>
      <w:r w:rsidR="00B50ECF" w:rsidRPr="00DD65C2">
        <w:rPr>
          <w:rFonts w:ascii="Calibri" w:hAnsi="Calibri" w:cs="Calibri"/>
          <w:lang w:val="en-GB"/>
        </w:rPr>
        <w:t xml:space="preserve">ownership of </w:t>
      </w:r>
      <w:r w:rsidR="009E7EE9" w:rsidRPr="00DD65C2">
        <w:rPr>
          <w:rFonts w:ascii="Calibri" w:hAnsi="Calibri" w:cs="Calibri"/>
          <w:lang w:val="en-GB"/>
        </w:rPr>
        <w:t>marks serve</w:t>
      </w:r>
      <w:r w:rsidR="00B50ECF" w:rsidRPr="00DD65C2">
        <w:rPr>
          <w:rFonts w:ascii="Calibri" w:hAnsi="Calibri" w:cs="Calibri"/>
          <w:lang w:val="en-GB"/>
        </w:rPr>
        <w:t>s</w:t>
      </w:r>
      <w:r w:rsidR="009E7EE9" w:rsidRPr="00DD65C2">
        <w:rPr>
          <w:rFonts w:ascii="Calibri" w:hAnsi="Calibri" w:cs="Calibri"/>
          <w:lang w:val="en-GB"/>
        </w:rPr>
        <w:t xml:space="preserve"> to further the expressive interests of </w:t>
      </w:r>
      <w:r w:rsidR="00FC32FF" w:rsidRPr="00DD65C2">
        <w:rPr>
          <w:rFonts w:ascii="Calibri" w:hAnsi="Calibri" w:cs="Calibri"/>
          <w:lang w:val="en-GB"/>
        </w:rPr>
        <w:t>right holders.</w:t>
      </w:r>
      <w:r w:rsidR="00FA7680" w:rsidRPr="00DD65C2">
        <w:rPr>
          <w:rFonts w:ascii="Calibri" w:hAnsi="Calibri" w:cs="Calibri"/>
          <w:lang w:val="en-GB"/>
        </w:rPr>
        <w:t xml:space="preserve"> </w:t>
      </w:r>
    </w:p>
    <w:p w14:paraId="5A358D80" w14:textId="77777777" w:rsidR="00B81CB3" w:rsidRPr="00DD65C2" w:rsidRDefault="00B81CB3" w:rsidP="00504F94">
      <w:pPr>
        <w:jc w:val="both"/>
        <w:rPr>
          <w:rFonts w:ascii="Calibri" w:hAnsi="Calibri" w:cs="Calibri"/>
          <w:lang w:val="en-GB"/>
        </w:rPr>
      </w:pPr>
    </w:p>
    <w:p w14:paraId="639DD5DC" w14:textId="5EC9211B" w:rsidR="00504F94" w:rsidRPr="00DD65C2" w:rsidRDefault="00D277B2" w:rsidP="003833A7">
      <w:pPr>
        <w:pStyle w:val="ListParagraph"/>
        <w:numPr>
          <w:ilvl w:val="1"/>
          <w:numId w:val="13"/>
        </w:numPr>
        <w:jc w:val="both"/>
        <w:rPr>
          <w:rFonts w:ascii="Calibri" w:hAnsi="Calibri" w:cs="Calibri"/>
          <w:b/>
          <w:bCs/>
        </w:rPr>
      </w:pPr>
      <w:r w:rsidRPr="00DD65C2">
        <w:rPr>
          <w:rFonts w:ascii="Calibri" w:hAnsi="Calibri" w:cs="Calibri"/>
          <w:b/>
          <w:bCs/>
        </w:rPr>
        <w:t>The Fundamental Right to Freedom of Expression</w:t>
      </w:r>
    </w:p>
    <w:p w14:paraId="5C433D2A" w14:textId="55AA4124" w:rsidR="00D277B2" w:rsidRPr="00DD65C2" w:rsidRDefault="00D277B2" w:rsidP="00D277B2">
      <w:pPr>
        <w:jc w:val="both"/>
        <w:rPr>
          <w:rFonts w:ascii="Calibri" w:hAnsi="Calibri" w:cs="Calibri"/>
          <w:lang w:val="en-GB"/>
        </w:rPr>
      </w:pPr>
    </w:p>
    <w:p w14:paraId="18E9DC57" w14:textId="35514578" w:rsidR="00D277B2" w:rsidRPr="00DD65C2" w:rsidRDefault="00D277B2" w:rsidP="00D277B2">
      <w:pPr>
        <w:jc w:val="both"/>
        <w:rPr>
          <w:rFonts w:ascii="Calibri" w:hAnsi="Calibri" w:cs="Calibri"/>
          <w:lang w:val="en-GB"/>
        </w:rPr>
      </w:pPr>
      <w:r w:rsidRPr="00DD65C2">
        <w:rPr>
          <w:rFonts w:ascii="Calibri" w:hAnsi="Calibri" w:cs="Calibri"/>
          <w:lang w:val="en-GB"/>
        </w:rPr>
        <w:t xml:space="preserve">The fundamental right to freedom of expression is enshrined in Article 10(1) ECHR. It provides as follows: ‘[e]veryone has the right to freedom of expression. This right shall include freedom to hold opinions and to receive and impart information and ideas without interference by public authority and regardless of frontiers.’ Freedom of expression lies at the very heart of democratic societies. It allows individuals to express </w:t>
      </w:r>
      <w:r w:rsidRPr="00DD65C2">
        <w:rPr>
          <w:rFonts w:ascii="Calibri" w:hAnsi="Calibri" w:cs="Calibri"/>
          <w:lang w:val="en-GB"/>
        </w:rPr>
        <w:lastRenderedPageBreak/>
        <w:t xml:space="preserve">their views and engage in debate without fear of censorship by the state or other individuals and, in so doing, allows societies to progress and flourish. Its prominent role in society explains why the ECtHR has interpreted this fundamental right widely. For instance, in </w:t>
      </w:r>
      <w:r w:rsidRPr="00DD65C2">
        <w:rPr>
          <w:rFonts w:ascii="Calibri" w:hAnsi="Calibri" w:cs="Calibri"/>
          <w:i/>
          <w:lang w:val="en-GB"/>
        </w:rPr>
        <w:t>Zana v Turkey</w:t>
      </w:r>
      <w:r w:rsidRPr="00DD65C2">
        <w:rPr>
          <w:rFonts w:ascii="Calibri" w:hAnsi="Calibri" w:cs="Calibri"/>
          <w:lang w:val="en-GB"/>
        </w:rPr>
        <w:t>, it held that:</w:t>
      </w:r>
    </w:p>
    <w:p w14:paraId="5EB6A329" w14:textId="77777777" w:rsidR="00D277B2" w:rsidRPr="00DD65C2" w:rsidRDefault="00D277B2" w:rsidP="00D277B2">
      <w:pPr>
        <w:jc w:val="both"/>
        <w:rPr>
          <w:rFonts w:ascii="Calibri" w:hAnsi="Calibri" w:cs="Calibri"/>
          <w:lang w:val="en-GB"/>
        </w:rPr>
      </w:pPr>
    </w:p>
    <w:p w14:paraId="1F9E4685" w14:textId="77777777" w:rsidR="00D277B2" w:rsidRPr="00DD65C2" w:rsidRDefault="00D277B2" w:rsidP="00D277B2">
      <w:pPr>
        <w:ind w:left="720"/>
        <w:jc w:val="both"/>
        <w:rPr>
          <w:rFonts w:ascii="Calibri" w:hAnsi="Calibri" w:cs="Calibri"/>
          <w:lang w:val="en-GB"/>
        </w:rPr>
      </w:pPr>
      <w:r w:rsidRPr="00DD65C2">
        <w:rPr>
          <w:rFonts w:ascii="Calibri" w:hAnsi="Calibri" w:cs="Calibri"/>
          <w:lang w:val="en-GB"/>
        </w:rPr>
        <w:t>Freedom of expression constitutes one of the essential foundations of a democratic society and one of the basic conditions for its progress and for each individual’s self-fulfilment. […] [I]t is applicable not only to ‘‘information’’ or ‘‘ideas’’ that are favourably received or regarded as inoffensive or as a matter of indifference, but also to those that offend, shock or disturb.</w:t>
      </w:r>
      <w:r w:rsidRPr="00DD65C2">
        <w:rPr>
          <w:rStyle w:val="FootnoteReference"/>
          <w:rFonts w:ascii="Calibri" w:hAnsi="Calibri" w:cs="Calibri"/>
        </w:rPr>
        <w:footnoteReference w:id="60"/>
      </w:r>
    </w:p>
    <w:p w14:paraId="7931C9F5" w14:textId="77777777" w:rsidR="00D277B2" w:rsidRPr="00DD65C2" w:rsidRDefault="00D277B2" w:rsidP="00D277B2">
      <w:pPr>
        <w:jc w:val="both"/>
        <w:rPr>
          <w:rFonts w:ascii="Calibri" w:hAnsi="Calibri" w:cs="Calibri"/>
          <w:lang w:val="en-GB"/>
        </w:rPr>
      </w:pPr>
    </w:p>
    <w:p w14:paraId="6BBAE4FB" w14:textId="52F11FFE" w:rsidR="007B2AD6" w:rsidRPr="00DD65C2" w:rsidRDefault="00D277B2" w:rsidP="00794C1D">
      <w:pPr>
        <w:jc w:val="both"/>
        <w:rPr>
          <w:rFonts w:ascii="Calibri" w:hAnsi="Calibri" w:cs="Calibri"/>
          <w:lang w:val="en-GB"/>
        </w:rPr>
      </w:pPr>
      <w:r w:rsidRPr="00DD65C2">
        <w:rPr>
          <w:rFonts w:ascii="Calibri" w:hAnsi="Calibri" w:cs="Calibri"/>
          <w:lang w:val="en-GB"/>
        </w:rPr>
        <w:t>Despite constituting the cornerstone of free societies, the right to freedom of speech is</w:t>
      </w:r>
      <w:r w:rsidR="00476E1A" w:rsidRPr="00DD65C2">
        <w:rPr>
          <w:rFonts w:ascii="Calibri" w:hAnsi="Calibri" w:cs="Calibri"/>
          <w:lang w:val="en-GB"/>
        </w:rPr>
        <w:t xml:space="preserve"> </w:t>
      </w:r>
      <w:r w:rsidRPr="00DD65C2">
        <w:rPr>
          <w:rFonts w:ascii="Calibri" w:hAnsi="Calibri" w:cs="Calibri"/>
          <w:lang w:val="en-GB"/>
        </w:rPr>
        <w:t>not without limits. Article 10(2) ECHR qualifies the scope of the right by providing that</w:t>
      </w:r>
      <w:r w:rsidR="00FC3371" w:rsidRPr="00DD65C2">
        <w:rPr>
          <w:rFonts w:ascii="Calibri" w:hAnsi="Calibri" w:cs="Calibri"/>
          <w:lang w:val="en-GB"/>
        </w:rPr>
        <w:t xml:space="preserve"> ‘[t]</w:t>
      </w:r>
      <w:r w:rsidRPr="00DD65C2">
        <w:rPr>
          <w:rFonts w:ascii="Calibri" w:hAnsi="Calibri" w:cs="Calibri"/>
          <w:lang w:val="en-GB"/>
        </w:rPr>
        <w:t>he exercise of these freedoms</w:t>
      </w:r>
      <w:r w:rsidR="00FC3371" w:rsidRPr="00DD65C2">
        <w:rPr>
          <w:rFonts w:ascii="Calibri" w:hAnsi="Calibri" w:cs="Calibri"/>
          <w:lang w:val="en-GB"/>
        </w:rPr>
        <w:t xml:space="preserve"> […]</w:t>
      </w:r>
      <w:r w:rsidRPr="00DD65C2">
        <w:rPr>
          <w:rFonts w:ascii="Calibri" w:hAnsi="Calibri" w:cs="Calibri"/>
          <w:lang w:val="en-GB"/>
        </w:rPr>
        <w:t xml:space="preserve"> may be subject to such </w:t>
      </w:r>
      <w:r w:rsidR="00FC3371" w:rsidRPr="00DD65C2">
        <w:rPr>
          <w:rFonts w:ascii="Calibri" w:hAnsi="Calibri" w:cs="Calibri"/>
          <w:lang w:val="en-GB"/>
        </w:rPr>
        <w:t>[…]</w:t>
      </w:r>
      <w:r w:rsidRPr="00DD65C2">
        <w:rPr>
          <w:rFonts w:ascii="Calibri" w:hAnsi="Calibri" w:cs="Calibri"/>
          <w:lang w:val="en-GB"/>
        </w:rPr>
        <w:t xml:space="preserve"> restrictions </w:t>
      </w:r>
      <w:r w:rsidR="00FC3371" w:rsidRPr="00DD65C2">
        <w:rPr>
          <w:rFonts w:ascii="Calibri" w:hAnsi="Calibri" w:cs="Calibri"/>
          <w:lang w:val="en-GB"/>
        </w:rPr>
        <w:t>[…]</w:t>
      </w:r>
      <w:r w:rsidRPr="00DD65C2">
        <w:rPr>
          <w:rFonts w:ascii="Calibri" w:hAnsi="Calibri" w:cs="Calibri"/>
          <w:lang w:val="en-GB"/>
        </w:rPr>
        <w:t xml:space="preserve"> as are prescribed by law and are necessary in a democratic society, </w:t>
      </w:r>
      <w:r w:rsidR="00FC3371" w:rsidRPr="00DD65C2">
        <w:rPr>
          <w:rFonts w:ascii="Calibri" w:hAnsi="Calibri" w:cs="Calibri"/>
          <w:lang w:val="en-GB"/>
        </w:rPr>
        <w:t>[…]</w:t>
      </w:r>
      <w:r w:rsidRPr="00DD65C2">
        <w:rPr>
          <w:rFonts w:ascii="Calibri" w:hAnsi="Calibri" w:cs="Calibri"/>
          <w:lang w:val="en-GB"/>
        </w:rPr>
        <w:t xml:space="preserve"> for the prevention of disorder or </w:t>
      </w:r>
      <w:r w:rsidR="00FC3371" w:rsidRPr="00DD65C2">
        <w:rPr>
          <w:rFonts w:ascii="Calibri" w:hAnsi="Calibri" w:cs="Calibri"/>
          <w:lang w:val="en-GB"/>
        </w:rPr>
        <w:t>[…]</w:t>
      </w:r>
      <w:r w:rsidRPr="00DD65C2">
        <w:rPr>
          <w:rFonts w:ascii="Calibri" w:hAnsi="Calibri" w:cs="Calibri"/>
          <w:lang w:val="en-GB"/>
        </w:rPr>
        <w:t xml:space="preserve"> for the protection of </w:t>
      </w:r>
      <w:r w:rsidR="00FC3371" w:rsidRPr="00DD65C2">
        <w:rPr>
          <w:rFonts w:ascii="Calibri" w:hAnsi="Calibri" w:cs="Calibri"/>
          <w:lang w:val="en-GB"/>
        </w:rPr>
        <w:t>[…]</w:t>
      </w:r>
      <w:r w:rsidRPr="00DD65C2">
        <w:rPr>
          <w:rFonts w:ascii="Calibri" w:hAnsi="Calibri" w:cs="Calibri"/>
          <w:lang w:val="en-GB"/>
        </w:rPr>
        <w:t xml:space="preserve"> morals</w:t>
      </w:r>
      <w:r w:rsidR="00FC3371" w:rsidRPr="00DD65C2">
        <w:rPr>
          <w:rFonts w:ascii="Calibri" w:hAnsi="Calibri" w:cs="Calibri"/>
          <w:lang w:val="en-GB"/>
        </w:rPr>
        <w:t>’</w:t>
      </w:r>
      <w:r w:rsidRPr="00DD65C2">
        <w:rPr>
          <w:rFonts w:ascii="Calibri" w:hAnsi="Calibri" w:cs="Calibri"/>
          <w:lang w:val="en-GB"/>
        </w:rPr>
        <w:t>.</w:t>
      </w:r>
      <w:r w:rsidR="00FC3371" w:rsidRPr="00DD65C2">
        <w:rPr>
          <w:rFonts w:ascii="Calibri" w:hAnsi="Calibri" w:cs="Calibri"/>
          <w:lang w:val="en-GB"/>
        </w:rPr>
        <w:t xml:space="preserve"> </w:t>
      </w:r>
      <w:r w:rsidR="00794C1D" w:rsidRPr="00DD65C2">
        <w:rPr>
          <w:rFonts w:ascii="Calibri" w:hAnsi="Calibri" w:cs="Calibri"/>
          <w:lang w:val="en-GB"/>
        </w:rPr>
        <w:t>Interference with the fundamental right to freedom of expression might thus be justified, provided that the following requirements are cumulatively met: (a) the measure must be prescribed by law; (b) the measure must pursue a legitimate aim; and (c) the measure must be ‘necessary’ in a democratic society, in the sense that the interference responds to a ‘pressing social need’, is accompanied by ‘relevant and sufficient reasons’</w:t>
      </w:r>
      <w:r w:rsidR="00476E1A" w:rsidRPr="00DD65C2">
        <w:rPr>
          <w:rFonts w:ascii="Calibri" w:hAnsi="Calibri" w:cs="Calibri"/>
          <w:lang w:val="en-GB"/>
        </w:rPr>
        <w:t>,</w:t>
      </w:r>
      <w:r w:rsidR="00794C1D" w:rsidRPr="00DD65C2">
        <w:rPr>
          <w:rFonts w:ascii="Calibri" w:hAnsi="Calibri" w:cs="Calibri"/>
          <w:lang w:val="en-GB"/>
        </w:rPr>
        <w:t xml:space="preserve"> and is ‘proportionate’.</w:t>
      </w:r>
      <w:r w:rsidR="00794C1D" w:rsidRPr="00DD65C2">
        <w:rPr>
          <w:rStyle w:val="FootnoteReference"/>
          <w:rFonts w:ascii="Calibri" w:hAnsi="Calibri" w:cs="Calibri"/>
        </w:rPr>
        <w:footnoteReference w:id="61"/>
      </w:r>
      <w:r w:rsidR="00794C1D" w:rsidRPr="00DD65C2">
        <w:rPr>
          <w:rFonts w:ascii="Calibri" w:hAnsi="Calibri" w:cs="Calibri"/>
          <w:lang w:val="en-GB"/>
        </w:rPr>
        <w:t xml:space="preserve"> </w:t>
      </w:r>
    </w:p>
    <w:p w14:paraId="2B76395E" w14:textId="77777777" w:rsidR="007B2AD6" w:rsidRPr="00DD65C2" w:rsidRDefault="007B2AD6" w:rsidP="00794C1D">
      <w:pPr>
        <w:jc w:val="both"/>
        <w:rPr>
          <w:rFonts w:ascii="Calibri" w:hAnsi="Calibri" w:cs="Calibri"/>
          <w:lang w:val="en-GB"/>
        </w:rPr>
      </w:pPr>
    </w:p>
    <w:p w14:paraId="5890655C" w14:textId="5BD9D0B5" w:rsidR="007B2AD6" w:rsidRPr="00DD65C2" w:rsidRDefault="00794C1D" w:rsidP="00794C1D">
      <w:pPr>
        <w:jc w:val="both"/>
        <w:rPr>
          <w:rFonts w:ascii="Calibri" w:hAnsi="Calibri" w:cs="Calibri"/>
          <w:lang w:val="en-GB"/>
        </w:rPr>
      </w:pPr>
      <w:r w:rsidRPr="00DD65C2">
        <w:rPr>
          <w:rFonts w:ascii="Calibri" w:hAnsi="Calibri" w:cs="Calibri"/>
          <w:lang w:val="en-GB"/>
        </w:rPr>
        <w:t xml:space="preserve">As regards the </w:t>
      </w:r>
      <w:r w:rsidR="00E51E1C" w:rsidRPr="00DD65C2">
        <w:rPr>
          <w:rFonts w:ascii="Calibri" w:hAnsi="Calibri" w:cs="Calibri"/>
          <w:lang w:val="en-GB"/>
        </w:rPr>
        <w:t xml:space="preserve">latter </w:t>
      </w:r>
      <w:r w:rsidRPr="00DD65C2">
        <w:rPr>
          <w:rFonts w:ascii="Calibri" w:hAnsi="Calibri" w:cs="Calibri"/>
          <w:lang w:val="en-GB"/>
        </w:rPr>
        <w:t xml:space="preserve">requirement </w:t>
      </w:r>
      <w:r w:rsidR="00E51E1C" w:rsidRPr="00DD65C2">
        <w:rPr>
          <w:rFonts w:ascii="Calibri" w:hAnsi="Calibri" w:cs="Calibri"/>
          <w:lang w:val="en-GB"/>
        </w:rPr>
        <w:t>(i.e. ‘necessity’)</w:t>
      </w:r>
      <w:r w:rsidRPr="00DD65C2">
        <w:rPr>
          <w:rFonts w:ascii="Calibri" w:hAnsi="Calibri" w:cs="Calibri"/>
          <w:lang w:val="en-GB"/>
        </w:rPr>
        <w:t>, a fundamental part of the inquiry revolve</w:t>
      </w:r>
      <w:r w:rsidR="00E9042E" w:rsidRPr="00DD65C2">
        <w:rPr>
          <w:rFonts w:ascii="Calibri" w:hAnsi="Calibri" w:cs="Calibri"/>
          <w:lang w:val="en-GB"/>
        </w:rPr>
        <w:t>s</w:t>
      </w:r>
      <w:r w:rsidRPr="00DD65C2">
        <w:rPr>
          <w:rFonts w:ascii="Calibri" w:hAnsi="Calibri" w:cs="Calibri"/>
          <w:lang w:val="en-GB"/>
        </w:rPr>
        <w:t xml:space="preserve"> around determination of the margin of appreciation to be afforded to the </w:t>
      </w:r>
      <w:r w:rsidR="00E9042E" w:rsidRPr="00DD65C2">
        <w:rPr>
          <w:rFonts w:ascii="Calibri" w:hAnsi="Calibri" w:cs="Calibri"/>
          <w:lang w:val="en-GB"/>
        </w:rPr>
        <w:t>public authority</w:t>
      </w:r>
      <w:r w:rsidRPr="00DD65C2">
        <w:rPr>
          <w:rFonts w:ascii="Calibri" w:hAnsi="Calibri" w:cs="Calibri"/>
          <w:lang w:val="en-GB"/>
        </w:rPr>
        <w:t>. This var</w:t>
      </w:r>
      <w:r w:rsidR="001013BE" w:rsidRPr="00DD65C2">
        <w:rPr>
          <w:rFonts w:ascii="Calibri" w:hAnsi="Calibri" w:cs="Calibri"/>
          <w:lang w:val="en-GB"/>
        </w:rPr>
        <w:t>ies</w:t>
      </w:r>
      <w:r w:rsidRPr="00DD65C2">
        <w:rPr>
          <w:rFonts w:ascii="Calibri" w:hAnsi="Calibri" w:cs="Calibri"/>
          <w:lang w:val="en-GB"/>
        </w:rPr>
        <w:t xml:space="preserve"> in accordance with the type of speech interfered with. Political and artistic expression, which are deemed to be of utmost importance for the proper functioning of a democratic society, are worthy of heightened protection and, thus, any interference will be strictly scrutinised. </w:t>
      </w:r>
      <w:r w:rsidR="001013BE" w:rsidRPr="00DD65C2">
        <w:rPr>
          <w:rFonts w:ascii="Calibri" w:hAnsi="Calibri" w:cs="Calibri"/>
          <w:lang w:val="en-GB"/>
        </w:rPr>
        <w:t>According to</w:t>
      </w:r>
      <w:r w:rsidRPr="00DD65C2">
        <w:rPr>
          <w:rFonts w:ascii="Calibri" w:hAnsi="Calibri" w:cs="Calibri"/>
          <w:lang w:val="en-GB"/>
        </w:rPr>
        <w:t xml:space="preserve"> the ECtHR, encroachments on political and artistic expression are ‘narrowly interpreted and the[ir] necessity […] must be convincingly established’.</w:t>
      </w:r>
      <w:r w:rsidRPr="00DD65C2">
        <w:rPr>
          <w:rStyle w:val="FootnoteReference"/>
          <w:rFonts w:ascii="Calibri" w:hAnsi="Calibri" w:cs="Calibri"/>
        </w:rPr>
        <w:footnoteReference w:id="62"/>
      </w:r>
      <w:r w:rsidRPr="00DD65C2">
        <w:rPr>
          <w:rFonts w:ascii="Calibri" w:hAnsi="Calibri" w:cs="Calibri"/>
          <w:lang w:val="en-GB"/>
        </w:rPr>
        <w:t xml:space="preserve"> At the other end of the spectrum lies commercial expression, which the ECtHR has held to be deserving of less protection</w:t>
      </w:r>
      <w:r w:rsidR="007B2AD6" w:rsidRPr="00DD65C2">
        <w:rPr>
          <w:rFonts w:ascii="Calibri" w:hAnsi="Calibri" w:cs="Calibri"/>
          <w:lang w:val="en-GB"/>
        </w:rPr>
        <w:t>. Under this category of expression, public authorities ‘have a broad margin of appreciation in the regulation of speech in commercial matters or advertising’.</w:t>
      </w:r>
      <w:r w:rsidR="007B2AD6" w:rsidRPr="00DD65C2">
        <w:rPr>
          <w:rStyle w:val="FootnoteReference"/>
          <w:rFonts w:ascii="Calibri" w:hAnsi="Calibri" w:cs="Calibri"/>
        </w:rPr>
        <w:footnoteReference w:id="63"/>
      </w:r>
      <w:r w:rsidR="007B2AD6" w:rsidRPr="00DD65C2">
        <w:rPr>
          <w:rFonts w:ascii="Calibri" w:hAnsi="Calibri" w:cs="Calibri"/>
          <w:lang w:val="en-GB"/>
        </w:rPr>
        <w:t xml:space="preserve"> </w:t>
      </w:r>
    </w:p>
    <w:p w14:paraId="697002C8" w14:textId="77777777" w:rsidR="007B2AD6" w:rsidRPr="00DD65C2" w:rsidRDefault="007B2AD6" w:rsidP="00794C1D">
      <w:pPr>
        <w:jc w:val="both"/>
        <w:rPr>
          <w:rFonts w:ascii="Calibri" w:hAnsi="Calibri" w:cs="Calibri"/>
          <w:lang w:val="en-GB"/>
        </w:rPr>
      </w:pPr>
    </w:p>
    <w:p w14:paraId="2E02020E" w14:textId="1C774EB8" w:rsidR="00937CE7" w:rsidRPr="00DD65C2" w:rsidRDefault="007B2AD6" w:rsidP="007B2AD6">
      <w:pPr>
        <w:jc w:val="both"/>
        <w:rPr>
          <w:rFonts w:ascii="Calibri" w:hAnsi="Calibri" w:cs="Calibri"/>
          <w:lang w:val="en-GB"/>
        </w:rPr>
      </w:pPr>
      <w:r w:rsidRPr="00DD65C2">
        <w:rPr>
          <w:rFonts w:ascii="Calibri" w:hAnsi="Calibri" w:cs="Calibri"/>
          <w:lang w:val="en-GB"/>
        </w:rPr>
        <w:t>Determination of the type of speech involved in trade mark use</w:t>
      </w:r>
      <w:r w:rsidR="00136629" w:rsidRPr="00DD65C2">
        <w:rPr>
          <w:rFonts w:ascii="Calibri" w:hAnsi="Calibri" w:cs="Calibri"/>
          <w:lang w:val="en-GB"/>
        </w:rPr>
        <w:t xml:space="preserve"> will</w:t>
      </w:r>
      <w:r w:rsidR="00D33435" w:rsidRPr="00DD65C2">
        <w:rPr>
          <w:rFonts w:ascii="Calibri" w:hAnsi="Calibri" w:cs="Calibri"/>
          <w:lang w:val="en-GB"/>
        </w:rPr>
        <w:t>,</w:t>
      </w:r>
      <w:r w:rsidRPr="00DD65C2">
        <w:rPr>
          <w:rFonts w:ascii="Calibri" w:hAnsi="Calibri" w:cs="Calibri"/>
          <w:lang w:val="en-GB"/>
        </w:rPr>
        <w:t xml:space="preserve"> thus</w:t>
      </w:r>
      <w:r w:rsidR="00D33435" w:rsidRPr="00DD65C2">
        <w:rPr>
          <w:rFonts w:ascii="Calibri" w:hAnsi="Calibri" w:cs="Calibri"/>
          <w:lang w:val="en-GB"/>
        </w:rPr>
        <w:t>,</w:t>
      </w:r>
      <w:r w:rsidRPr="00DD65C2">
        <w:rPr>
          <w:rFonts w:ascii="Calibri" w:hAnsi="Calibri" w:cs="Calibri"/>
          <w:lang w:val="en-GB"/>
        </w:rPr>
        <w:t xml:space="preserve"> </w:t>
      </w:r>
      <w:r w:rsidR="00136629" w:rsidRPr="00DD65C2">
        <w:rPr>
          <w:rFonts w:ascii="Calibri" w:hAnsi="Calibri" w:cs="Calibri"/>
          <w:lang w:val="en-GB"/>
        </w:rPr>
        <w:t xml:space="preserve">be </w:t>
      </w:r>
      <w:r w:rsidRPr="00DD65C2">
        <w:rPr>
          <w:rFonts w:ascii="Calibri" w:hAnsi="Calibri" w:cs="Calibri"/>
          <w:lang w:val="en-GB"/>
        </w:rPr>
        <w:t xml:space="preserve">of crucial importance </w:t>
      </w:r>
      <w:r w:rsidR="00136629" w:rsidRPr="00DD65C2">
        <w:rPr>
          <w:rFonts w:ascii="Calibri" w:hAnsi="Calibri" w:cs="Calibri"/>
          <w:lang w:val="en-GB"/>
        </w:rPr>
        <w:t xml:space="preserve">upon assessment of the compatibility of refusals of registration with </w:t>
      </w:r>
      <w:r w:rsidRPr="00DD65C2">
        <w:rPr>
          <w:rFonts w:ascii="Calibri" w:hAnsi="Calibri" w:cs="Calibri"/>
          <w:lang w:val="en-GB"/>
        </w:rPr>
        <w:t xml:space="preserve">Article </w:t>
      </w:r>
      <w:r w:rsidRPr="00DD65C2">
        <w:rPr>
          <w:rFonts w:ascii="Calibri" w:hAnsi="Calibri" w:cs="Calibri"/>
          <w:lang w:val="en-GB"/>
        </w:rPr>
        <w:lastRenderedPageBreak/>
        <w:t>10 ECHR. Speech of the type that is limited to proposing business transactions or promoting goods and services is often deemed to constitute commercial expression.</w:t>
      </w:r>
      <w:r w:rsidRPr="00DD65C2">
        <w:rPr>
          <w:rStyle w:val="FootnoteReference"/>
          <w:rFonts w:ascii="Calibri" w:hAnsi="Calibri" w:cs="Calibri"/>
        </w:rPr>
        <w:footnoteReference w:id="64"/>
      </w:r>
      <w:r w:rsidRPr="00DD65C2">
        <w:rPr>
          <w:rFonts w:ascii="Calibri" w:hAnsi="Calibri" w:cs="Calibri"/>
          <w:lang w:val="en-GB"/>
        </w:rPr>
        <w:t xml:space="preserve"> </w:t>
      </w:r>
      <w:r w:rsidR="00136629" w:rsidRPr="00DD65C2">
        <w:rPr>
          <w:rFonts w:ascii="Calibri" w:hAnsi="Calibri" w:cs="Calibri"/>
          <w:lang w:val="en-GB"/>
        </w:rPr>
        <w:t xml:space="preserve">As a result, most, if not all, conventional uses of trade marks will fall within commercial expression. I am referring to uses where the mark is signalling the origin, quality or other characteristics of goods or services, whether for purposes of informing or attracting consumers. </w:t>
      </w:r>
      <w:r w:rsidRPr="00DD65C2">
        <w:rPr>
          <w:rFonts w:ascii="Calibri" w:hAnsi="Calibri" w:cs="Calibri"/>
          <w:lang w:val="en-GB"/>
        </w:rPr>
        <w:t xml:space="preserve">This was precisely the finding of the ECtHR in </w:t>
      </w:r>
      <w:r w:rsidRPr="00DD65C2">
        <w:rPr>
          <w:rFonts w:ascii="Calibri" w:hAnsi="Calibri" w:cs="Calibri"/>
          <w:i/>
          <w:iCs/>
          <w:lang w:val="en-GB"/>
        </w:rPr>
        <w:t>Dor v Romania</w:t>
      </w:r>
      <w:r w:rsidRPr="00DD65C2">
        <w:rPr>
          <w:rFonts w:ascii="Calibri" w:hAnsi="Calibri" w:cs="Calibri"/>
          <w:lang w:val="en-GB"/>
        </w:rPr>
        <w:t xml:space="preserve">, a case involving the compatibility </w:t>
      </w:r>
      <w:r w:rsidR="009349AA" w:rsidRPr="00DD65C2">
        <w:rPr>
          <w:rFonts w:ascii="Calibri" w:hAnsi="Calibri" w:cs="Calibri"/>
          <w:lang w:val="en-GB"/>
        </w:rPr>
        <w:t xml:space="preserve">with freedom of expression of the refusal to register the </w:t>
      </w:r>
      <w:r w:rsidR="00136629" w:rsidRPr="00DD65C2">
        <w:rPr>
          <w:rFonts w:ascii="Calibri" w:hAnsi="Calibri" w:cs="Calibri"/>
          <w:lang w:val="en-GB"/>
        </w:rPr>
        <w:t>sign ‘C</w:t>
      </w:r>
      <w:r w:rsidR="00DD65C2">
        <w:rPr>
          <w:rFonts w:ascii="Calibri" w:hAnsi="Calibri" w:cs="Calibri"/>
          <w:lang w:val="en-GB"/>
        </w:rPr>
        <w:t>rucifix</w:t>
      </w:r>
      <w:r w:rsidR="00136629" w:rsidRPr="00DD65C2">
        <w:rPr>
          <w:rFonts w:ascii="Calibri" w:hAnsi="Calibri" w:cs="Calibri"/>
          <w:lang w:val="en-GB"/>
        </w:rPr>
        <w:t xml:space="preserve">’ on </w:t>
      </w:r>
      <w:r w:rsidR="009349AA" w:rsidRPr="00DD65C2">
        <w:rPr>
          <w:rFonts w:ascii="Calibri" w:hAnsi="Calibri" w:cs="Calibri"/>
          <w:lang w:val="en-GB"/>
        </w:rPr>
        <w:t>misleading grounds</w:t>
      </w:r>
      <w:r w:rsidRPr="00DD65C2">
        <w:rPr>
          <w:rFonts w:ascii="Calibri" w:hAnsi="Calibri" w:cs="Calibri"/>
          <w:lang w:val="en-GB"/>
        </w:rPr>
        <w:t>.</w:t>
      </w:r>
      <w:r w:rsidRPr="00DD65C2">
        <w:rPr>
          <w:rStyle w:val="FootnoteReference"/>
          <w:rFonts w:ascii="Calibri" w:hAnsi="Calibri" w:cs="Calibri"/>
        </w:rPr>
        <w:footnoteReference w:id="65"/>
      </w:r>
      <w:r w:rsidRPr="00DD65C2">
        <w:rPr>
          <w:rFonts w:ascii="Calibri" w:hAnsi="Calibri" w:cs="Calibri"/>
          <w:lang w:val="en-GB"/>
        </w:rPr>
        <w:t xml:space="preserve"> </w:t>
      </w:r>
      <w:r w:rsidR="009349AA" w:rsidRPr="00DD65C2">
        <w:rPr>
          <w:rFonts w:ascii="Calibri" w:hAnsi="Calibri" w:cs="Calibri"/>
          <w:lang w:val="en-GB"/>
        </w:rPr>
        <w:t>It is very telling of the commercial nature of trade mark use that the Court made no attempt to engage with the semantic content of the applied-for sign in order to determine the category of speech that was at play in this case. Instead, t</w:t>
      </w:r>
      <w:r w:rsidR="00136629" w:rsidRPr="00DD65C2">
        <w:rPr>
          <w:rFonts w:ascii="Calibri" w:hAnsi="Calibri" w:cs="Calibri"/>
          <w:lang w:val="en-GB"/>
        </w:rPr>
        <w:t>he Court’s conclusion that the sign amounted to commercial speech flow</w:t>
      </w:r>
      <w:r w:rsidR="009349AA" w:rsidRPr="00DD65C2">
        <w:rPr>
          <w:rFonts w:ascii="Calibri" w:hAnsi="Calibri" w:cs="Calibri"/>
          <w:lang w:val="en-GB"/>
        </w:rPr>
        <w:t>ed</w:t>
      </w:r>
      <w:r w:rsidR="00136629" w:rsidRPr="00DD65C2">
        <w:rPr>
          <w:rFonts w:ascii="Calibri" w:hAnsi="Calibri" w:cs="Calibri"/>
          <w:lang w:val="en-GB"/>
        </w:rPr>
        <w:t xml:space="preserve"> naturally from the finding that ‘the contested mark constituted an important element of the applicant’s advertising and commercial strategy.’</w:t>
      </w:r>
      <w:r w:rsidR="009349AA" w:rsidRPr="00DD65C2">
        <w:rPr>
          <w:rStyle w:val="FootnoteReference"/>
          <w:rFonts w:ascii="Calibri" w:hAnsi="Calibri" w:cs="Calibri"/>
        </w:rPr>
        <w:footnoteReference w:id="66"/>
      </w:r>
      <w:r w:rsidR="00336FDD" w:rsidRPr="00DD65C2">
        <w:rPr>
          <w:rFonts w:ascii="Calibri" w:hAnsi="Calibri" w:cs="Calibri"/>
          <w:lang w:val="en-GB"/>
        </w:rPr>
        <w:t xml:space="preserve"> </w:t>
      </w:r>
    </w:p>
    <w:p w14:paraId="3F615FBD" w14:textId="77777777" w:rsidR="00937CE7" w:rsidRPr="00DD65C2" w:rsidRDefault="00937CE7" w:rsidP="007B2AD6">
      <w:pPr>
        <w:jc w:val="both"/>
        <w:rPr>
          <w:rFonts w:ascii="Calibri" w:hAnsi="Calibri" w:cs="Calibri"/>
          <w:lang w:val="en-GB"/>
        </w:rPr>
      </w:pPr>
    </w:p>
    <w:p w14:paraId="23E00B7E" w14:textId="62BAA496" w:rsidR="00D463AA" w:rsidRPr="00DD65C2" w:rsidRDefault="00336FDD" w:rsidP="007B2AD6">
      <w:pPr>
        <w:jc w:val="both"/>
        <w:rPr>
          <w:rFonts w:ascii="Calibri" w:hAnsi="Calibri" w:cs="Calibri"/>
          <w:lang w:val="en-GB"/>
        </w:rPr>
      </w:pPr>
      <w:r w:rsidRPr="00DD65C2">
        <w:rPr>
          <w:rFonts w:ascii="Calibri" w:hAnsi="Calibri" w:cs="Calibri"/>
          <w:lang w:val="en-GB"/>
        </w:rPr>
        <w:t xml:space="preserve">It is worth wondering, in light of this precedent, whether there is any room under the Convention to argue that encroachments on freedom of expression involving trade marks can be deserving of reinforced protection as a form of mixed expression, i.e. when it simultaneously conveys a </w:t>
      </w:r>
      <w:r w:rsidR="009917DA" w:rsidRPr="00DD65C2">
        <w:rPr>
          <w:rFonts w:ascii="Calibri" w:hAnsi="Calibri" w:cs="Calibri"/>
          <w:lang w:val="en-GB"/>
        </w:rPr>
        <w:t xml:space="preserve">message of a </w:t>
      </w:r>
      <w:r w:rsidRPr="00DD65C2">
        <w:rPr>
          <w:rFonts w:ascii="Calibri" w:hAnsi="Calibri" w:cs="Calibri"/>
          <w:lang w:val="en-GB"/>
        </w:rPr>
        <w:t xml:space="preserve">commercial and </w:t>
      </w:r>
      <w:r w:rsidR="00FC3371" w:rsidRPr="00DD65C2">
        <w:rPr>
          <w:rFonts w:ascii="Calibri" w:hAnsi="Calibri" w:cs="Calibri"/>
          <w:lang w:val="en-GB"/>
        </w:rPr>
        <w:t xml:space="preserve">a </w:t>
      </w:r>
      <w:r w:rsidRPr="00DD65C2">
        <w:rPr>
          <w:rFonts w:ascii="Calibri" w:hAnsi="Calibri" w:cs="Calibri"/>
          <w:lang w:val="en-GB"/>
        </w:rPr>
        <w:t>political</w:t>
      </w:r>
      <w:r w:rsidR="00664D9C" w:rsidRPr="00DD65C2">
        <w:rPr>
          <w:rFonts w:ascii="Calibri" w:hAnsi="Calibri" w:cs="Calibri"/>
          <w:lang w:val="en-GB"/>
        </w:rPr>
        <w:t>/artistic</w:t>
      </w:r>
      <w:r w:rsidR="00881FD0" w:rsidRPr="00DD65C2">
        <w:rPr>
          <w:rFonts w:ascii="Calibri" w:hAnsi="Calibri" w:cs="Calibri"/>
          <w:lang w:val="en-GB"/>
        </w:rPr>
        <w:t xml:space="preserve"> </w:t>
      </w:r>
      <w:r w:rsidR="009917DA" w:rsidRPr="00DD65C2">
        <w:rPr>
          <w:rFonts w:ascii="Calibri" w:hAnsi="Calibri" w:cs="Calibri"/>
          <w:lang w:val="en-GB"/>
        </w:rPr>
        <w:t>nature</w:t>
      </w:r>
      <w:r w:rsidRPr="00DD65C2">
        <w:rPr>
          <w:rFonts w:ascii="Calibri" w:hAnsi="Calibri" w:cs="Calibri"/>
          <w:lang w:val="en-GB"/>
        </w:rPr>
        <w:t>.</w:t>
      </w:r>
      <w:r w:rsidR="00134B66" w:rsidRPr="00DD65C2">
        <w:rPr>
          <w:rStyle w:val="FootnoteReference"/>
          <w:rFonts w:ascii="Calibri" w:hAnsi="Calibri" w:cs="Calibri"/>
        </w:rPr>
        <w:footnoteReference w:id="67"/>
      </w:r>
      <w:r w:rsidRPr="00DD65C2">
        <w:rPr>
          <w:rFonts w:ascii="Calibri" w:hAnsi="Calibri" w:cs="Calibri"/>
          <w:lang w:val="en-GB"/>
        </w:rPr>
        <w:t xml:space="preserve"> </w:t>
      </w:r>
      <w:r w:rsidR="00D463AA" w:rsidRPr="00DD65C2">
        <w:rPr>
          <w:rFonts w:ascii="Calibri" w:hAnsi="Calibri" w:cs="Calibri"/>
          <w:lang w:val="en-GB"/>
        </w:rPr>
        <w:t xml:space="preserve">Although this </w:t>
      </w:r>
      <w:r w:rsidR="001D64CA" w:rsidRPr="00DD65C2">
        <w:rPr>
          <w:rFonts w:ascii="Calibri" w:hAnsi="Calibri" w:cs="Calibri"/>
          <w:lang w:val="en-GB"/>
        </w:rPr>
        <w:t>is admittedly</w:t>
      </w:r>
      <w:r w:rsidR="00D463AA" w:rsidRPr="00DD65C2">
        <w:rPr>
          <w:rFonts w:ascii="Calibri" w:hAnsi="Calibri" w:cs="Calibri"/>
          <w:lang w:val="en-GB"/>
        </w:rPr>
        <w:t xml:space="preserve"> a long shot judging from the very limited number of precedents to this effect in </w:t>
      </w:r>
      <w:r w:rsidR="00525138" w:rsidRPr="00DD65C2">
        <w:rPr>
          <w:rFonts w:ascii="Calibri" w:hAnsi="Calibri" w:cs="Calibri"/>
          <w:lang w:val="en-GB"/>
        </w:rPr>
        <w:t>Europe</w:t>
      </w:r>
      <w:r w:rsidR="00D463AA" w:rsidRPr="00DD65C2">
        <w:rPr>
          <w:rFonts w:ascii="Calibri" w:hAnsi="Calibri" w:cs="Calibri"/>
          <w:lang w:val="en-GB"/>
        </w:rPr>
        <w:t xml:space="preserve">, </w:t>
      </w:r>
      <w:r w:rsidR="002607D2" w:rsidRPr="00DD65C2">
        <w:rPr>
          <w:rFonts w:ascii="Calibri" w:hAnsi="Calibri" w:cs="Calibri"/>
          <w:lang w:val="en-GB"/>
        </w:rPr>
        <w:t xml:space="preserve">trade mark applicants looking to maximise their chances of success would do well to pursue this line of argument in future </w:t>
      </w:r>
      <w:r w:rsidR="00F13839" w:rsidRPr="00DD65C2">
        <w:rPr>
          <w:rFonts w:ascii="Calibri" w:hAnsi="Calibri" w:cs="Calibri"/>
          <w:lang w:val="en-GB"/>
        </w:rPr>
        <w:t>cases</w:t>
      </w:r>
      <w:r w:rsidR="00D463AA" w:rsidRPr="00DD65C2">
        <w:rPr>
          <w:rFonts w:ascii="Calibri" w:hAnsi="Calibri" w:cs="Calibri"/>
          <w:lang w:val="en-GB"/>
        </w:rPr>
        <w:t>.</w:t>
      </w:r>
      <w:r w:rsidR="00D463AA" w:rsidRPr="00DD65C2">
        <w:rPr>
          <w:rStyle w:val="FootnoteReference"/>
          <w:rFonts w:ascii="Calibri" w:hAnsi="Calibri" w:cs="Calibri"/>
        </w:rPr>
        <w:footnoteReference w:id="68"/>
      </w:r>
      <w:r w:rsidR="00D463AA" w:rsidRPr="00DD65C2">
        <w:rPr>
          <w:rFonts w:ascii="Calibri" w:hAnsi="Calibri" w:cs="Calibri"/>
          <w:lang w:val="en-GB"/>
        </w:rPr>
        <w:t xml:space="preserve"> After all, neither the ECtHR </w:t>
      </w:r>
      <w:r w:rsidR="001D64CA" w:rsidRPr="00DD65C2">
        <w:rPr>
          <w:rFonts w:ascii="Calibri" w:hAnsi="Calibri" w:cs="Calibri"/>
          <w:lang w:val="en-GB"/>
        </w:rPr>
        <w:t>n</w:t>
      </w:r>
      <w:r w:rsidR="00D463AA" w:rsidRPr="00DD65C2">
        <w:rPr>
          <w:rFonts w:ascii="Calibri" w:hAnsi="Calibri" w:cs="Calibri"/>
          <w:lang w:val="en-GB"/>
        </w:rPr>
        <w:t xml:space="preserve">or the CJEU have been asked to rule on </w:t>
      </w:r>
      <w:r w:rsidR="00FC3371" w:rsidRPr="00DD65C2">
        <w:rPr>
          <w:rFonts w:ascii="Calibri" w:hAnsi="Calibri" w:cs="Calibri"/>
          <w:lang w:val="en-GB"/>
        </w:rPr>
        <w:t>mixed expression</w:t>
      </w:r>
      <w:r w:rsidR="00D463AA" w:rsidRPr="00DD65C2">
        <w:rPr>
          <w:rFonts w:ascii="Calibri" w:hAnsi="Calibri" w:cs="Calibri"/>
          <w:lang w:val="en-GB"/>
        </w:rPr>
        <w:t xml:space="preserve"> in the trade mark context. </w:t>
      </w:r>
    </w:p>
    <w:p w14:paraId="38D2FF8D" w14:textId="77777777" w:rsidR="008C6A53" w:rsidRPr="00DD65C2" w:rsidRDefault="008C6A53" w:rsidP="00D277B2">
      <w:pPr>
        <w:jc w:val="both"/>
        <w:rPr>
          <w:rFonts w:ascii="Calibri" w:hAnsi="Calibri" w:cs="Calibri"/>
          <w:lang w:val="en-GB"/>
        </w:rPr>
      </w:pPr>
    </w:p>
    <w:p w14:paraId="6E0A8291" w14:textId="4EC3CA70" w:rsidR="00184FC6" w:rsidRPr="00DD65C2" w:rsidRDefault="005B52B0" w:rsidP="003833A7">
      <w:pPr>
        <w:pStyle w:val="ListParagraph"/>
        <w:numPr>
          <w:ilvl w:val="1"/>
          <w:numId w:val="13"/>
        </w:numPr>
        <w:jc w:val="both"/>
        <w:rPr>
          <w:rFonts w:ascii="Calibri" w:hAnsi="Calibri" w:cs="Calibri"/>
          <w:b/>
        </w:rPr>
      </w:pPr>
      <w:r w:rsidRPr="00DD65C2">
        <w:rPr>
          <w:rFonts w:ascii="Calibri" w:hAnsi="Calibri" w:cs="Calibri"/>
          <w:b/>
        </w:rPr>
        <w:t xml:space="preserve">How Refusals of Registration Interfere </w:t>
      </w:r>
      <w:r w:rsidR="00E615AF" w:rsidRPr="00DD65C2">
        <w:rPr>
          <w:rFonts w:ascii="Calibri" w:hAnsi="Calibri" w:cs="Calibri"/>
          <w:b/>
        </w:rPr>
        <w:t>w</w:t>
      </w:r>
      <w:r w:rsidRPr="00DD65C2">
        <w:rPr>
          <w:rFonts w:ascii="Calibri" w:hAnsi="Calibri" w:cs="Calibri"/>
          <w:b/>
        </w:rPr>
        <w:t xml:space="preserve">ith </w:t>
      </w:r>
      <w:r w:rsidR="00E615AF" w:rsidRPr="00DD65C2">
        <w:rPr>
          <w:rFonts w:ascii="Calibri" w:hAnsi="Calibri" w:cs="Calibri"/>
          <w:b/>
        </w:rPr>
        <w:t>the</w:t>
      </w:r>
      <w:r w:rsidRPr="00DD65C2">
        <w:rPr>
          <w:rFonts w:ascii="Calibri" w:hAnsi="Calibri" w:cs="Calibri"/>
          <w:b/>
        </w:rPr>
        <w:t xml:space="preserve"> Expressive Interests</w:t>
      </w:r>
      <w:r w:rsidR="00E615AF" w:rsidRPr="00DD65C2">
        <w:rPr>
          <w:rFonts w:ascii="Calibri" w:hAnsi="Calibri" w:cs="Calibri"/>
          <w:b/>
        </w:rPr>
        <w:t xml:space="preserve"> of Trade Mark Applicants</w:t>
      </w:r>
    </w:p>
    <w:p w14:paraId="243FD8A2" w14:textId="77777777" w:rsidR="00184FC6" w:rsidRPr="00DD65C2" w:rsidRDefault="00184FC6" w:rsidP="00184FC6">
      <w:pPr>
        <w:jc w:val="both"/>
        <w:outlineLvl w:val="0"/>
        <w:rPr>
          <w:rFonts w:ascii="Calibri" w:hAnsi="Calibri" w:cs="Calibri"/>
          <w:lang w:val="en-GB"/>
        </w:rPr>
      </w:pPr>
    </w:p>
    <w:p w14:paraId="72109F89" w14:textId="6905EEE4" w:rsidR="008C6A53" w:rsidRPr="00DD65C2" w:rsidRDefault="000A7BDE" w:rsidP="00184FC6">
      <w:pPr>
        <w:jc w:val="both"/>
        <w:outlineLvl w:val="0"/>
        <w:rPr>
          <w:rFonts w:ascii="Calibri" w:hAnsi="Calibri" w:cs="Calibri"/>
          <w:bCs/>
          <w:lang w:val="en-GB"/>
        </w:rPr>
      </w:pPr>
      <w:r w:rsidRPr="00DD65C2">
        <w:rPr>
          <w:rFonts w:ascii="Calibri" w:hAnsi="Calibri" w:cs="Calibri"/>
          <w:lang w:val="en-GB"/>
        </w:rPr>
        <w:t>T</w:t>
      </w:r>
      <w:r w:rsidR="009A7853" w:rsidRPr="00DD65C2">
        <w:rPr>
          <w:rFonts w:ascii="Calibri" w:hAnsi="Calibri" w:cs="Calibri"/>
          <w:lang w:val="en-GB"/>
        </w:rPr>
        <w:t>he EUTMR</w:t>
      </w:r>
      <w:r w:rsidR="008E2BD2" w:rsidRPr="00DD65C2">
        <w:rPr>
          <w:rFonts w:ascii="Calibri" w:hAnsi="Calibri" w:cs="Calibri"/>
          <w:lang w:val="en-GB"/>
        </w:rPr>
        <w:t xml:space="preserve"> and TMD</w:t>
      </w:r>
      <w:r w:rsidR="009A7853" w:rsidRPr="00DD65C2">
        <w:rPr>
          <w:rFonts w:ascii="Calibri" w:hAnsi="Calibri" w:cs="Calibri"/>
          <w:lang w:val="en-GB"/>
        </w:rPr>
        <w:t xml:space="preserve"> define trade marks as ‘</w:t>
      </w:r>
      <w:r w:rsidR="009A7853" w:rsidRPr="00DD65C2">
        <w:rPr>
          <w:rFonts w:ascii="Calibri" w:hAnsi="Calibri" w:cs="Calibri"/>
          <w:bCs/>
          <w:lang w:val="en-GB"/>
        </w:rPr>
        <w:t xml:space="preserve">any </w:t>
      </w:r>
      <w:r w:rsidR="009A7853" w:rsidRPr="00DD65C2">
        <w:rPr>
          <w:rFonts w:ascii="Calibri" w:hAnsi="Calibri" w:cs="Calibri"/>
          <w:bCs/>
          <w:i/>
          <w:iCs/>
          <w:lang w:val="en-GB"/>
        </w:rPr>
        <w:t>signs</w:t>
      </w:r>
      <w:r w:rsidR="009A7853" w:rsidRPr="00DD65C2">
        <w:rPr>
          <w:rFonts w:ascii="Calibri" w:hAnsi="Calibri" w:cs="Calibri"/>
          <w:bCs/>
          <w:lang w:val="en-GB"/>
        </w:rPr>
        <w:t xml:space="preserve"> […] that […] are capable of […] distinguishing the goods or services of one undertaking from those of other undertakings’.</w:t>
      </w:r>
      <w:r w:rsidR="009A7853" w:rsidRPr="00DD65C2">
        <w:rPr>
          <w:rStyle w:val="FootnoteReference"/>
          <w:rFonts w:ascii="Calibri" w:hAnsi="Calibri" w:cs="Calibri"/>
        </w:rPr>
        <w:footnoteReference w:id="69"/>
      </w:r>
      <w:r w:rsidR="009A7853" w:rsidRPr="00DD65C2">
        <w:rPr>
          <w:rFonts w:ascii="Calibri" w:hAnsi="Calibri" w:cs="Calibri"/>
          <w:bCs/>
          <w:lang w:val="en-GB"/>
        </w:rPr>
        <w:t xml:space="preserve"> At their core, therefore, trade marks are signs</w:t>
      </w:r>
      <w:r w:rsidR="0022393F" w:rsidRPr="00DD65C2">
        <w:rPr>
          <w:rFonts w:ascii="Calibri" w:hAnsi="Calibri" w:cs="Calibri"/>
          <w:bCs/>
          <w:lang w:val="en-GB"/>
        </w:rPr>
        <w:t>.</w:t>
      </w:r>
      <w:r w:rsidR="008C6A53" w:rsidRPr="00DD65C2">
        <w:rPr>
          <w:rFonts w:ascii="Calibri" w:hAnsi="Calibri" w:cs="Calibri"/>
          <w:bCs/>
          <w:lang w:val="en-GB"/>
        </w:rPr>
        <w:t xml:space="preserve"> </w:t>
      </w:r>
      <w:r w:rsidR="006C4EEE" w:rsidRPr="00DD65C2">
        <w:rPr>
          <w:rFonts w:ascii="Calibri" w:hAnsi="Calibri" w:cs="Calibri"/>
          <w:bCs/>
          <w:lang w:val="en-GB"/>
        </w:rPr>
        <w:t>Signs, in turn, are u</w:t>
      </w:r>
      <w:r w:rsidRPr="00DD65C2">
        <w:rPr>
          <w:rFonts w:ascii="Calibri" w:hAnsi="Calibri" w:cs="Calibri"/>
          <w:bCs/>
          <w:lang w:val="en-GB"/>
        </w:rPr>
        <w:t>nits of language</w:t>
      </w:r>
      <w:r w:rsidR="008C6A53" w:rsidRPr="00DD65C2">
        <w:rPr>
          <w:rFonts w:ascii="Calibri" w:hAnsi="Calibri" w:cs="Calibri"/>
          <w:bCs/>
          <w:lang w:val="en-GB"/>
        </w:rPr>
        <w:t xml:space="preserve"> that </w:t>
      </w:r>
      <w:r w:rsidRPr="00DD65C2">
        <w:rPr>
          <w:rFonts w:ascii="Calibri" w:hAnsi="Calibri" w:cs="Calibri"/>
          <w:bCs/>
          <w:lang w:val="en-GB"/>
        </w:rPr>
        <w:t xml:space="preserve">convey information and, through their use, enable communication between two or more people. </w:t>
      </w:r>
      <w:r w:rsidR="008C6A53" w:rsidRPr="00DD65C2">
        <w:rPr>
          <w:rFonts w:ascii="Calibri" w:hAnsi="Calibri" w:cs="Calibri"/>
          <w:bCs/>
          <w:lang w:val="en-GB"/>
        </w:rPr>
        <w:t xml:space="preserve">The words that I am writing right now are signs; signs imbued with meaning that allow me to communicate with you, the reader. The same is true of </w:t>
      </w:r>
      <w:r w:rsidR="00476E1A" w:rsidRPr="00DD65C2">
        <w:rPr>
          <w:rFonts w:ascii="Calibri" w:hAnsi="Calibri" w:cs="Calibri"/>
          <w:bCs/>
          <w:lang w:val="en-GB"/>
        </w:rPr>
        <w:t xml:space="preserve">trade </w:t>
      </w:r>
      <w:r w:rsidR="008C6A53" w:rsidRPr="00DD65C2">
        <w:rPr>
          <w:rFonts w:ascii="Calibri" w:hAnsi="Calibri" w:cs="Calibri"/>
          <w:bCs/>
          <w:lang w:val="en-GB"/>
        </w:rPr>
        <w:t xml:space="preserve">marks: they convey information and, through their use, enable communication in the marketplace and even in society at large. </w:t>
      </w:r>
    </w:p>
    <w:p w14:paraId="649DD26E" w14:textId="77777777" w:rsidR="008C6A53" w:rsidRPr="00DD65C2" w:rsidRDefault="008C6A53" w:rsidP="00184FC6">
      <w:pPr>
        <w:jc w:val="both"/>
        <w:outlineLvl w:val="0"/>
        <w:rPr>
          <w:rFonts w:ascii="Calibri" w:hAnsi="Calibri" w:cs="Calibri"/>
          <w:bCs/>
          <w:lang w:val="en-GB"/>
        </w:rPr>
      </w:pPr>
    </w:p>
    <w:p w14:paraId="4313BCFB" w14:textId="4DD82A75" w:rsidR="00BA5B4A" w:rsidRPr="00DD65C2" w:rsidRDefault="009A7853" w:rsidP="00A30DEA">
      <w:pPr>
        <w:jc w:val="both"/>
        <w:outlineLvl w:val="0"/>
        <w:rPr>
          <w:rFonts w:ascii="Calibri" w:hAnsi="Calibri" w:cs="Calibri"/>
          <w:bCs/>
          <w:lang w:val="en-GB"/>
        </w:rPr>
      </w:pPr>
      <w:r w:rsidRPr="00DD65C2">
        <w:rPr>
          <w:rFonts w:ascii="Calibri" w:hAnsi="Calibri" w:cs="Calibri"/>
          <w:bCs/>
          <w:lang w:val="en-GB"/>
        </w:rPr>
        <w:t>The fundamental information conveyed by a mark is</w:t>
      </w:r>
      <w:r w:rsidR="000A7BDE" w:rsidRPr="00DD65C2">
        <w:rPr>
          <w:rFonts w:ascii="Calibri" w:hAnsi="Calibri" w:cs="Calibri"/>
          <w:bCs/>
          <w:lang w:val="en-GB"/>
        </w:rPr>
        <w:t xml:space="preserve">, naturally, the commercial origin of </w:t>
      </w:r>
      <w:r w:rsidR="008C6A53" w:rsidRPr="00DD65C2">
        <w:rPr>
          <w:rFonts w:ascii="Calibri" w:hAnsi="Calibri" w:cs="Calibri"/>
          <w:bCs/>
          <w:lang w:val="en-GB"/>
        </w:rPr>
        <w:t>goods or services</w:t>
      </w:r>
      <w:r w:rsidR="000A7BDE" w:rsidRPr="00DD65C2">
        <w:rPr>
          <w:rFonts w:ascii="Calibri" w:hAnsi="Calibri" w:cs="Calibri"/>
          <w:bCs/>
          <w:lang w:val="en-GB"/>
        </w:rPr>
        <w:t xml:space="preserve">. </w:t>
      </w:r>
      <w:r w:rsidR="008C6A53" w:rsidRPr="00DD65C2">
        <w:rPr>
          <w:rFonts w:ascii="Calibri" w:hAnsi="Calibri" w:cs="Calibri"/>
          <w:bCs/>
          <w:lang w:val="en-GB"/>
        </w:rPr>
        <w:t xml:space="preserve">For instance, the symbol of the apple with a bite or the word ‘Apple’ </w:t>
      </w:r>
      <w:r w:rsidR="008C6A53" w:rsidRPr="00DD65C2">
        <w:rPr>
          <w:rFonts w:ascii="Calibri" w:hAnsi="Calibri" w:cs="Calibri"/>
          <w:bCs/>
          <w:lang w:val="en-GB"/>
        </w:rPr>
        <w:lastRenderedPageBreak/>
        <w:t xml:space="preserve">are used to represent a particular commercial origin, i.e. Apple Inc. </w:t>
      </w:r>
      <w:r w:rsidR="008E7B64" w:rsidRPr="00DD65C2">
        <w:rPr>
          <w:rFonts w:ascii="Calibri" w:hAnsi="Calibri" w:cs="Calibri"/>
          <w:bCs/>
          <w:lang w:val="en-GB"/>
        </w:rPr>
        <w:t>But c</w:t>
      </w:r>
      <w:r w:rsidR="000A7BDE" w:rsidRPr="00DD65C2">
        <w:rPr>
          <w:rFonts w:ascii="Calibri" w:hAnsi="Calibri" w:cs="Calibri"/>
          <w:bCs/>
          <w:lang w:val="en-GB"/>
        </w:rPr>
        <w:t>ontemporary marks</w:t>
      </w:r>
      <w:r w:rsidR="0022393F" w:rsidRPr="00DD65C2">
        <w:rPr>
          <w:rFonts w:ascii="Calibri" w:hAnsi="Calibri" w:cs="Calibri"/>
          <w:bCs/>
          <w:lang w:val="en-GB"/>
        </w:rPr>
        <w:t xml:space="preserve"> can</w:t>
      </w:r>
      <w:r w:rsidR="000A7BDE" w:rsidRPr="00DD65C2">
        <w:rPr>
          <w:rFonts w:ascii="Calibri" w:hAnsi="Calibri" w:cs="Calibri"/>
          <w:bCs/>
          <w:lang w:val="en-GB"/>
        </w:rPr>
        <w:t xml:space="preserve"> be used to convey a wide range of meanings other than commercial origin, </w:t>
      </w:r>
      <w:r w:rsidR="000A7BDE" w:rsidRPr="00DD65C2">
        <w:rPr>
          <w:rFonts w:ascii="Calibri" w:hAnsi="Calibri" w:cs="Calibri"/>
          <w:lang w:val="en-GB"/>
        </w:rPr>
        <w:t>ranging from signalling information about quality or reputation to conveying lifestyle preferences that can be relied upon by individuals to pursue their preferred identity projects.</w:t>
      </w:r>
      <w:r w:rsidR="000A7BDE" w:rsidRPr="00DD65C2">
        <w:rPr>
          <w:rStyle w:val="FootnoteReference"/>
          <w:rFonts w:ascii="Calibri" w:hAnsi="Calibri" w:cs="Calibri"/>
        </w:rPr>
        <w:footnoteReference w:id="70"/>
      </w:r>
      <w:r w:rsidR="000A7BDE" w:rsidRPr="00DD65C2">
        <w:rPr>
          <w:rFonts w:ascii="Calibri" w:hAnsi="Calibri" w:cs="Calibri"/>
          <w:lang w:val="en-GB"/>
        </w:rPr>
        <w:t xml:space="preserve"> </w:t>
      </w:r>
      <w:r w:rsidR="00BA5B4A" w:rsidRPr="00DD65C2">
        <w:rPr>
          <w:rFonts w:ascii="Calibri" w:hAnsi="Calibri" w:cs="Calibri"/>
          <w:lang w:val="en-GB"/>
        </w:rPr>
        <w:t xml:space="preserve">Going back to the previous example, the ‘Apple’ </w:t>
      </w:r>
      <w:r w:rsidR="005E1625" w:rsidRPr="00DD65C2">
        <w:rPr>
          <w:rFonts w:ascii="Calibri" w:hAnsi="Calibri" w:cs="Calibri"/>
          <w:lang w:val="en-GB"/>
        </w:rPr>
        <w:t>marks</w:t>
      </w:r>
      <w:r w:rsidR="00BA5B4A" w:rsidRPr="00DD65C2">
        <w:rPr>
          <w:rFonts w:ascii="Calibri" w:hAnsi="Calibri" w:cs="Calibri"/>
          <w:lang w:val="en-GB"/>
        </w:rPr>
        <w:t xml:space="preserve"> </w:t>
      </w:r>
      <w:r w:rsidR="005E1625" w:rsidRPr="00DD65C2">
        <w:rPr>
          <w:rFonts w:ascii="Calibri" w:hAnsi="Calibri" w:cs="Calibri"/>
          <w:lang w:val="en-GB"/>
        </w:rPr>
        <w:t>are</w:t>
      </w:r>
      <w:r w:rsidR="00BA5B4A" w:rsidRPr="00DD65C2">
        <w:rPr>
          <w:rFonts w:ascii="Calibri" w:hAnsi="Calibri" w:cs="Calibri"/>
          <w:lang w:val="en-GB"/>
        </w:rPr>
        <w:t xml:space="preserve"> loaded with</w:t>
      </w:r>
      <w:r w:rsidR="005E1625" w:rsidRPr="00DD65C2">
        <w:rPr>
          <w:rFonts w:ascii="Calibri" w:hAnsi="Calibri" w:cs="Calibri"/>
          <w:lang w:val="en-GB"/>
        </w:rPr>
        <w:t xml:space="preserve"> additional </w:t>
      </w:r>
      <w:r w:rsidR="00BA5B4A" w:rsidRPr="00DD65C2">
        <w:rPr>
          <w:rFonts w:ascii="Calibri" w:hAnsi="Calibri" w:cs="Calibri"/>
          <w:lang w:val="en-GB"/>
        </w:rPr>
        <w:t xml:space="preserve">meanings. </w:t>
      </w:r>
      <w:r w:rsidR="005E1625" w:rsidRPr="00DD65C2">
        <w:rPr>
          <w:rFonts w:ascii="Calibri" w:hAnsi="Calibri" w:cs="Calibri"/>
          <w:lang w:val="en-GB"/>
        </w:rPr>
        <w:t>They</w:t>
      </w:r>
      <w:r w:rsidR="00BA5B4A" w:rsidRPr="00DD65C2">
        <w:rPr>
          <w:rFonts w:ascii="Calibri" w:hAnsi="Calibri" w:cs="Calibri"/>
          <w:lang w:val="en-GB"/>
        </w:rPr>
        <w:t xml:space="preserve"> are also synonym of high-qualit</w:t>
      </w:r>
      <w:r w:rsidR="0022393F" w:rsidRPr="00DD65C2">
        <w:rPr>
          <w:rFonts w:ascii="Calibri" w:hAnsi="Calibri" w:cs="Calibri"/>
          <w:lang w:val="en-GB"/>
        </w:rPr>
        <w:t>y</w:t>
      </w:r>
      <w:r w:rsidR="00BA5B4A" w:rsidRPr="00DD65C2">
        <w:rPr>
          <w:rFonts w:ascii="Calibri" w:hAnsi="Calibri" w:cs="Calibri"/>
          <w:lang w:val="en-GB"/>
        </w:rPr>
        <w:t>, reliability, sleek design, and so forth. Furthermore, they have come to symbolize a set of values, a lifestyle even: hip, sophisticated, stylish, design-conscious and artsy. Because they provide consumers with a wealth of useful information about the goods to which they are affixed, these additional meanings –</w:t>
      </w:r>
      <w:r w:rsidR="0022393F" w:rsidRPr="00DD65C2">
        <w:rPr>
          <w:rFonts w:ascii="Calibri" w:hAnsi="Calibri" w:cs="Calibri"/>
          <w:lang w:val="en-GB"/>
        </w:rPr>
        <w:t>which are crucial to building up</w:t>
      </w:r>
      <w:r w:rsidR="00BA5B4A" w:rsidRPr="00DD65C2">
        <w:rPr>
          <w:rFonts w:ascii="Calibri" w:hAnsi="Calibri" w:cs="Calibri"/>
          <w:lang w:val="en-GB"/>
        </w:rPr>
        <w:t xml:space="preserve"> ‘brand image’– are extremely valuable to right holders. So much so that firms are </w:t>
      </w:r>
      <w:r w:rsidR="00FD1364" w:rsidRPr="00DD65C2">
        <w:rPr>
          <w:rFonts w:ascii="Calibri" w:hAnsi="Calibri" w:cs="Calibri"/>
          <w:lang w:val="en-GB"/>
        </w:rPr>
        <w:t xml:space="preserve">often </w:t>
      </w:r>
      <w:r w:rsidR="00BA5B4A" w:rsidRPr="00DD65C2">
        <w:rPr>
          <w:rFonts w:ascii="Calibri" w:hAnsi="Calibri" w:cs="Calibri"/>
          <w:lang w:val="en-GB"/>
        </w:rPr>
        <w:t xml:space="preserve">willing to devote vast amounts of resources </w:t>
      </w:r>
      <w:r w:rsidR="00C02713" w:rsidRPr="00DD65C2">
        <w:rPr>
          <w:rFonts w:ascii="Calibri" w:hAnsi="Calibri" w:cs="Calibri"/>
          <w:lang w:val="en-GB"/>
        </w:rPr>
        <w:t>to develop</w:t>
      </w:r>
      <w:r w:rsidR="00BA5B4A" w:rsidRPr="00DD65C2">
        <w:rPr>
          <w:rFonts w:ascii="Calibri" w:hAnsi="Calibri" w:cs="Calibri"/>
          <w:lang w:val="en-GB"/>
        </w:rPr>
        <w:t xml:space="preserve"> </w:t>
      </w:r>
      <w:r w:rsidR="007B26CC" w:rsidRPr="00DD65C2">
        <w:rPr>
          <w:rFonts w:ascii="Calibri" w:hAnsi="Calibri" w:cs="Calibri"/>
          <w:lang w:val="en-GB"/>
        </w:rPr>
        <w:t>them</w:t>
      </w:r>
      <w:r w:rsidR="00BA5B4A" w:rsidRPr="00DD65C2">
        <w:rPr>
          <w:rFonts w:ascii="Calibri" w:hAnsi="Calibri" w:cs="Calibri"/>
          <w:lang w:val="en-GB"/>
        </w:rPr>
        <w:t xml:space="preserve">, usually by means of </w:t>
      </w:r>
      <w:r w:rsidR="00DC6DEB" w:rsidRPr="00DD65C2">
        <w:rPr>
          <w:rFonts w:ascii="Calibri" w:hAnsi="Calibri" w:cs="Calibri"/>
          <w:lang w:val="en-GB"/>
        </w:rPr>
        <w:t>costly</w:t>
      </w:r>
      <w:r w:rsidR="00BA5B4A" w:rsidRPr="00DD65C2">
        <w:rPr>
          <w:rFonts w:ascii="Calibri" w:hAnsi="Calibri" w:cs="Calibri"/>
          <w:lang w:val="en-GB"/>
        </w:rPr>
        <w:t xml:space="preserve"> promotional activities.</w:t>
      </w:r>
      <w:r w:rsidR="00FD1364" w:rsidRPr="00DD65C2">
        <w:rPr>
          <w:rFonts w:ascii="Calibri" w:hAnsi="Calibri" w:cs="Calibri"/>
          <w:lang w:val="en-GB"/>
        </w:rPr>
        <w:t xml:space="preserve"> </w:t>
      </w:r>
    </w:p>
    <w:p w14:paraId="6A7DAB9B" w14:textId="729834B1" w:rsidR="00FD1364" w:rsidRPr="00DD65C2" w:rsidRDefault="00725DB8" w:rsidP="00A30DEA">
      <w:pPr>
        <w:jc w:val="both"/>
        <w:outlineLvl w:val="0"/>
        <w:rPr>
          <w:rFonts w:ascii="Calibri" w:hAnsi="Calibri" w:cs="Calibri"/>
          <w:lang w:val="en-GB"/>
        </w:rPr>
      </w:pPr>
      <w:r w:rsidRPr="00DD65C2">
        <w:rPr>
          <w:rFonts w:ascii="Calibri" w:hAnsi="Calibri" w:cs="Calibri"/>
          <w:lang w:val="en-GB"/>
        </w:rPr>
        <w:t xml:space="preserve"> </w:t>
      </w:r>
    </w:p>
    <w:p w14:paraId="08F04770" w14:textId="6859E9BE" w:rsidR="00A30DEA" w:rsidRPr="00DD65C2" w:rsidRDefault="0022393F" w:rsidP="00A30DEA">
      <w:pPr>
        <w:jc w:val="both"/>
        <w:outlineLvl w:val="0"/>
        <w:rPr>
          <w:rFonts w:ascii="Calibri" w:hAnsi="Calibri" w:cs="Calibri"/>
          <w:bCs/>
          <w:lang w:val="en-GB"/>
        </w:rPr>
      </w:pPr>
      <w:r w:rsidRPr="00DD65C2">
        <w:rPr>
          <w:rFonts w:ascii="Calibri" w:hAnsi="Calibri" w:cs="Calibri"/>
          <w:bCs/>
          <w:lang w:val="en-GB"/>
        </w:rPr>
        <w:t xml:space="preserve">How can signs, including trade marks, develop such complex meanings? </w:t>
      </w:r>
      <w:r w:rsidR="00A30DEA" w:rsidRPr="00DD65C2">
        <w:rPr>
          <w:rFonts w:ascii="Calibri" w:hAnsi="Calibri" w:cs="Calibri"/>
          <w:bCs/>
          <w:lang w:val="en-GB"/>
        </w:rPr>
        <w:t>Meaning-making in signs is the result of a social consensus, whereby individuals agree that sign ‘x’ will carry meaning ‘y’. The word ‘</w:t>
      </w:r>
      <w:r w:rsidR="00283E75" w:rsidRPr="00DD65C2">
        <w:rPr>
          <w:rFonts w:ascii="Calibri" w:hAnsi="Calibri" w:cs="Calibri"/>
          <w:bCs/>
          <w:lang w:val="en-GB"/>
        </w:rPr>
        <w:t>tree’</w:t>
      </w:r>
      <w:r w:rsidR="00A30DEA" w:rsidRPr="00DD65C2">
        <w:rPr>
          <w:rFonts w:ascii="Calibri" w:hAnsi="Calibri" w:cs="Calibri"/>
          <w:bCs/>
          <w:lang w:val="en-GB"/>
        </w:rPr>
        <w:t xml:space="preserve"> symbolizes the </w:t>
      </w:r>
      <w:r w:rsidR="00283E75" w:rsidRPr="00DD65C2">
        <w:rPr>
          <w:rFonts w:ascii="Calibri" w:hAnsi="Calibri" w:cs="Calibri"/>
          <w:bCs/>
          <w:lang w:val="en-GB"/>
        </w:rPr>
        <w:t>‘woody perennial plant’</w:t>
      </w:r>
      <w:r w:rsidR="00A30DEA" w:rsidRPr="00DD65C2">
        <w:rPr>
          <w:rFonts w:ascii="Calibri" w:hAnsi="Calibri" w:cs="Calibri"/>
          <w:bCs/>
          <w:lang w:val="en-GB"/>
        </w:rPr>
        <w:t xml:space="preserve"> found in nature only insofar as English speakers have agreed as much.</w:t>
      </w:r>
      <w:r w:rsidR="00283E75" w:rsidRPr="00DD65C2">
        <w:rPr>
          <w:rStyle w:val="FootnoteReference"/>
          <w:rFonts w:ascii="Calibri" w:hAnsi="Calibri" w:cs="Calibri"/>
        </w:rPr>
        <w:footnoteReference w:id="71"/>
      </w:r>
      <w:r w:rsidR="00A30DEA" w:rsidRPr="00DD65C2">
        <w:rPr>
          <w:rFonts w:ascii="Calibri" w:hAnsi="Calibri" w:cs="Calibri"/>
          <w:bCs/>
          <w:lang w:val="en-GB"/>
        </w:rPr>
        <w:t xml:space="preserve"> </w:t>
      </w:r>
      <w:r w:rsidR="00394454" w:rsidRPr="00DD65C2">
        <w:rPr>
          <w:rFonts w:ascii="Calibri" w:hAnsi="Calibri" w:cs="Calibri"/>
          <w:bCs/>
          <w:lang w:val="en-GB"/>
        </w:rPr>
        <w:t>Put differently, t</w:t>
      </w:r>
      <w:r w:rsidR="00A30DEA" w:rsidRPr="00DD65C2">
        <w:rPr>
          <w:rFonts w:ascii="Calibri" w:hAnsi="Calibri" w:cs="Calibri"/>
          <w:bCs/>
          <w:lang w:val="en-GB"/>
        </w:rPr>
        <w:t>here is no necessary correlation between the word ‘</w:t>
      </w:r>
      <w:r w:rsidRPr="00DD65C2">
        <w:rPr>
          <w:rFonts w:ascii="Calibri" w:hAnsi="Calibri" w:cs="Calibri"/>
          <w:bCs/>
          <w:lang w:val="en-GB"/>
        </w:rPr>
        <w:t>tree’</w:t>
      </w:r>
      <w:r w:rsidR="00A30DEA" w:rsidRPr="00DD65C2">
        <w:rPr>
          <w:rFonts w:ascii="Calibri" w:hAnsi="Calibri" w:cs="Calibri"/>
          <w:bCs/>
          <w:lang w:val="en-GB"/>
        </w:rPr>
        <w:t xml:space="preserve"> and the meaning ‘</w:t>
      </w:r>
      <w:r w:rsidR="00283E75" w:rsidRPr="00DD65C2">
        <w:rPr>
          <w:rFonts w:ascii="Calibri" w:hAnsi="Calibri" w:cs="Calibri"/>
          <w:bCs/>
          <w:lang w:val="en-GB"/>
        </w:rPr>
        <w:t>woody perennial plant’</w:t>
      </w:r>
      <w:r w:rsidR="00A30DEA" w:rsidRPr="00DD65C2">
        <w:rPr>
          <w:rFonts w:ascii="Calibri" w:hAnsi="Calibri" w:cs="Calibri"/>
          <w:bCs/>
          <w:lang w:val="en-GB"/>
        </w:rPr>
        <w:t xml:space="preserve">, but rather their relation is contingent on social convention and, as such, arbitrary. </w:t>
      </w:r>
      <w:r w:rsidR="00394454" w:rsidRPr="00DD65C2">
        <w:rPr>
          <w:rFonts w:ascii="Calibri" w:hAnsi="Calibri" w:cs="Calibri"/>
          <w:bCs/>
          <w:lang w:val="en-GB"/>
        </w:rPr>
        <w:t xml:space="preserve">Because social consensus is not static, meaning in signs is subject to constant transformation. </w:t>
      </w:r>
      <w:r w:rsidR="00A30DEA" w:rsidRPr="00DD65C2">
        <w:rPr>
          <w:rFonts w:ascii="Calibri" w:hAnsi="Calibri" w:cs="Calibri"/>
          <w:bCs/>
          <w:lang w:val="en-GB"/>
        </w:rPr>
        <w:t>For instance, until the second half of the 20</w:t>
      </w:r>
      <w:r w:rsidR="00A30DEA" w:rsidRPr="00DD65C2">
        <w:rPr>
          <w:rFonts w:ascii="Calibri" w:hAnsi="Calibri" w:cs="Calibri"/>
          <w:bCs/>
          <w:vertAlign w:val="superscript"/>
          <w:lang w:val="en-GB"/>
        </w:rPr>
        <w:t>th</w:t>
      </w:r>
      <w:r w:rsidR="00A30DEA" w:rsidRPr="00DD65C2">
        <w:rPr>
          <w:rFonts w:ascii="Calibri" w:hAnsi="Calibri" w:cs="Calibri"/>
          <w:bCs/>
          <w:lang w:val="en-GB"/>
        </w:rPr>
        <w:t xml:space="preserve"> century, the signifier ‘gay’ had one sole signified, as an adjective meaning ‘light-hearted and carefree’.</w:t>
      </w:r>
      <w:r w:rsidRPr="00DD65C2">
        <w:rPr>
          <w:rStyle w:val="FootnoteReference"/>
          <w:rFonts w:ascii="Calibri" w:hAnsi="Calibri" w:cs="Calibri"/>
        </w:rPr>
        <w:footnoteReference w:id="72"/>
      </w:r>
      <w:r w:rsidR="00A30DEA" w:rsidRPr="00DD65C2">
        <w:rPr>
          <w:rFonts w:ascii="Calibri" w:hAnsi="Calibri" w:cs="Calibri"/>
          <w:bCs/>
          <w:lang w:val="en-GB"/>
        </w:rPr>
        <w:t xml:space="preserve"> In the 1960s, however, with the advent of the gay movement, that same signifier developed a second signified, </w:t>
      </w:r>
      <w:r w:rsidR="00394454" w:rsidRPr="00DD65C2">
        <w:rPr>
          <w:rFonts w:ascii="Calibri" w:hAnsi="Calibri" w:cs="Calibri"/>
          <w:bCs/>
          <w:lang w:val="en-GB"/>
        </w:rPr>
        <w:t xml:space="preserve">i.e. </w:t>
      </w:r>
      <w:r w:rsidR="00A30DEA" w:rsidRPr="00DD65C2">
        <w:rPr>
          <w:rFonts w:ascii="Calibri" w:hAnsi="Calibri" w:cs="Calibri"/>
          <w:bCs/>
          <w:lang w:val="en-GB"/>
        </w:rPr>
        <w:t>as a noun to refer to ‘a homosexual, especially a man’, or as an adjective to describe someone’s ‘homosexual[ity], especially a man[’s]’.</w:t>
      </w:r>
      <w:r w:rsidR="00A30DEA" w:rsidRPr="00DD65C2">
        <w:rPr>
          <w:rStyle w:val="FootnoteReference"/>
          <w:rFonts w:ascii="Calibri" w:hAnsi="Calibri" w:cs="Calibri"/>
        </w:rPr>
        <w:footnoteReference w:id="73"/>
      </w:r>
      <w:r w:rsidR="00A30DEA" w:rsidRPr="00DD65C2">
        <w:rPr>
          <w:rFonts w:ascii="Calibri" w:hAnsi="Calibri" w:cs="Calibri"/>
          <w:bCs/>
          <w:lang w:val="en-GB"/>
        </w:rPr>
        <w:t xml:space="preserve"> The meaning conveyed by the word ‘gay’ has evolved over time, developing an additional meaning. </w:t>
      </w:r>
      <w:r w:rsidR="00BA47E1" w:rsidRPr="00DD65C2">
        <w:rPr>
          <w:rFonts w:ascii="Calibri" w:hAnsi="Calibri" w:cs="Calibri"/>
          <w:bCs/>
          <w:lang w:val="en-GB"/>
        </w:rPr>
        <w:t>Consequently</w:t>
      </w:r>
      <w:r w:rsidR="00A30DEA" w:rsidRPr="00DD65C2">
        <w:rPr>
          <w:rFonts w:ascii="Calibri" w:hAnsi="Calibri" w:cs="Calibri"/>
          <w:bCs/>
          <w:lang w:val="en-GB"/>
        </w:rPr>
        <w:t xml:space="preserve">, the precise meaning conveyed by the word ‘gay’ will, in contemporary English, fluctuate from the one to the other on the basis of context, i.e. the circumstances in which it is used. </w:t>
      </w:r>
    </w:p>
    <w:p w14:paraId="04F13B1B" w14:textId="77777777" w:rsidR="00A30DEA" w:rsidRPr="00DD65C2" w:rsidRDefault="00A30DEA" w:rsidP="00A30DEA">
      <w:pPr>
        <w:jc w:val="both"/>
        <w:outlineLvl w:val="0"/>
        <w:rPr>
          <w:rFonts w:ascii="Calibri" w:hAnsi="Calibri" w:cs="Calibri"/>
          <w:bCs/>
          <w:lang w:val="en-GB"/>
        </w:rPr>
      </w:pPr>
    </w:p>
    <w:p w14:paraId="190CD4C8" w14:textId="2CADF596" w:rsidR="006174BE" w:rsidRPr="00DD65C2" w:rsidRDefault="00A30DEA" w:rsidP="005A26F6">
      <w:pPr>
        <w:jc w:val="both"/>
        <w:outlineLvl w:val="0"/>
        <w:rPr>
          <w:rFonts w:ascii="Calibri" w:hAnsi="Calibri" w:cs="Calibri"/>
          <w:bCs/>
          <w:lang w:val="en-GB"/>
        </w:rPr>
      </w:pPr>
      <w:r w:rsidRPr="00DD65C2">
        <w:rPr>
          <w:rFonts w:ascii="Calibri" w:hAnsi="Calibri" w:cs="Calibri"/>
          <w:bCs/>
          <w:lang w:val="en-GB"/>
        </w:rPr>
        <w:t xml:space="preserve">The same is true of marks, the meanings of which may evolve over time depending on how they are used. For </w:t>
      </w:r>
      <w:r w:rsidR="00274EC1" w:rsidRPr="00DD65C2">
        <w:rPr>
          <w:rFonts w:ascii="Calibri" w:hAnsi="Calibri" w:cs="Calibri"/>
          <w:bCs/>
          <w:lang w:val="en-GB"/>
        </w:rPr>
        <w:t>example</w:t>
      </w:r>
      <w:r w:rsidRPr="00DD65C2">
        <w:rPr>
          <w:rFonts w:ascii="Calibri" w:hAnsi="Calibri" w:cs="Calibri"/>
          <w:bCs/>
          <w:lang w:val="en-GB"/>
        </w:rPr>
        <w:t>, the meaning conveyed by the trade mark ‘Aspirin’, owned by the multinational company Bayer AG in relation to an analgesic drug, dramatically changed over time. It went from signalling commercial origin to referring to the class of goods, i.e. analgesic drugs.</w:t>
      </w:r>
      <w:r w:rsidR="00F85B7E" w:rsidRPr="00DD65C2">
        <w:rPr>
          <w:rStyle w:val="FootnoteReference"/>
          <w:rFonts w:ascii="Calibri" w:hAnsi="Calibri" w:cs="Calibri"/>
        </w:rPr>
        <w:footnoteReference w:id="74"/>
      </w:r>
      <w:r w:rsidRPr="00DD65C2">
        <w:rPr>
          <w:rFonts w:ascii="Calibri" w:hAnsi="Calibri" w:cs="Calibri"/>
          <w:bCs/>
          <w:lang w:val="en-GB"/>
        </w:rPr>
        <w:t xml:space="preserve"> Genericide is, therefore, a paradigmatic example of how meaning in trade marked signs can change over time –and of the legal repercussions that can ensue, i.e. from enjoying full protection to being revoked from the register. </w:t>
      </w:r>
    </w:p>
    <w:p w14:paraId="1FEA2BEE" w14:textId="265ACB71" w:rsidR="006174BE" w:rsidRPr="00DD65C2" w:rsidRDefault="006174BE" w:rsidP="00504F94">
      <w:pPr>
        <w:jc w:val="both"/>
        <w:rPr>
          <w:rFonts w:ascii="Calibri" w:hAnsi="Calibri" w:cs="Calibri"/>
          <w:color w:val="000000" w:themeColor="text1"/>
          <w:lang w:val="en-GB"/>
        </w:rPr>
      </w:pPr>
    </w:p>
    <w:p w14:paraId="1AD288A0" w14:textId="3F0A9DFC" w:rsidR="00D233EC" w:rsidRPr="00DD65C2" w:rsidRDefault="00436BF2" w:rsidP="0007613C">
      <w:pPr>
        <w:jc w:val="both"/>
        <w:outlineLvl w:val="0"/>
        <w:rPr>
          <w:rFonts w:ascii="Calibri" w:hAnsi="Calibri" w:cs="Calibri"/>
          <w:color w:val="000000" w:themeColor="text1"/>
          <w:lang w:val="en-GB"/>
        </w:rPr>
      </w:pPr>
      <w:r w:rsidRPr="00DD65C2">
        <w:rPr>
          <w:rFonts w:ascii="Calibri" w:hAnsi="Calibri" w:cs="Calibri"/>
          <w:lang w:val="en-GB"/>
        </w:rPr>
        <w:lastRenderedPageBreak/>
        <w:t>Comprehending</w:t>
      </w:r>
      <w:r w:rsidR="008B0AC9" w:rsidRPr="00DD65C2">
        <w:rPr>
          <w:rFonts w:ascii="Calibri" w:hAnsi="Calibri" w:cs="Calibri"/>
          <w:lang w:val="en-GB"/>
        </w:rPr>
        <w:t xml:space="preserve"> how meaning in signs can evolve over time is crucial to understanding how refusals </w:t>
      </w:r>
      <w:r w:rsidR="000D6E5F" w:rsidRPr="00DD65C2">
        <w:rPr>
          <w:rFonts w:ascii="Calibri" w:hAnsi="Calibri" w:cs="Calibri"/>
          <w:lang w:val="en-GB"/>
        </w:rPr>
        <w:t xml:space="preserve">of </w:t>
      </w:r>
      <w:r w:rsidR="008B0AC9" w:rsidRPr="00DD65C2">
        <w:rPr>
          <w:rFonts w:ascii="Calibri" w:hAnsi="Calibri" w:cs="Calibri"/>
          <w:lang w:val="en-GB"/>
        </w:rPr>
        <w:t xml:space="preserve">registration can effect an interference with </w:t>
      </w:r>
      <w:r w:rsidR="00B723B5" w:rsidRPr="00DD65C2">
        <w:rPr>
          <w:rFonts w:ascii="Calibri" w:hAnsi="Calibri" w:cs="Calibri"/>
          <w:lang w:val="en-GB"/>
        </w:rPr>
        <w:t>applicants’</w:t>
      </w:r>
      <w:r w:rsidR="008B0AC9" w:rsidRPr="00DD65C2">
        <w:rPr>
          <w:rFonts w:ascii="Calibri" w:hAnsi="Calibri" w:cs="Calibri"/>
          <w:lang w:val="en-GB"/>
        </w:rPr>
        <w:t xml:space="preserve"> right to freedom of expression. </w:t>
      </w:r>
      <w:r w:rsidR="0007613C" w:rsidRPr="00DD65C2">
        <w:rPr>
          <w:rFonts w:ascii="Calibri" w:hAnsi="Calibri" w:cs="Calibri"/>
          <w:lang w:val="en-GB"/>
        </w:rPr>
        <w:t>Let us think</w:t>
      </w:r>
      <w:r w:rsidR="009F6B72" w:rsidRPr="00DD65C2">
        <w:rPr>
          <w:rFonts w:ascii="Calibri" w:hAnsi="Calibri" w:cs="Calibri"/>
          <w:lang w:val="en-GB"/>
        </w:rPr>
        <w:t>, hypothetically,</w:t>
      </w:r>
      <w:r w:rsidR="0007613C" w:rsidRPr="00DD65C2">
        <w:rPr>
          <w:rFonts w:ascii="Calibri" w:hAnsi="Calibri" w:cs="Calibri"/>
          <w:lang w:val="en-GB"/>
        </w:rPr>
        <w:t xml:space="preserve"> of how Adidas AG’s failed attempt to register the sign ‘</w:t>
      </w:r>
      <w:r w:rsidR="00A170C5" w:rsidRPr="00DD65C2">
        <w:rPr>
          <w:rFonts w:ascii="Calibri" w:hAnsi="Calibri" w:cs="Calibri"/>
          <w:lang w:val="en-GB"/>
        </w:rPr>
        <w:t>F</w:t>
      </w:r>
      <w:r w:rsidR="0064336D">
        <w:rPr>
          <w:rFonts w:ascii="Calibri" w:hAnsi="Calibri" w:cs="Calibri"/>
          <w:lang w:val="en-GB"/>
        </w:rPr>
        <w:t>uck Calories</w:t>
      </w:r>
      <w:r w:rsidR="00A170C5" w:rsidRPr="00DD65C2">
        <w:rPr>
          <w:rFonts w:ascii="Calibri" w:hAnsi="Calibri" w:cs="Calibri"/>
          <w:lang w:val="en-GB"/>
        </w:rPr>
        <w:t>’</w:t>
      </w:r>
      <w:r w:rsidR="0007613C" w:rsidRPr="00DD65C2">
        <w:rPr>
          <w:rFonts w:ascii="Calibri" w:hAnsi="Calibri" w:cs="Calibri"/>
          <w:lang w:val="en-GB"/>
        </w:rPr>
        <w:t xml:space="preserve"> would run counter to its communicative needs. First, it</w:t>
      </w:r>
      <w:r w:rsidR="0007613C" w:rsidRPr="00DD65C2">
        <w:rPr>
          <w:rFonts w:ascii="Calibri" w:hAnsi="Calibri" w:cs="Calibri"/>
          <w:color w:val="000000" w:themeColor="text1"/>
          <w:lang w:val="en-GB"/>
        </w:rPr>
        <w:t xml:space="preserve"> </w:t>
      </w:r>
      <w:r w:rsidR="00A170C5" w:rsidRPr="00DD65C2">
        <w:rPr>
          <w:rFonts w:ascii="Calibri" w:hAnsi="Calibri" w:cs="Calibri"/>
          <w:color w:val="000000" w:themeColor="text1"/>
          <w:lang w:val="en-GB"/>
        </w:rPr>
        <w:t>would</w:t>
      </w:r>
      <w:r w:rsidR="0007613C" w:rsidRPr="00DD65C2">
        <w:rPr>
          <w:rFonts w:ascii="Calibri" w:hAnsi="Calibri" w:cs="Calibri"/>
          <w:color w:val="000000" w:themeColor="text1"/>
          <w:lang w:val="en-GB"/>
        </w:rPr>
        <w:t xml:space="preserve"> prevent Adidas AG from using the applied-for sign in relation to its sportswear in exclusive terms.</w:t>
      </w:r>
      <w:r w:rsidR="0007613C" w:rsidRPr="00DD65C2">
        <w:rPr>
          <w:rFonts w:ascii="Calibri" w:hAnsi="Calibri" w:cs="Calibri"/>
          <w:lang w:val="en-GB"/>
        </w:rPr>
        <w:t xml:space="preserve"> </w:t>
      </w:r>
      <w:r w:rsidR="00504F94" w:rsidRPr="00DD65C2">
        <w:rPr>
          <w:rFonts w:ascii="Calibri" w:hAnsi="Calibri" w:cs="Calibri"/>
          <w:color w:val="000000" w:themeColor="text1"/>
          <w:lang w:val="en-GB"/>
        </w:rPr>
        <w:t xml:space="preserve">It could be argued that exclusive access to this sign bears no impact on the expressive interests of Adidas AG, insofar as it can still use the sign, alongside all its competitors, for any and all purposes, including on its goods and on promotional material. However, this view disregards the fundamental role that exclusivity plays in allowing signs to further the communicative needs of traders when operating in the course of trade, most notably, the ability of signs to clearly signal commercial origin </w:t>
      </w:r>
      <w:r w:rsidR="00AF0307" w:rsidRPr="00DD65C2">
        <w:rPr>
          <w:rFonts w:ascii="Calibri" w:hAnsi="Calibri" w:cs="Calibri"/>
          <w:color w:val="000000" w:themeColor="text1"/>
          <w:lang w:val="en-GB"/>
        </w:rPr>
        <w:t>–</w:t>
      </w:r>
      <w:r w:rsidR="00504F94" w:rsidRPr="00DD65C2">
        <w:rPr>
          <w:rFonts w:ascii="Calibri" w:hAnsi="Calibri" w:cs="Calibri"/>
          <w:color w:val="000000" w:themeColor="text1"/>
          <w:lang w:val="en-GB"/>
        </w:rPr>
        <w:t xml:space="preserve">which is only possible where exclusive use is guaranteed. </w:t>
      </w:r>
      <w:r w:rsidR="0007613C" w:rsidRPr="00DD65C2">
        <w:rPr>
          <w:rFonts w:ascii="Calibri" w:hAnsi="Calibri" w:cs="Calibri"/>
          <w:color w:val="000000" w:themeColor="text1"/>
          <w:lang w:val="en-GB"/>
        </w:rPr>
        <w:t>If two or more traders were to brand their trainers with the sign ‘F</w:t>
      </w:r>
      <w:r w:rsidR="0064336D">
        <w:rPr>
          <w:rFonts w:ascii="Calibri" w:hAnsi="Calibri" w:cs="Calibri"/>
          <w:color w:val="000000" w:themeColor="text1"/>
          <w:lang w:val="en-GB"/>
        </w:rPr>
        <w:t>uck Calories</w:t>
      </w:r>
      <w:r w:rsidR="00A170C5" w:rsidRPr="00DD65C2">
        <w:rPr>
          <w:rFonts w:ascii="Calibri" w:hAnsi="Calibri" w:cs="Calibri"/>
          <w:color w:val="000000" w:themeColor="text1"/>
          <w:lang w:val="en-GB"/>
        </w:rPr>
        <w:t>’</w:t>
      </w:r>
      <w:r w:rsidR="0007613C" w:rsidRPr="00DD65C2">
        <w:rPr>
          <w:rFonts w:ascii="Calibri" w:hAnsi="Calibri" w:cs="Calibri"/>
          <w:color w:val="000000" w:themeColor="text1"/>
          <w:lang w:val="en-GB"/>
        </w:rPr>
        <w:t xml:space="preserve">, consumers looking to buy sports shoes would very likely be confused as to the commercial source of each pair of trainers. </w:t>
      </w:r>
    </w:p>
    <w:p w14:paraId="5E2D0E60" w14:textId="77777777" w:rsidR="00D233EC" w:rsidRPr="00DD65C2" w:rsidRDefault="00D233EC" w:rsidP="0007613C">
      <w:pPr>
        <w:jc w:val="both"/>
        <w:outlineLvl w:val="0"/>
        <w:rPr>
          <w:rFonts w:ascii="Calibri" w:hAnsi="Calibri" w:cs="Calibri"/>
          <w:color w:val="000000" w:themeColor="text1"/>
          <w:lang w:val="en-GB"/>
        </w:rPr>
      </w:pPr>
    </w:p>
    <w:p w14:paraId="37F5A733" w14:textId="03FB04E8" w:rsidR="00FA1E28" w:rsidRPr="00DD65C2" w:rsidRDefault="00D233EC" w:rsidP="0007613C">
      <w:pPr>
        <w:jc w:val="both"/>
        <w:outlineLvl w:val="0"/>
        <w:rPr>
          <w:rFonts w:ascii="Calibri" w:hAnsi="Calibri" w:cs="Calibri"/>
          <w:color w:val="000000" w:themeColor="text1"/>
          <w:lang w:val="en-GB"/>
        </w:rPr>
      </w:pPr>
      <w:r w:rsidRPr="00DD65C2">
        <w:rPr>
          <w:rFonts w:ascii="Calibri" w:hAnsi="Calibri" w:cs="Calibri"/>
          <w:color w:val="000000" w:themeColor="text1"/>
          <w:lang w:val="en-GB"/>
        </w:rPr>
        <w:t>Second</w:t>
      </w:r>
      <w:r w:rsidR="003500ED" w:rsidRPr="00DD65C2">
        <w:rPr>
          <w:rFonts w:ascii="Calibri" w:hAnsi="Calibri" w:cs="Calibri"/>
          <w:color w:val="000000" w:themeColor="text1"/>
          <w:lang w:val="en-GB"/>
        </w:rPr>
        <w:t xml:space="preserve">, </w:t>
      </w:r>
      <w:r w:rsidR="00FA1E28" w:rsidRPr="00DD65C2">
        <w:rPr>
          <w:rFonts w:ascii="Calibri" w:hAnsi="Calibri" w:cs="Calibri"/>
          <w:color w:val="000000" w:themeColor="text1"/>
          <w:lang w:val="en-GB"/>
        </w:rPr>
        <w:t>Adidas AG’s advertising strategy</w:t>
      </w:r>
      <w:r w:rsidR="00E3162D" w:rsidRPr="00DD65C2">
        <w:rPr>
          <w:rFonts w:ascii="Calibri" w:hAnsi="Calibri" w:cs="Calibri"/>
          <w:color w:val="000000" w:themeColor="text1"/>
          <w:lang w:val="en-GB"/>
        </w:rPr>
        <w:t xml:space="preserve"> would also be severely impacted by the inability to use this sign in exclusive terms</w:t>
      </w:r>
      <w:r w:rsidR="00FA1E28" w:rsidRPr="00DD65C2">
        <w:rPr>
          <w:rFonts w:ascii="Calibri" w:hAnsi="Calibri" w:cs="Calibri"/>
          <w:color w:val="000000" w:themeColor="text1"/>
          <w:lang w:val="en-GB"/>
        </w:rPr>
        <w:t>. Uses of marks for promotional purposes in advertising campaigns and other</w:t>
      </w:r>
      <w:r w:rsidR="00294AB6" w:rsidRPr="00DD65C2">
        <w:rPr>
          <w:rFonts w:ascii="Calibri" w:hAnsi="Calibri" w:cs="Calibri"/>
          <w:color w:val="000000" w:themeColor="text1"/>
          <w:lang w:val="en-GB"/>
        </w:rPr>
        <w:t xml:space="preserve"> marketing</w:t>
      </w:r>
      <w:r w:rsidR="00FA1E28" w:rsidRPr="00DD65C2">
        <w:rPr>
          <w:rFonts w:ascii="Calibri" w:hAnsi="Calibri" w:cs="Calibri"/>
          <w:color w:val="000000" w:themeColor="text1"/>
          <w:lang w:val="en-GB"/>
        </w:rPr>
        <w:t xml:space="preserve"> channels are often so onerous that Adidas AG </w:t>
      </w:r>
      <w:r w:rsidR="003500ED" w:rsidRPr="00DD65C2">
        <w:rPr>
          <w:rFonts w:ascii="Calibri" w:hAnsi="Calibri" w:cs="Calibri"/>
          <w:color w:val="000000" w:themeColor="text1"/>
          <w:lang w:val="en-GB"/>
        </w:rPr>
        <w:t>would</w:t>
      </w:r>
      <w:r w:rsidR="00FA1E28" w:rsidRPr="00DD65C2">
        <w:rPr>
          <w:rFonts w:ascii="Calibri" w:hAnsi="Calibri" w:cs="Calibri"/>
          <w:color w:val="000000" w:themeColor="text1"/>
          <w:lang w:val="en-GB"/>
        </w:rPr>
        <w:t xml:space="preserve"> lack the incentive to make the required investment</w:t>
      </w:r>
      <w:r w:rsidR="00294AB6" w:rsidRPr="00DD65C2">
        <w:rPr>
          <w:rFonts w:ascii="Calibri" w:hAnsi="Calibri" w:cs="Calibri"/>
          <w:color w:val="000000" w:themeColor="text1"/>
          <w:lang w:val="en-GB"/>
        </w:rPr>
        <w:t xml:space="preserve"> on the sign ‘</w:t>
      </w:r>
      <w:r w:rsidR="00607ADF">
        <w:rPr>
          <w:rFonts w:ascii="Calibri" w:hAnsi="Calibri" w:cs="Calibri"/>
          <w:color w:val="000000" w:themeColor="text1"/>
          <w:lang w:val="en-GB"/>
        </w:rPr>
        <w:t>Fuck Calories</w:t>
      </w:r>
      <w:r w:rsidR="006B37F9" w:rsidRPr="00DD65C2">
        <w:rPr>
          <w:rFonts w:ascii="Calibri" w:hAnsi="Calibri" w:cs="Calibri"/>
          <w:color w:val="000000" w:themeColor="text1"/>
          <w:lang w:val="en-GB"/>
        </w:rPr>
        <w:t xml:space="preserve">’ </w:t>
      </w:r>
      <w:r w:rsidR="00FA1E28" w:rsidRPr="00DD65C2">
        <w:rPr>
          <w:rFonts w:ascii="Calibri" w:hAnsi="Calibri" w:cs="Calibri"/>
          <w:color w:val="000000" w:themeColor="text1"/>
          <w:lang w:val="en-GB"/>
        </w:rPr>
        <w:t xml:space="preserve">if </w:t>
      </w:r>
      <w:r w:rsidR="00294AB6" w:rsidRPr="00DD65C2">
        <w:rPr>
          <w:rFonts w:ascii="Calibri" w:hAnsi="Calibri" w:cs="Calibri"/>
          <w:color w:val="000000" w:themeColor="text1"/>
          <w:lang w:val="en-GB"/>
        </w:rPr>
        <w:t xml:space="preserve">other traders </w:t>
      </w:r>
      <w:r w:rsidR="00B575E0" w:rsidRPr="00DD65C2">
        <w:rPr>
          <w:rFonts w:ascii="Calibri" w:hAnsi="Calibri" w:cs="Calibri"/>
          <w:color w:val="000000" w:themeColor="text1"/>
          <w:lang w:val="en-GB"/>
        </w:rPr>
        <w:t>were</w:t>
      </w:r>
      <w:r w:rsidR="00294AB6" w:rsidRPr="00DD65C2">
        <w:rPr>
          <w:rFonts w:ascii="Calibri" w:hAnsi="Calibri" w:cs="Calibri"/>
          <w:color w:val="000000" w:themeColor="text1"/>
          <w:lang w:val="en-GB"/>
        </w:rPr>
        <w:t xml:space="preserve"> </w:t>
      </w:r>
      <w:r w:rsidR="00532986" w:rsidRPr="00DD65C2">
        <w:rPr>
          <w:rFonts w:ascii="Calibri" w:hAnsi="Calibri" w:cs="Calibri"/>
          <w:color w:val="000000" w:themeColor="text1"/>
          <w:lang w:val="en-GB"/>
        </w:rPr>
        <w:t xml:space="preserve">also </w:t>
      </w:r>
      <w:r w:rsidR="00294AB6" w:rsidRPr="00DD65C2">
        <w:rPr>
          <w:rFonts w:ascii="Calibri" w:hAnsi="Calibri" w:cs="Calibri"/>
          <w:color w:val="000000" w:themeColor="text1"/>
          <w:lang w:val="en-GB"/>
        </w:rPr>
        <w:t>allowed to use the sign. This was very eloquently put by the EUIPO’s Grand Bo</w:t>
      </w:r>
      <w:r w:rsidR="0009722C" w:rsidRPr="00DD65C2">
        <w:rPr>
          <w:rFonts w:ascii="Calibri" w:hAnsi="Calibri" w:cs="Calibri"/>
          <w:color w:val="000000" w:themeColor="text1"/>
          <w:lang w:val="en-GB"/>
        </w:rPr>
        <w:t>A</w:t>
      </w:r>
      <w:r w:rsidR="00294AB6" w:rsidRPr="00DD65C2">
        <w:rPr>
          <w:rFonts w:ascii="Calibri" w:hAnsi="Calibri" w:cs="Calibri"/>
          <w:color w:val="000000" w:themeColor="text1"/>
          <w:lang w:val="en-GB"/>
        </w:rPr>
        <w:t xml:space="preserve"> in </w:t>
      </w:r>
      <w:r w:rsidR="00294AB6" w:rsidRPr="00DD65C2">
        <w:rPr>
          <w:rFonts w:ascii="Calibri" w:hAnsi="Calibri" w:cs="Calibri"/>
          <w:i/>
          <w:iCs/>
          <w:color w:val="000000" w:themeColor="text1"/>
          <w:lang w:val="en-GB"/>
        </w:rPr>
        <w:t>Jebara</w:t>
      </w:r>
      <w:r w:rsidR="005309AC" w:rsidRPr="00DD65C2">
        <w:rPr>
          <w:rFonts w:ascii="Calibri" w:hAnsi="Calibri" w:cs="Calibri"/>
          <w:i/>
          <w:iCs/>
          <w:color w:val="000000" w:themeColor="text1"/>
          <w:lang w:val="en-GB"/>
        </w:rPr>
        <w:t>j</w:t>
      </w:r>
      <w:r w:rsidR="00294AB6" w:rsidRPr="00DD65C2">
        <w:rPr>
          <w:rFonts w:ascii="Calibri" w:hAnsi="Calibri" w:cs="Calibri"/>
          <w:i/>
          <w:iCs/>
          <w:color w:val="000000" w:themeColor="text1"/>
          <w:lang w:val="en-GB"/>
        </w:rPr>
        <w:t xml:space="preserve"> Kenneth</w:t>
      </w:r>
      <w:r w:rsidR="00294AB6" w:rsidRPr="00DD65C2">
        <w:rPr>
          <w:rFonts w:ascii="Calibri" w:hAnsi="Calibri" w:cs="Calibri"/>
          <w:color w:val="000000" w:themeColor="text1"/>
          <w:lang w:val="en-GB"/>
        </w:rPr>
        <w:t>:</w:t>
      </w:r>
    </w:p>
    <w:p w14:paraId="3B9D4B4C" w14:textId="77777777" w:rsidR="00294AB6" w:rsidRPr="00DD65C2" w:rsidRDefault="00294AB6" w:rsidP="00504F94">
      <w:pPr>
        <w:jc w:val="both"/>
        <w:rPr>
          <w:rFonts w:ascii="Calibri" w:hAnsi="Calibri" w:cs="Calibri"/>
          <w:color w:val="000000" w:themeColor="text1"/>
          <w:lang w:val="en-GB"/>
        </w:rPr>
      </w:pPr>
    </w:p>
    <w:p w14:paraId="2F1817F4" w14:textId="44E40C6C" w:rsidR="00294AB6" w:rsidRPr="00DD65C2" w:rsidRDefault="00294AB6" w:rsidP="00294AB6">
      <w:pPr>
        <w:ind w:left="720"/>
        <w:jc w:val="both"/>
        <w:rPr>
          <w:rFonts w:ascii="Calibri" w:hAnsi="Calibri" w:cs="Calibri"/>
          <w:color w:val="000000" w:themeColor="text1"/>
          <w:lang w:val="en-GB"/>
        </w:rPr>
      </w:pPr>
      <w:r w:rsidRPr="00DD65C2">
        <w:rPr>
          <w:rFonts w:ascii="Calibri" w:hAnsi="Calibri" w:cs="Calibri"/>
          <w:color w:val="000000" w:themeColor="text1"/>
          <w:lang w:val="en-GB"/>
        </w:rPr>
        <w:t>While it is true to say that a refusal to register does not amount to a gross intrusion on the right of freedom of expression, since traders can still use trade marks without registering them, it does represent a restriction on freedom of expression in the sense that businesses may be unwilling to invest in large-scale promotional campaigns for trade marks which do not enjoy protection through registration</w:t>
      </w:r>
      <w:r w:rsidR="00E3162D" w:rsidRPr="00DD65C2">
        <w:rPr>
          <w:rFonts w:ascii="Calibri" w:hAnsi="Calibri" w:cs="Calibri"/>
          <w:color w:val="000000" w:themeColor="text1"/>
          <w:lang w:val="en-GB"/>
        </w:rPr>
        <w:t xml:space="preserve"> because the Office regards them as immoral or offensive in the eyes of the public</w:t>
      </w:r>
      <w:r w:rsidRPr="00DD65C2">
        <w:rPr>
          <w:rFonts w:ascii="Calibri" w:hAnsi="Calibri" w:cs="Calibri"/>
          <w:color w:val="000000" w:themeColor="text1"/>
          <w:lang w:val="en-GB"/>
        </w:rPr>
        <w:t>.</w:t>
      </w:r>
      <w:r w:rsidRPr="00DD65C2">
        <w:rPr>
          <w:rStyle w:val="FootnoteReference"/>
          <w:rFonts w:ascii="Calibri" w:hAnsi="Calibri" w:cs="Calibri"/>
        </w:rPr>
        <w:footnoteReference w:id="75"/>
      </w:r>
    </w:p>
    <w:p w14:paraId="7EAB1CF3" w14:textId="77777777" w:rsidR="006B7433" w:rsidRPr="00DD65C2" w:rsidRDefault="006B7433" w:rsidP="00504F94">
      <w:pPr>
        <w:jc w:val="both"/>
        <w:rPr>
          <w:rFonts w:ascii="Calibri" w:hAnsi="Calibri" w:cs="Calibri"/>
          <w:color w:val="000000" w:themeColor="text1"/>
          <w:lang w:val="en-GB"/>
        </w:rPr>
      </w:pPr>
    </w:p>
    <w:p w14:paraId="3ED6569C" w14:textId="3048CDF5" w:rsidR="003209D2" w:rsidRPr="00DD65C2" w:rsidRDefault="006B7433" w:rsidP="00504F94">
      <w:pPr>
        <w:jc w:val="both"/>
        <w:rPr>
          <w:rFonts w:ascii="Calibri" w:hAnsi="Calibri" w:cs="Calibri"/>
          <w:color w:val="000000" w:themeColor="text1"/>
          <w:lang w:val="en-GB"/>
        </w:rPr>
      </w:pPr>
      <w:r w:rsidRPr="00DD65C2">
        <w:rPr>
          <w:rFonts w:ascii="Calibri" w:hAnsi="Calibri" w:cs="Calibri"/>
          <w:color w:val="000000" w:themeColor="text1"/>
          <w:lang w:val="en-GB"/>
        </w:rPr>
        <w:t xml:space="preserve">And, </w:t>
      </w:r>
      <w:r w:rsidR="00D233EC" w:rsidRPr="00DD65C2">
        <w:rPr>
          <w:rFonts w:ascii="Calibri" w:hAnsi="Calibri" w:cs="Calibri"/>
          <w:color w:val="000000" w:themeColor="text1"/>
          <w:lang w:val="en-GB"/>
        </w:rPr>
        <w:t>third</w:t>
      </w:r>
      <w:r w:rsidR="00504F94" w:rsidRPr="00DD65C2">
        <w:rPr>
          <w:rFonts w:ascii="Calibri" w:hAnsi="Calibri" w:cs="Calibri"/>
          <w:color w:val="000000" w:themeColor="text1"/>
          <w:lang w:val="en-GB"/>
        </w:rPr>
        <w:t xml:space="preserve">, </w:t>
      </w:r>
      <w:r w:rsidR="003209D2" w:rsidRPr="00DD65C2">
        <w:rPr>
          <w:rFonts w:ascii="Calibri" w:hAnsi="Calibri" w:cs="Calibri"/>
          <w:color w:val="000000" w:themeColor="text1"/>
          <w:lang w:val="en-GB"/>
        </w:rPr>
        <w:t>Adidas AG’s</w:t>
      </w:r>
      <w:r w:rsidR="00504F94" w:rsidRPr="00DD65C2">
        <w:rPr>
          <w:rFonts w:ascii="Calibri" w:hAnsi="Calibri" w:cs="Calibri"/>
          <w:color w:val="000000" w:themeColor="text1"/>
          <w:lang w:val="en-GB"/>
        </w:rPr>
        <w:t xml:space="preserve"> inability to use th</w:t>
      </w:r>
      <w:r w:rsidR="004A1ED6" w:rsidRPr="00DD65C2">
        <w:rPr>
          <w:rFonts w:ascii="Calibri" w:hAnsi="Calibri" w:cs="Calibri"/>
          <w:color w:val="000000" w:themeColor="text1"/>
          <w:lang w:val="en-GB"/>
        </w:rPr>
        <w:t>e</w:t>
      </w:r>
      <w:r w:rsidR="003209D2" w:rsidRPr="00DD65C2">
        <w:rPr>
          <w:rFonts w:ascii="Calibri" w:hAnsi="Calibri" w:cs="Calibri"/>
          <w:color w:val="000000" w:themeColor="text1"/>
          <w:lang w:val="en-GB"/>
        </w:rPr>
        <w:t xml:space="preserve"> sign</w:t>
      </w:r>
      <w:r w:rsidR="004A1ED6" w:rsidRPr="00DD65C2">
        <w:rPr>
          <w:rFonts w:ascii="Calibri" w:hAnsi="Calibri" w:cs="Calibri"/>
          <w:color w:val="000000" w:themeColor="text1"/>
          <w:lang w:val="en-GB"/>
        </w:rPr>
        <w:t xml:space="preserve"> ‘F</w:t>
      </w:r>
      <w:r w:rsidR="001D5C47">
        <w:rPr>
          <w:rFonts w:ascii="Calibri" w:hAnsi="Calibri" w:cs="Calibri"/>
          <w:color w:val="000000" w:themeColor="text1"/>
          <w:lang w:val="en-GB"/>
        </w:rPr>
        <w:t>uck Calories</w:t>
      </w:r>
      <w:r w:rsidR="004A1ED6" w:rsidRPr="00DD65C2">
        <w:rPr>
          <w:rFonts w:ascii="Calibri" w:hAnsi="Calibri" w:cs="Calibri"/>
          <w:color w:val="000000" w:themeColor="text1"/>
          <w:lang w:val="en-GB"/>
        </w:rPr>
        <w:t>’</w:t>
      </w:r>
      <w:r w:rsidR="00504F94" w:rsidRPr="00DD65C2">
        <w:rPr>
          <w:rFonts w:ascii="Calibri" w:hAnsi="Calibri" w:cs="Calibri"/>
          <w:color w:val="000000" w:themeColor="text1"/>
          <w:lang w:val="en-GB"/>
        </w:rPr>
        <w:t xml:space="preserve"> in exclusive terms </w:t>
      </w:r>
      <w:r w:rsidR="00046035" w:rsidRPr="00DD65C2">
        <w:rPr>
          <w:rFonts w:ascii="Calibri" w:hAnsi="Calibri" w:cs="Calibri"/>
          <w:color w:val="000000" w:themeColor="text1"/>
          <w:lang w:val="en-GB"/>
        </w:rPr>
        <w:t>would</w:t>
      </w:r>
      <w:r w:rsidR="003209D2" w:rsidRPr="00DD65C2">
        <w:rPr>
          <w:rFonts w:ascii="Calibri" w:hAnsi="Calibri" w:cs="Calibri"/>
          <w:color w:val="000000" w:themeColor="text1"/>
          <w:lang w:val="en-GB"/>
        </w:rPr>
        <w:t>, in turn,</w:t>
      </w:r>
      <w:r w:rsidR="00504F94" w:rsidRPr="00DD65C2">
        <w:rPr>
          <w:rFonts w:ascii="Calibri" w:hAnsi="Calibri" w:cs="Calibri"/>
          <w:color w:val="000000" w:themeColor="text1"/>
          <w:lang w:val="en-GB"/>
        </w:rPr>
        <w:t xml:space="preserve"> preclude it from building a brand image around </w:t>
      </w:r>
      <w:r w:rsidR="003209D2" w:rsidRPr="00DD65C2">
        <w:rPr>
          <w:rFonts w:ascii="Calibri" w:hAnsi="Calibri" w:cs="Calibri"/>
          <w:color w:val="000000" w:themeColor="text1"/>
          <w:lang w:val="en-GB"/>
        </w:rPr>
        <w:t>it</w:t>
      </w:r>
      <w:r w:rsidR="0045357B" w:rsidRPr="00DD65C2">
        <w:rPr>
          <w:rFonts w:ascii="Calibri" w:hAnsi="Calibri" w:cs="Calibri"/>
          <w:color w:val="000000" w:themeColor="text1"/>
          <w:lang w:val="en-GB"/>
        </w:rPr>
        <w:t xml:space="preserve">. </w:t>
      </w:r>
      <w:r w:rsidR="000D05E3" w:rsidRPr="00DD65C2">
        <w:rPr>
          <w:rFonts w:ascii="Calibri" w:hAnsi="Calibri" w:cs="Calibri"/>
          <w:color w:val="000000" w:themeColor="text1"/>
          <w:lang w:val="en-GB"/>
        </w:rPr>
        <w:t>This</w:t>
      </w:r>
      <w:r w:rsidR="008B0AC9" w:rsidRPr="00DD65C2">
        <w:rPr>
          <w:rFonts w:ascii="Calibri" w:hAnsi="Calibri" w:cs="Calibri"/>
          <w:color w:val="000000" w:themeColor="text1"/>
          <w:lang w:val="en-GB"/>
        </w:rPr>
        <w:t xml:space="preserve"> </w:t>
      </w:r>
      <w:r w:rsidR="00C65F68" w:rsidRPr="00DD65C2">
        <w:rPr>
          <w:rFonts w:ascii="Calibri" w:hAnsi="Calibri" w:cs="Calibri"/>
          <w:color w:val="000000" w:themeColor="text1"/>
          <w:lang w:val="en-GB"/>
        </w:rPr>
        <w:t>could</w:t>
      </w:r>
      <w:r w:rsidR="008B0AC9" w:rsidRPr="00DD65C2">
        <w:rPr>
          <w:rFonts w:ascii="Calibri" w:hAnsi="Calibri" w:cs="Calibri"/>
          <w:color w:val="000000" w:themeColor="text1"/>
          <w:lang w:val="en-GB"/>
        </w:rPr>
        <w:t xml:space="preserve"> </w:t>
      </w:r>
      <w:r w:rsidR="000D05E3" w:rsidRPr="00DD65C2">
        <w:rPr>
          <w:rFonts w:ascii="Calibri" w:hAnsi="Calibri" w:cs="Calibri"/>
          <w:color w:val="000000" w:themeColor="text1"/>
          <w:lang w:val="en-GB"/>
        </w:rPr>
        <w:t>lead to the sign not evolving in such a way as to convey the additional meanings that Adidas AG wishes to communicate in the marketplace, notably: (a) the high quality of, and reputation enjoyed by, its sports equipment; and (b) its belief in the desirability of leading a healthy and stylish lifestyle, to which its products wish to contribute.</w:t>
      </w:r>
      <w:r w:rsidR="0007528B" w:rsidRPr="00DD65C2">
        <w:rPr>
          <w:rStyle w:val="FootnoteReference"/>
          <w:rFonts w:ascii="Calibri" w:hAnsi="Calibri" w:cs="Calibri"/>
        </w:rPr>
        <w:footnoteReference w:id="76"/>
      </w:r>
      <w:r w:rsidR="000D05E3" w:rsidRPr="00DD65C2">
        <w:rPr>
          <w:rFonts w:ascii="Calibri" w:hAnsi="Calibri" w:cs="Calibri"/>
          <w:color w:val="000000" w:themeColor="text1"/>
          <w:lang w:val="en-GB"/>
        </w:rPr>
        <w:t xml:space="preserve"> </w:t>
      </w:r>
    </w:p>
    <w:p w14:paraId="13CA20FE" w14:textId="77777777" w:rsidR="003209D2" w:rsidRPr="00DD65C2" w:rsidRDefault="003209D2" w:rsidP="00504F94">
      <w:pPr>
        <w:jc w:val="both"/>
        <w:rPr>
          <w:rFonts w:ascii="Calibri" w:hAnsi="Calibri" w:cs="Calibri"/>
          <w:color w:val="000000" w:themeColor="text1"/>
          <w:lang w:val="en-GB"/>
        </w:rPr>
      </w:pPr>
    </w:p>
    <w:p w14:paraId="2F015FAA" w14:textId="35569078" w:rsidR="000D05E3" w:rsidRPr="00DD65C2" w:rsidRDefault="008A57D0" w:rsidP="00504F94">
      <w:pPr>
        <w:jc w:val="both"/>
        <w:rPr>
          <w:rFonts w:ascii="Calibri" w:eastAsiaTheme="minorHAnsi" w:hAnsi="Calibri" w:cs="Calibri"/>
          <w:lang w:val="en-GB" w:eastAsia="en-US"/>
        </w:rPr>
      </w:pPr>
      <w:r w:rsidRPr="00DD65C2">
        <w:rPr>
          <w:rFonts w:ascii="Calibri" w:hAnsi="Calibri" w:cs="Calibri"/>
          <w:color w:val="000000" w:themeColor="text1"/>
          <w:lang w:val="en-GB"/>
        </w:rPr>
        <w:t>The</w:t>
      </w:r>
      <w:r w:rsidR="000D05E3" w:rsidRPr="00DD65C2">
        <w:rPr>
          <w:rFonts w:ascii="Calibri" w:eastAsiaTheme="minorHAnsi" w:hAnsi="Calibri" w:cs="Calibri"/>
          <w:lang w:val="en-GB" w:eastAsia="en-US"/>
        </w:rPr>
        <w:t xml:space="preserve"> refusal to register </w:t>
      </w:r>
      <w:r w:rsidR="003209D2" w:rsidRPr="00DD65C2">
        <w:rPr>
          <w:rFonts w:ascii="Calibri" w:eastAsiaTheme="minorHAnsi" w:hAnsi="Calibri" w:cs="Calibri"/>
          <w:lang w:val="en-GB" w:eastAsia="en-US"/>
        </w:rPr>
        <w:t xml:space="preserve">the sign </w:t>
      </w:r>
      <w:r w:rsidR="000D05E3" w:rsidRPr="00DD65C2">
        <w:rPr>
          <w:rFonts w:ascii="Calibri" w:eastAsiaTheme="minorHAnsi" w:hAnsi="Calibri" w:cs="Calibri"/>
          <w:lang w:val="en-GB" w:eastAsia="en-US"/>
        </w:rPr>
        <w:t>‘</w:t>
      </w:r>
      <w:r w:rsidR="003209D2" w:rsidRPr="00DD65C2">
        <w:rPr>
          <w:rFonts w:ascii="Calibri" w:eastAsiaTheme="minorHAnsi" w:hAnsi="Calibri" w:cs="Calibri"/>
          <w:lang w:val="en-GB" w:eastAsia="en-US"/>
        </w:rPr>
        <w:t>F</w:t>
      </w:r>
      <w:r w:rsidR="001D5C47">
        <w:rPr>
          <w:rFonts w:ascii="Calibri" w:eastAsiaTheme="minorHAnsi" w:hAnsi="Calibri" w:cs="Calibri"/>
          <w:lang w:val="en-GB" w:eastAsia="en-US"/>
        </w:rPr>
        <w:t>uck Calories</w:t>
      </w:r>
      <w:r w:rsidR="006B37F9" w:rsidRPr="00DD65C2">
        <w:rPr>
          <w:rFonts w:ascii="Calibri" w:eastAsiaTheme="minorHAnsi" w:hAnsi="Calibri" w:cs="Calibri"/>
          <w:lang w:val="en-GB" w:eastAsia="en-US"/>
        </w:rPr>
        <w:t xml:space="preserve">’ </w:t>
      </w:r>
      <w:r w:rsidR="003209D2" w:rsidRPr="00DD65C2">
        <w:rPr>
          <w:rFonts w:ascii="Calibri" w:eastAsiaTheme="minorHAnsi" w:hAnsi="Calibri" w:cs="Calibri"/>
          <w:lang w:val="en-GB" w:eastAsia="en-US"/>
        </w:rPr>
        <w:t xml:space="preserve">as a </w:t>
      </w:r>
      <w:r w:rsidR="005550EE" w:rsidRPr="00DD65C2">
        <w:rPr>
          <w:rFonts w:ascii="Calibri" w:eastAsiaTheme="minorHAnsi" w:hAnsi="Calibri" w:cs="Calibri"/>
          <w:lang w:val="en-GB" w:eastAsia="en-US"/>
        </w:rPr>
        <w:t xml:space="preserve">trade </w:t>
      </w:r>
      <w:r w:rsidR="003209D2" w:rsidRPr="00DD65C2">
        <w:rPr>
          <w:rFonts w:ascii="Calibri" w:eastAsiaTheme="minorHAnsi" w:hAnsi="Calibri" w:cs="Calibri"/>
          <w:lang w:val="en-GB" w:eastAsia="en-US"/>
        </w:rPr>
        <w:t>mark in relation to sportswear</w:t>
      </w:r>
      <w:r w:rsidR="000D05E3" w:rsidRPr="00DD65C2">
        <w:rPr>
          <w:rFonts w:ascii="Calibri" w:eastAsiaTheme="minorHAnsi" w:hAnsi="Calibri" w:cs="Calibri"/>
          <w:lang w:val="en-GB" w:eastAsia="en-US"/>
        </w:rPr>
        <w:t xml:space="preserve"> </w:t>
      </w:r>
      <w:r w:rsidR="00BA33AC" w:rsidRPr="00DD65C2">
        <w:rPr>
          <w:rFonts w:ascii="Calibri" w:eastAsiaTheme="minorHAnsi" w:hAnsi="Calibri" w:cs="Calibri"/>
          <w:lang w:val="en-GB" w:eastAsia="en-US"/>
        </w:rPr>
        <w:t>would</w:t>
      </w:r>
      <w:r w:rsidRPr="00DD65C2">
        <w:rPr>
          <w:rFonts w:ascii="Calibri" w:eastAsiaTheme="minorHAnsi" w:hAnsi="Calibri" w:cs="Calibri"/>
          <w:lang w:val="en-GB" w:eastAsia="en-US"/>
        </w:rPr>
        <w:t>, therefore,</w:t>
      </w:r>
      <w:r w:rsidR="000D05E3" w:rsidRPr="00DD65C2">
        <w:rPr>
          <w:rFonts w:ascii="Calibri" w:eastAsiaTheme="minorHAnsi" w:hAnsi="Calibri" w:cs="Calibri"/>
          <w:lang w:val="en-GB" w:eastAsia="en-US"/>
        </w:rPr>
        <w:t xml:space="preserve"> prevent Adidas AG from communicating its preferred messages through use of its preferred sign. </w:t>
      </w:r>
      <w:r w:rsidR="00124545" w:rsidRPr="00DD65C2">
        <w:rPr>
          <w:rFonts w:ascii="Calibri" w:eastAsiaTheme="minorHAnsi" w:hAnsi="Calibri" w:cs="Calibri"/>
          <w:lang w:val="en-GB" w:eastAsia="en-US"/>
        </w:rPr>
        <w:t xml:space="preserve">This </w:t>
      </w:r>
      <w:r w:rsidR="002F4C20" w:rsidRPr="00DD65C2">
        <w:rPr>
          <w:rFonts w:ascii="Calibri" w:eastAsiaTheme="minorHAnsi" w:hAnsi="Calibri" w:cs="Calibri"/>
          <w:lang w:val="en-GB" w:eastAsia="en-US"/>
        </w:rPr>
        <w:t>would</w:t>
      </w:r>
      <w:r w:rsidR="00124545" w:rsidRPr="00DD65C2">
        <w:rPr>
          <w:rFonts w:ascii="Calibri" w:eastAsiaTheme="minorHAnsi" w:hAnsi="Calibri" w:cs="Calibri"/>
          <w:lang w:val="en-GB" w:eastAsia="en-US"/>
        </w:rPr>
        <w:t xml:space="preserve"> run counter to its expressive interests</w:t>
      </w:r>
      <w:r w:rsidR="004A1ED6" w:rsidRPr="00DD65C2">
        <w:rPr>
          <w:rFonts w:ascii="Calibri" w:eastAsiaTheme="minorHAnsi" w:hAnsi="Calibri" w:cs="Calibri"/>
          <w:lang w:val="en-GB" w:eastAsia="en-US"/>
        </w:rPr>
        <w:t xml:space="preserve"> as protected under Article 10 ECHR.</w:t>
      </w:r>
    </w:p>
    <w:p w14:paraId="7425C5AE" w14:textId="698CD20A" w:rsidR="007863C7" w:rsidRPr="00DD65C2" w:rsidRDefault="007863C7" w:rsidP="007863C7">
      <w:pPr>
        <w:jc w:val="both"/>
        <w:rPr>
          <w:rFonts w:ascii="Calibri" w:hAnsi="Calibri" w:cs="Calibri"/>
          <w:b/>
          <w:bCs/>
        </w:rPr>
      </w:pPr>
    </w:p>
    <w:p w14:paraId="6766EF6B" w14:textId="60548501" w:rsidR="007863C7" w:rsidRPr="00DD65C2" w:rsidRDefault="007863C7" w:rsidP="00592C6D">
      <w:pPr>
        <w:pStyle w:val="ListParagraph"/>
        <w:numPr>
          <w:ilvl w:val="1"/>
          <w:numId w:val="13"/>
        </w:numPr>
        <w:jc w:val="both"/>
        <w:rPr>
          <w:rFonts w:ascii="Calibri" w:hAnsi="Calibri" w:cs="Calibri"/>
          <w:b/>
          <w:bCs/>
        </w:rPr>
      </w:pPr>
      <w:r w:rsidRPr="00DD65C2">
        <w:rPr>
          <w:rFonts w:ascii="Calibri" w:hAnsi="Calibri" w:cs="Calibri"/>
          <w:b/>
          <w:bCs/>
        </w:rPr>
        <w:t xml:space="preserve">The Interaction Between </w:t>
      </w:r>
      <w:r w:rsidR="008C71A1" w:rsidRPr="00DD65C2">
        <w:rPr>
          <w:rFonts w:ascii="Calibri" w:hAnsi="Calibri" w:cs="Calibri"/>
          <w:b/>
          <w:bCs/>
        </w:rPr>
        <w:t xml:space="preserve">Trade </w:t>
      </w:r>
      <w:r w:rsidRPr="00DD65C2">
        <w:rPr>
          <w:rFonts w:ascii="Calibri" w:hAnsi="Calibri" w:cs="Calibri"/>
          <w:b/>
          <w:bCs/>
        </w:rPr>
        <w:t>Marks and Speech</w:t>
      </w:r>
      <w:r w:rsidR="00592C6D" w:rsidRPr="00DD65C2">
        <w:rPr>
          <w:rFonts w:ascii="Calibri" w:hAnsi="Calibri" w:cs="Calibri"/>
          <w:b/>
          <w:bCs/>
        </w:rPr>
        <w:t xml:space="preserve"> in the Registration Context: </w:t>
      </w:r>
      <w:r w:rsidR="001A7513" w:rsidRPr="00DD65C2">
        <w:rPr>
          <w:rFonts w:ascii="Calibri" w:hAnsi="Calibri" w:cs="Calibri"/>
          <w:b/>
          <w:bCs/>
        </w:rPr>
        <w:t>An Overview of the Case Law</w:t>
      </w:r>
    </w:p>
    <w:p w14:paraId="72CB9DB0" w14:textId="77777777" w:rsidR="00636281" w:rsidRPr="00DD65C2" w:rsidRDefault="00636281" w:rsidP="00504F94">
      <w:pPr>
        <w:jc w:val="both"/>
        <w:rPr>
          <w:rFonts w:ascii="Calibri" w:hAnsi="Calibri" w:cs="Calibri"/>
          <w:lang w:val="en-GB"/>
        </w:rPr>
      </w:pPr>
    </w:p>
    <w:p w14:paraId="64309877" w14:textId="7C981B2D" w:rsidR="00FC32FF" w:rsidRPr="00DD65C2" w:rsidRDefault="00FB67E7" w:rsidP="00504F94">
      <w:pPr>
        <w:jc w:val="both"/>
        <w:rPr>
          <w:rFonts w:ascii="Calibri" w:hAnsi="Calibri" w:cs="Calibri"/>
          <w:lang w:val="en-GB" w:eastAsia="en-US"/>
        </w:rPr>
      </w:pPr>
      <w:r w:rsidRPr="00DD65C2">
        <w:rPr>
          <w:rFonts w:ascii="Calibri" w:hAnsi="Calibri" w:cs="Calibri"/>
          <w:lang w:val="en-GB"/>
        </w:rPr>
        <w:t xml:space="preserve">The fundamental argument put forth by </w:t>
      </w:r>
      <w:r w:rsidR="006174BE" w:rsidRPr="00DD65C2">
        <w:rPr>
          <w:rFonts w:ascii="Calibri" w:hAnsi="Calibri" w:cs="Calibri"/>
          <w:lang w:val="en-GB"/>
        </w:rPr>
        <w:t>critics of</w:t>
      </w:r>
      <w:r w:rsidRPr="00DD65C2">
        <w:rPr>
          <w:rFonts w:ascii="Calibri" w:hAnsi="Calibri" w:cs="Calibri"/>
          <w:lang w:val="en-GB"/>
        </w:rPr>
        <w:t xml:space="preserve"> </w:t>
      </w:r>
      <w:r w:rsidR="007863C7" w:rsidRPr="00DD65C2">
        <w:rPr>
          <w:rFonts w:ascii="Calibri" w:hAnsi="Calibri" w:cs="Calibri"/>
          <w:lang w:val="en-GB"/>
        </w:rPr>
        <w:t>freedom of expression</w:t>
      </w:r>
      <w:r w:rsidRPr="00DD65C2">
        <w:rPr>
          <w:rFonts w:ascii="Calibri" w:hAnsi="Calibri" w:cs="Calibri"/>
          <w:lang w:val="en-GB"/>
        </w:rPr>
        <w:t xml:space="preserve"> </w:t>
      </w:r>
      <w:r w:rsidR="006174BE" w:rsidRPr="00DD65C2">
        <w:rPr>
          <w:rFonts w:ascii="Calibri" w:hAnsi="Calibri" w:cs="Calibri"/>
          <w:lang w:val="en-GB"/>
        </w:rPr>
        <w:t>being</w:t>
      </w:r>
      <w:r w:rsidRPr="00DD65C2">
        <w:rPr>
          <w:rFonts w:ascii="Calibri" w:hAnsi="Calibri" w:cs="Calibri"/>
          <w:lang w:val="en-GB"/>
        </w:rPr>
        <w:t xml:space="preserve"> implicated in the registration context is the ‘availability’ argument. </w:t>
      </w:r>
      <w:r w:rsidR="00E93C21" w:rsidRPr="00DD65C2">
        <w:rPr>
          <w:rFonts w:ascii="Calibri" w:hAnsi="Calibri" w:cs="Calibri"/>
          <w:lang w:val="en-GB" w:eastAsia="en-US"/>
        </w:rPr>
        <w:t xml:space="preserve">As noted on several occasions by the UK </w:t>
      </w:r>
      <w:r w:rsidR="00E74CBB" w:rsidRPr="00DD65C2">
        <w:rPr>
          <w:rFonts w:ascii="Calibri" w:hAnsi="Calibri" w:cs="Calibri"/>
          <w:lang w:val="en-GB" w:eastAsia="en-US"/>
        </w:rPr>
        <w:t>AP</w:t>
      </w:r>
      <w:r w:rsidR="00E93C21" w:rsidRPr="00DD65C2">
        <w:rPr>
          <w:rFonts w:ascii="Calibri" w:hAnsi="Calibri" w:cs="Calibri"/>
          <w:lang w:val="en-GB" w:eastAsia="en-US"/>
        </w:rPr>
        <w:t xml:space="preserve">, the refusal to register a mark on </w:t>
      </w:r>
      <w:r w:rsidRPr="00DD65C2">
        <w:rPr>
          <w:rFonts w:ascii="Calibri" w:hAnsi="Calibri" w:cs="Calibri"/>
          <w:lang w:val="en-GB" w:eastAsia="en-US"/>
        </w:rPr>
        <w:t>morality or public policy</w:t>
      </w:r>
      <w:r w:rsidR="00E93C21" w:rsidRPr="00DD65C2">
        <w:rPr>
          <w:rFonts w:ascii="Calibri" w:hAnsi="Calibri" w:cs="Calibri"/>
          <w:lang w:val="en-GB" w:eastAsia="en-US"/>
        </w:rPr>
        <w:t xml:space="preserve"> grounds is inherently paradoxical, insofar as the sign will remain </w:t>
      </w:r>
      <w:r w:rsidR="00E93C21" w:rsidRPr="00DD65C2">
        <w:rPr>
          <w:rFonts w:ascii="Calibri" w:hAnsi="Calibri" w:cs="Calibri"/>
          <w:i/>
          <w:iCs/>
          <w:lang w:val="en-GB" w:eastAsia="en-US"/>
        </w:rPr>
        <w:t>available</w:t>
      </w:r>
      <w:r w:rsidR="00E93C21" w:rsidRPr="00DD65C2">
        <w:rPr>
          <w:rFonts w:ascii="Calibri" w:hAnsi="Calibri" w:cs="Calibri"/>
          <w:lang w:val="en-GB" w:eastAsia="en-US"/>
        </w:rPr>
        <w:t xml:space="preserve"> for use by all traders to distinguish their goods or services, instead of being used solely by the would-be owner.</w:t>
      </w:r>
      <w:r w:rsidR="00E93C21" w:rsidRPr="00DD65C2">
        <w:rPr>
          <w:rStyle w:val="FootnoteReference"/>
          <w:rFonts w:ascii="Calibri" w:hAnsi="Calibri" w:cs="Calibri"/>
        </w:rPr>
        <w:footnoteReference w:id="77"/>
      </w:r>
      <w:r w:rsidR="00E93C21" w:rsidRPr="00DD65C2">
        <w:rPr>
          <w:rFonts w:ascii="Calibri" w:hAnsi="Calibri" w:cs="Calibri"/>
          <w:lang w:val="en-GB" w:eastAsia="en-US"/>
        </w:rPr>
        <w:t xml:space="preserve"> Accordingly, a finding that a sign is immoral or contrary to public policy may lead to the counterintuitive scenario where the sign is used more, rather than less, in the course of trade. </w:t>
      </w:r>
      <w:r w:rsidR="00636281" w:rsidRPr="00DD65C2">
        <w:rPr>
          <w:rFonts w:ascii="Calibri" w:hAnsi="Calibri" w:cs="Calibri"/>
          <w:lang w:val="en-GB" w:eastAsia="en-US"/>
        </w:rPr>
        <w:t>However, this provision is justified on grounds that signs that consist of anti-social subject matter should not be afforded the institutional backing that ensues from trade mark protection.</w:t>
      </w:r>
      <w:r w:rsidR="00636281" w:rsidRPr="00DD65C2">
        <w:rPr>
          <w:rStyle w:val="FootnoteReference"/>
          <w:rFonts w:ascii="Calibri" w:hAnsi="Calibri" w:cs="Calibri"/>
        </w:rPr>
        <w:footnoteReference w:id="78"/>
      </w:r>
      <w:r w:rsidR="00636281" w:rsidRPr="00DD65C2">
        <w:rPr>
          <w:rFonts w:ascii="Calibri" w:hAnsi="Calibri" w:cs="Calibri"/>
          <w:lang w:val="en-GB" w:eastAsia="en-US"/>
        </w:rPr>
        <w:t xml:space="preserve"> Arnold QC </w:t>
      </w:r>
      <w:r w:rsidR="00B51C03" w:rsidRPr="00DD65C2">
        <w:rPr>
          <w:rFonts w:ascii="Calibri" w:hAnsi="Calibri" w:cs="Calibri"/>
          <w:lang w:val="en-GB" w:eastAsia="en-US"/>
        </w:rPr>
        <w:t>was not persuaded by this rationale</w:t>
      </w:r>
      <w:r w:rsidR="00636281" w:rsidRPr="00DD65C2">
        <w:rPr>
          <w:rFonts w:ascii="Calibri" w:hAnsi="Calibri" w:cs="Calibri"/>
          <w:lang w:val="en-GB" w:eastAsia="en-US"/>
        </w:rPr>
        <w:t xml:space="preserve"> in </w:t>
      </w:r>
      <w:r w:rsidR="00636281" w:rsidRPr="00DD65C2">
        <w:rPr>
          <w:rFonts w:ascii="Calibri" w:hAnsi="Calibri" w:cs="Calibri"/>
          <w:i/>
          <w:iCs/>
          <w:lang w:val="en-GB" w:eastAsia="en-US"/>
        </w:rPr>
        <w:t>French Connection</w:t>
      </w:r>
      <w:r w:rsidR="00636281" w:rsidRPr="00DD65C2">
        <w:rPr>
          <w:rFonts w:ascii="Calibri" w:hAnsi="Calibri" w:cs="Calibri"/>
          <w:lang w:val="en-GB" w:eastAsia="en-US"/>
        </w:rPr>
        <w:t>. In his view, conceptualizing registration as ‘an official seal of approval’ is inconsistent with the act of registration, which does not imply endorsement by the authorities, but rather the administrative recognition that an applied-for sign meets the requirements set forth by trade mark law.</w:t>
      </w:r>
      <w:r w:rsidR="00636281" w:rsidRPr="00DD65C2">
        <w:rPr>
          <w:rStyle w:val="FootnoteReference"/>
          <w:rFonts w:ascii="Calibri" w:hAnsi="Calibri" w:cs="Calibri"/>
        </w:rPr>
        <w:footnoteReference w:id="79"/>
      </w:r>
      <w:r w:rsidR="00636281" w:rsidRPr="00DD65C2">
        <w:rPr>
          <w:rFonts w:ascii="Calibri" w:hAnsi="Calibri" w:cs="Calibri"/>
          <w:lang w:val="en-GB" w:eastAsia="en-US"/>
        </w:rPr>
        <w:t xml:space="preserve"> He thus proposed an alternative justification for this ground of refusal: ‘to prevent the conferring of intellectual property rights which a court would refuse to enforce’.</w:t>
      </w:r>
      <w:r w:rsidR="00636281" w:rsidRPr="00DD65C2">
        <w:rPr>
          <w:rStyle w:val="FootnoteReference"/>
          <w:rFonts w:ascii="Calibri" w:hAnsi="Calibri" w:cs="Calibri"/>
        </w:rPr>
        <w:footnoteReference w:id="80"/>
      </w:r>
      <w:r w:rsidR="00636281" w:rsidRPr="00DD65C2">
        <w:rPr>
          <w:rFonts w:ascii="Calibri" w:hAnsi="Calibri" w:cs="Calibri"/>
          <w:lang w:val="en-GB" w:eastAsia="en-US"/>
        </w:rPr>
        <w:t xml:space="preserve"> </w:t>
      </w:r>
    </w:p>
    <w:p w14:paraId="784BCFA7" w14:textId="77777777" w:rsidR="00FC32FF" w:rsidRPr="00DD65C2" w:rsidRDefault="00FC32FF" w:rsidP="00504F94">
      <w:pPr>
        <w:jc w:val="both"/>
        <w:rPr>
          <w:rFonts w:ascii="Calibri" w:hAnsi="Calibri" w:cs="Calibri"/>
          <w:lang w:val="en-GB" w:eastAsia="en-US"/>
        </w:rPr>
      </w:pPr>
    </w:p>
    <w:p w14:paraId="5CD98E6C" w14:textId="73AC9EB9" w:rsidR="00F53F0E" w:rsidRPr="00DD65C2" w:rsidRDefault="00636281" w:rsidP="000A3430">
      <w:pPr>
        <w:jc w:val="both"/>
        <w:rPr>
          <w:rFonts w:ascii="Calibri" w:hAnsi="Calibri" w:cs="Calibri"/>
          <w:lang w:val="en-GB"/>
        </w:rPr>
      </w:pPr>
      <w:r w:rsidRPr="00DD65C2">
        <w:rPr>
          <w:rFonts w:ascii="Calibri" w:hAnsi="Calibri" w:cs="Calibri"/>
          <w:lang w:val="en-GB" w:eastAsia="en-US"/>
        </w:rPr>
        <w:t xml:space="preserve">For purposes of applicants’ freedom of expression, the ‘availability’ argument </w:t>
      </w:r>
      <w:r w:rsidR="00F40CA9" w:rsidRPr="00DD65C2">
        <w:rPr>
          <w:rFonts w:ascii="Calibri" w:hAnsi="Calibri" w:cs="Calibri"/>
          <w:lang w:val="en-GB" w:eastAsia="en-US"/>
        </w:rPr>
        <w:t xml:space="preserve">can </w:t>
      </w:r>
      <w:r w:rsidRPr="00DD65C2">
        <w:rPr>
          <w:rFonts w:ascii="Calibri" w:hAnsi="Calibri" w:cs="Calibri"/>
          <w:lang w:val="en-GB" w:eastAsia="en-US"/>
        </w:rPr>
        <w:t xml:space="preserve">cast doubt on refusals of registration </w:t>
      </w:r>
      <w:r w:rsidR="00F40CA9" w:rsidRPr="00DD65C2">
        <w:rPr>
          <w:rFonts w:ascii="Calibri" w:hAnsi="Calibri" w:cs="Calibri"/>
          <w:lang w:val="en-GB" w:eastAsia="en-US"/>
        </w:rPr>
        <w:t>being liable to curtail</w:t>
      </w:r>
      <w:r w:rsidRPr="00DD65C2">
        <w:rPr>
          <w:rFonts w:ascii="Calibri" w:hAnsi="Calibri" w:cs="Calibri"/>
          <w:lang w:val="en-GB" w:eastAsia="en-US"/>
        </w:rPr>
        <w:t xml:space="preserve"> their Article 10 ECHR rights. </w:t>
      </w:r>
      <w:r w:rsidR="007E0F14" w:rsidRPr="00DD65C2">
        <w:rPr>
          <w:rFonts w:ascii="Calibri" w:hAnsi="Calibri" w:cs="Calibri"/>
          <w:lang w:val="en-GB"/>
        </w:rPr>
        <w:t xml:space="preserve">For instance, </w:t>
      </w:r>
      <w:r w:rsidR="00985803" w:rsidRPr="00DD65C2">
        <w:rPr>
          <w:rFonts w:ascii="Calibri" w:hAnsi="Calibri" w:cs="Calibri"/>
          <w:lang w:val="en-GB"/>
        </w:rPr>
        <w:t xml:space="preserve">in its decision in </w:t>
      </w:r>
      <w:r w:rsidR="00985803" w:rsidRPr="00DD65C2">
        <w:rPr>
          <w:rFonts w:ascii="Calibri" w:hAnsi="Calibri" w:cs="Calibri"/>
          <w:i/>
          <w:iCs/>
          <w:lang w:val="en-GB"/>
        </w:rPr>
        <w:t>Federico Cortés</w:t>
      </w:r>
      <w:r w:rsidR="006F1A51" w:rsidRPr="00DD65C2">
        <w:rPr>
          <w:rFonts w:ascii="Calibri" w:hAnsi="Calibri" w:cs="Calibri"/>
          <w:lang w:val="en-GB"/>
        </w:rPr>
        <w:t>,</w:t>
      </w:r>
      <w:r w:rsidR="009D2409" w:rsidRPr="00DD65C2">
        <w:rPr>
          <w:rFonts w:ascii="Calibri" w:hAnsi="Calibri" w:cs="Calibri"/>
          <w:lang w:val="en-GB"/>
        </w:rPr>
        <w:t xml:space="preserve"> the </w:t>
      </w:r>
      <w:r w:rsidR="00EE66EE" w:rsidRPr="00DD65C2">
        <w:rPr>
          <w:rFonts w:ascii="Calibri" w:hAnsi="Calibri" w:cs="Calibri"/>
          <w:lang w:val="en-GB"/>
        </w:rPr>
        <w:t>GC</w:t>
      </w:r>
      <w:r w:rsidR="006F1A51" w:rsidRPr="00DD65C2">
        <w:rPr>
          <w:rFonts w:ascii="Calibri" w:hAnsi="Calibri" w:cs="Calibri"/>
          <w:lang w:val="en-GB"/>
        </w:rPr>
        <w:t xml:space="preserve"> </w:t>
      </w:r>
      <w:r w:rsidR="00985803" w:rsidRPr="00DD65C2">
        <w:rPr>
          <w:rFonts w:ascii="Calibri" w:hAnsi="Calibri" w:cs="Calibri"/>
          <w:lang w:val="en-GB"/>
        </w:rPr>
        <w:t xml:space="preserve">dismissed appellant’s free speech claim on grounds </w:t>
      </w:r>
      <w:r w:rsidR="007E0F14" w:rsidRPr="00DD65C2">
        <w:rPr>
          <w:rFonts w:ascii="Calibri" w:hAnsi="Calibri" w:cs="Calibri"/>
          <w:lang w:val="en-GB"/>
        </w:rPr>
        <w:t>t</w:t>
      </w:r>
      <w:r w:rsidR="00985803" w:rsidRPr="00DD65C2">
        <w:rPr>
          <w:rFonts w:ascii="Calibri" w:hAnsi="Calibri" w:cs="Calibri"/>
          <w:lang w:val="en-GB"/>
        </w:rPr>
        <w:t>hat</w:t>
      </w:r>
      <w:r w:rsidR="008115B8" w:rsidRPr="00DD65C2">
        <w:rPr>
          <w:rFonts w:ascii="Calibri" w:hAnsi="Calibri" w:cs="Calibri"/>
          <w:lang w:val="en-GB"/>
        </w:rPr>
        <w:t xml:space="preserve"> </w:t>
      </w:r>
      <w:r w:rsidR="00983F62">
        <w:rPr>
          <w:rFonts w:ascii="Calibri" w:hAnsi="Calibri" w:cs="Calibri"/>
          <w:lang w:val="en-GB"/>
        </w:rPr>
        <w:t xml:space="preserve">the </w:t>
      </w:r>
      <w:r w:rsidR="00EE66EE" w:rsidRPr="00DD65C2">
        <w:rPr>
          <w:rFonts w:ascii="Calibri" w:hAnsi="Calibri" w:cs="Calibri"/>
          <w:lang w:val="en-GB"/>
        </w:rPr>
        <w:t>‘</w:t>
      </w:r>
      <w:r w:rsidR="008115B8" w:rsidRPr="00DD65C2">
        <w:rPr>
          <w:rFonts w:ascii="Calibri" w:hAnsi="Calibri" w:cs="Calibri"/>
          <w:lang w:val="en-GB"/>
        </w:rPr>
        <w:t>r</w:t>
      </w:r>
      <w:r w:rsidR="00985803" w:rsidRPr="00DD65C2">
        <w:rPr>
          <w:rFonts w:ascii="Calibri" w:hAnsi="Calibri" w:cs="Calibri"/>
          <w:lang w:val="en-GB"/>
        </w:rPr>
        <w:t>efusal to register [appellant’s mark] does not have an impact on appellant’s ability to market its products using the applied-for sign nor, consequently, on its freedom of expression</w:t>
      </w:r>
      <w:r w:rsidR="00EE66EE" w:rsidRPr="00DD65C2">
        <w:rPr>
          <w:rFonts w:ascii="Calibri" w:hAnsi="Calibri" w:cs="Calibri"/>
          <w:lang w:val="en-GB"/>
        </w:rPr>
        <w:t>’</w:t>
      </w:r>
      <w:r w:rsidR="00985803" w:rsidRPr="00DD65C2">
        <w:rPr>
          <w:rFonts w:ascii="Calibri" w:hAnsi="Calibri" w:cs="Calibri"/>
          <w:lang w:val="en-GB"/>
        </w:rPr>
        <w:t>.</w:t>
      </w:r>
      <w:r w:rsidR="00985803" w:rsidRPr="00DD65C2">
        <w:rPr>
          <w:rStyle w:val="FootnoteReference"/>
          <w:rFonts w:ascii="Calibri" w:hAnsi="Calibri" w:cs="Calibri"/>
        </w:rPr>
        <w:footnoteReference w:id="81"/>
      </w:r>
      <w:r w:rsidR="008920AC" w:rsidRPr="00DD65C2">
        <w:rPr>
          <w:rFonts w:ascii="Calibri" w:hAnsi="Calibri" w:cs="Calibri"/>
          <w:lang w:val="en-GB"/>
        </w:rPr>
        <w:t xml:space="preserve"> This </w:t>
      </w:r>
      <w:r w:rsidR="00653672" w:rsidRPr="00DD65C2">
        <w:rPr>
          <w:rFonts w:ascii="Calibri" w:hAnsi="Calibri" w:cs="Calibri"/>
          <w:lang w:val="en-GB"/>
        </w:rPr>
        <w:t>has been</w:t>
      </w:r>
      <w:r w:rsidR="008920AC" w:rsidRPr="00DD65C2">
        <w:rPr>
          <w:rFonts w:ascii="Calibri" w:hAnsi="Calibri" w:cs="Calibri"/>
          <w:lang w:val="en-GB"/>
        </w:rPr>
        <w:t xml:space="preserve"> followed by the </w:t>
      </w:r>
      <w:r w:rsidR="006F1A51" w:rsidRPr="00DD65C2">
        <w:rPr>
          <w:rFonts w:ascii="Calibri" w:hAnsi="Calibri" w:cs="Calibri"/>
          <w:lang w:val="en-GB"/>
        </w:rPr>
        <w:t>GC</w:t>
      </w:r>
      <w:r w:rsidR="008920AC" w:rsidRPr="00DD65C2">
        <w:rPr>
          <w:rFonts w:ascii="Calibri" w:hAnsi="Calibri" w:cs="Calibri"/>
          <w:lang w:val="en-GB"/>
        </w:rPr>
        <w:t xml:space="preserve"> in subsequent decisions, as well as by the </w:t>
      </w:r>
      <w:r w:rsidR="006F1A51" w:rsidRPr="00DD65C2">
        <w:rPr>
          <w:rFonts w:ascii="Calibri" w:hAnsi="Calibri" w:cs="Calibri"/>
          <w:lang w:val="en-GB"/>
        </w:rPr>
        <w:t>EUIPO</w:t>
      </w:r>
      <w:r w:rsidR="008920AC" w:rsidRPr="00DD65C2">
        <w:rPr>
          <w:rFonts w:ascii="Calibri" w:hAnsi="Calibri" w:cs="Calibri"/>
          <w:lang w:val="en-GB"/>
        </w:rPr>
        <w:t>.</w:t>
      </w:r>
      <w:r w:rsidR="008920AC" w:rsidRPr="00DD65C2">
        <w:rPr>
          <w:rStyle w:val="FootnoteReference"/>
          <w:rFonts w:ascii="Calibri" w:hAnsi="Calibri" w:cs="Calibri"/>
        </w:rPr>
        <w:footnoteReference w:id="82"/>
      </w:r>
      <w:r w:rsidR="008920AC" w:rsidRPr="00DD65C2">
        <w:rPr>
          <w:rFonts w:ascii="Calibri" w:hAnsi="Calibri" w:cs="Calibri"/>
          <w:lang w:val="en-GB"/>
        </w:rPr>
        <w:t xml:space="preserve"> </w:t>
      </w:r>
    </w:p>
    <w:p w14:paraId="3D2D8FD4" w14:textId="77777777" w:rsidR="00F53F0E" w:rsidRPr="00DD65C2" w:rsidRDefault="00F53F0E" w:rsidP="000A3430">
      <w:pPr>
        <w:jc w:val="both"/>
        <w:rPr>
          <w:rFonts w:ascii="Calibri" w:hAnsi="Calibri" w:cs="Calibri"/>
          <w:lang w:val="en-GB"/>
        </w:rPr>
      </w:pPr>
    </w:p>
    <w:p w14:paraId="484B8135" w14:textId="77777777" w:rsidR="00AC0BF3" w:rsidRDefault="00985803" w:rsidP="006569BD">
      <w:pPr>
        <w:jc w:val="both"/>
        <w:rPr>
          <w:rFonts w:ascii="Calibri" w:hAnsi="Calibri" w:cs="Calibri"/>
          <w:color w:val="000000" w:themeColor="text1"/>
          <w:lang w:val="en-GB"/>
        </w:rPr>
      </w:pPr>
      <w:r w:rsidRPr="00DD65C2">
        <w:rPr>
          <w:rFonts w:ascii="Calibri" w:hAnsi="Calibri" w:cs="Calibri"/>
          <w:lang w:val="en-GB"/>
        </w:rPr>
        <w:t>Th</w:t>
      </w:r>
      <w:r w:rsidR="008920AC" w:rsidRPr="00DD65C2">
        <w:rPr>
          <w:rFonts w:ascii="Calibri" w:hAnsi="Calibri" w:cs="Calibri"/>
          <w:lang w:val="en-GB"/>
        </w:rPr>
        <w:t>ese cases are</w:t>
      </w:r>
      <w:r w:rsidRPr="00DD65C2">
        <w:rPr>
          <w:rFonts w:ascii="Calibri" w:hAnsi="Calibri" w:cs="Calibri"/>
          <w:lang w:val="en-GB"/>
        </w:rPr>
        <w:t xml:space="preserve"> not only in direct conflict with</w:t>
      </w:r>
      <w:r w:rsidR="00653672" w:rsidRPr="00DD65C2">
        <w:rPr>
          <w:rFonts w:ascii="Calibri" w:hAnsi="Calibri" w:cs="Calibri"/>
          <w:lang w:val="en-GB"/>
        </w:rPr>
        <w:t xml:space="preserve"> earlier case law</w:t>
      </w:r>
      <w:r w:rsidR="009A7853" w:rsidRPr="00DD65C2">
        <w:rPr>
          <w:rFonts w:ascii="Calibri" w:hAnsi="Calibri" w:cs="Calibri"/>
          <w:lang w:val="en-GB"/>
        </w:rPr>
        <w:t xml:space="preserve"> </w:t>
      </w:r>
      <w:r w:rsidRPr="00DD65C2">
        <w:rPr>
          <w:rFonts w:ascii="Calibri" w:hAnsi="Calibri" w:cs="Calibri"/>
          <w:lang w:val="en-GB"/>
        </w:rPr>
        <w:t xml:space="preserve">from the </w:t>
      </w:r>
      <w:r w:rsidR="006F1A51" w:rsidRPr="00DD65C2">
        <w:rPr>
          <w:rFonts w:ascii="Calibri" w:hAnsi="Calibri" w:cs="Calibri"/>
          <w:lang w:val="en-GB"/>
        </w:rPr>
        <w:t>GC</w:t>
      </w:r>
      <w:r w:rsidR="00C926EC" w:rsidRPr="00DD65C2">
        <w:rPr>
          <w:rFonts w:ascii="Calibri" w:hAnsi="Calibri" w:cs="Calibri"/>
          <w:lang w:val="en-GB"/>
        </w:rPr>
        <w:t xml:space="preserve">, </w:t>
      </w:r>
      <w:r w:rsidRPr="00DD65C2">
        <w:rPr>
          <w:rFonts w:ascii="Calibri" w:hAnsi="Calibri" w:cs="Calibri"/>
          <w:lang w:val="en-GB"/>
        </w:rPr>
        <w:t xml:space="preserve">but also with </w:t>
      </w:r>
      <w:r w:rsidR="00A81791" w:rsidRPr="00DD65C2">
        <w:rPr>
          <w:rFonts w:ascii="Calibri" w:hAnsi="Calibri" w:cs="Calibri"/>
          <w:lang w:val="en-GB"/>
        </w:rPr>
        <w:t>many</w:t>
      </w:r>
      <w:r w:rsidRPr="00DD65C2">
        <w:rPr>
          <w:rFonts w:ascii="Calibri" w:hAnsi="Calibri" w:cs="Calibri"/>
          <w:lang w:val="en-GB"/>
        </w:rPr>
        <w:t xml:space="preserve"> decision</w:t>
      </w:r>
      <w:r w:rsidR="005A18FD" w:rsidRPr="00DD65C2">
        <w:rPr>
          <w:rFonts w:ascii="Calibri" w:hAnsi="Calibri" w:cs="Calibri"/>
          <w:lang w:val="en-GB"/>
        </w:rPr>
        <w:t>s</w:t>
      </w:r>
      <w:r w:rsidRPr="00DD65C2">
        <w:rPr>
          <w:rFonts w:ascii="Calibri" w:hAnsi="Calibri" w:cs="Calibri"/>
          <w:lang w:val="en-GB"/>
        </w:rPr>
        <w:t xml:space="preserve"> </w:t>
      </w:r>
      <w:r w:rsidR="00EA7B71" w:rsidRPr="00DD65C2">
        <w:rPr>
          <w:rFonts w:ascii="Calibri" w:hAnsi="Calibri" w:cs="Calibri"/>
          <w:lang w:val="en-GB"/>
        </w:rPr>
        <w:t>from</w:t>
      </w:r>
      <w:r w:rsidRPr="00DD65C2">
        <w:rPr>
          <w:rFonts w:ascii="Calibri" w:hAnsi="Calibri" w:cs="Calibri"/>
          <w:lang w:val="en-GB"/>
        </w:rPr>
        <w:t xml:space="preserve"> </w:t>
      </w:r>
      <w:r w:rsidRPr="00DD65C2">
        <w:rPr>
          <w:rFonts w:ascii="Calibri" w:hAnsi="Calibri" w:cs="Calibri"/>
          <w:color w:val="000000" w:themeColor="text1"/>
          <w:lang w:val="en-GB"/>
        </w:rPr>
        <w:t xml:space="preserve">the </w:t>
      </w:r>
      <w:r w:rsidR="006F1A51" w:rsidRPr="00DD65C2">
        <w:rPr>
          <w:rFonts w:ascii="Calibri" w:hAnsi="Calibri" w:cs="Calibri"/>
          <w:color w:val="000000" w:themeColor="text1"/>
          <w:lang w:val="en-GB"/>
        </w:rPr>
        <w:t xml:space="preserve">EUIPO </w:t>
      </w:r>
      <w:r w:rsidR="00C45895" w:rsidRPr="00DD65C2">
        <w:rPr>
          <w:rFonts w:ascii="Calibri" w:hAnsi="Calibri" w:cs="Calibri"/>
          <w:color w:val="000000" w:themeColor="text1"/>
          <w:lang w:val="en-GB"/>
        </w:rPr>
        <w:t>BoA</w:t>
      </w:r>
      <w:r w:rsidR="00AF3C90" w:rsidRPr="00DD65C2">
        <w:rPr>
          <w:rFonts w:ascii="Calibri" w:hAnsi="Calibri" w:cs="Calibri"/>
          <w:color w:val="000000" w:themeColor="text1"/>
          <w:lang w:val="en-GB"/>
        </w:rPr>
        <w:t xml:space="preserve"> and </w:t>
      </w:r>
      <w:r w:rsidR="00EA7B71" w:rsidRPr="00DD65C2">
        <w:rPr>
          <w:rFonts w:ascii="Calibri" w:hAnsi="Calibri" w:cs="Calibri"/>
          <w:color w:val="000000" w:themeColor="text1"/>
          <w:lang w:val="en-GB"/>
        </w:rPr>
        <w:t>the UK AP</w:t>
      </w:r>
      <w:r w:rsidR="00AF3C90" w:rsidRPr="00DD65C2">
        <w:rPr>
          <w:rFonts w:ascii="Calibri" w:hAnsi="Calibri" w:cs="Calibri"/>
          <w:color w:val="000000" w:themeColor="text1"/>
          <w:lang w:val="en-GB"/>
        </w:rPr>
        <w:t xml:space="preserve">, as well as the opinion of AG Bobek in </w:t>
      </w:r>
      <w:r w:rsidR="00AF3C90" w:rsidRPr="00DD65C2">
        <w:rPr>
          <w:rFonts w:ascii="Calibri" w:hAnsi="Calibri" w:cs="Calibri"/>
          <w:i/>
          <w:iCs/>
          <w:color w:val="000000" w:themeColor="text1"/>
          <w:lang w:val="en-GB"/>
        </w:rPr>
        <w:t>Constantin Film Produktion</w:t>
      </w:r>
      <w:r w:rsidR="00EA7B71" w:rsidRPr="00DD65C2">
        <w:rPr>
          <w:rFonts w:ascii="Calibri" w:hAnsi="Calibri" w:cs="Calibri"/>
          <w:color w:val="000000" w:themeColor="text1"/>
          <w:lang w:val="en-GB"/>
        </w:rPr>
        <w:t>.</w:t>
      </w:r>
      <w:r w:rsidR="005A18FD" w:rsidRPr="00DD65C2">
        <w:rPr>
          <w:rStyle w:val="FootnoteReference"/>
          <w:rFonts w:ascii="Calibri" w:hAnsi="Calibri" w:cs="Calibri"/>
        </w:rPr>
        <w:footnoteReference w:id="83"/>
      </w:r>
      <w:r w:rsidR="005A18FD" w:rsidRPr="00DD65C2">
        <w:rPr>
          <w:rFonts w:ascii="Calibri" w:hAnsi="Calibri" w:cs="Calibri"/>
          <w:color w:val="000000" w:themeColor="text1"/>
          <w:lang w:val="en-GB"/>
        </w:rPr>
        <w:t xml:space="preserve"> </w:t>
      </w:r>
    </w:p>
    <w:p w14:paraId="49F1BF1F" w14:textId="77777777" w:rsidR="00AC0BF3" w:rsidRDefault="00AC0BF3" w:rsidP="006569BD">
      <w:pPr>
        <w:jc w:val="both"/>
        <w:rPr>
          <w:rFonts w:ascii="Calibri" w:hAnsi="Calibri" w:cs="Calibri"/>
          <w:color w:val="000000" w:themeColor="text1"/>
          <w:lang w:val="en-GB"/>
        </w:rPr>
      </w:pPr>
    </w:p>
    <w:p w14:paraId="67C62448" w14:textId="77777777" w:rsidR="00AC0BF3" w:rsidRDefault="000A3430" w:rsidP="006569BD">
      <w:pPr>
        <w:jc w:val="both"/>
        <w:rPr>
          <w:rFonts w:ascii="Calibri" w:hAnsi="Calibri" w:cs="Calibri"/>
          <w:color w:val="000000" w:themeColor="text1"/>
          <w:lang w:val="en-GB"/>
        </w:rPr>
      </w:pPr>
      <w:r w:rsidRPr="00DD65C2">
        <w:rPr>
          <w:rFonts w:ascii="Calibri" w:hAnsi="Calibri" w:cs="Calibri"/>
          <w:color w:val="000000" w:themeColor="text1"/>
          <w:lang w:val="en-GB"/>
        </w:rPr>
        <w:t>I</w:t>
      </w:r>
      <w:r w:rsidR="004655DB" w:rsidRPr="00DD65C2">
        <w:rPr>
          <w:rFonts w:ascii="Calibri" w:hAnsi="Calibri" w:cs="Calibri"/>
          <w:color w:val="000000" w:themeColor="text1"/>
          <w:lang w:val="en-GB"/>
        </w:rPr>
        <w:t xml:space="preserve">n </w:t>
      </w:r>
      <w:r w:rsidR="004655DB" w:rsidRPr="00DD65C2">
        <w:rPr>
          <w:rFonts w:ascii="Calibri" w:hAnsi="Calibri" w:cs="Calibri"/>
          <w:i/>
          <w:iCs/>
          <w:color w:val="000000" w:themeColor="text1"/>
          <w:lang w:val="en-GB"/>
        </w:rPr>
        <w:t>Couture Tech</w:t>
      </w:r>
      <w:r w:rsidR="004655DB" w:rsidRPr="00DD65C2">
        <w:rPr>
          <w:rFonts w:ascii="Calibri" w:hAnsi="Calibri" w:cs="Calibri"/>
          <w:color w:val="000000" w:themeColor="text1"/>
          <w:lang w:val="en-GB"/>
        </w:rPr>
        <w:t xml:space="preserve">, the GC seemed open to the possibility of </w:t>
      </w:r>
      <w:r w:rsidRPr="00DD65C2">
        <w:rPr>
          <w:rFonts w:ascii="Calibri" w:hAnsi="Calibri" w:cs="Calibri"/>
          <w:color w:val="000000" w:themeColor="text1"/>
          <w:lang w:val="en-GB"/>
        </w:rPr>
        <w:t xml:space="preserve">trade mark </w:t>
      </w:r>
      <w:r w:rsidR="004655DB" w:rsidRPr="00DD65C2">
        <w:rPr>
          <w:rFonts w:ascii="Calibri" w:hAnsi="Calibri" w:cs="Calibri"/>
          <w:color w:val="000000" w:themeColor="text1"/>
          <w:lang w:val="en-GB"/>
        </w:rPr>
        <w:t>applicants arguing that refusals to grant registration can interfere with their speech rights.</w:t>
      </w:r>
      <w:r w:rsidR="00C926EC" w:rsidRPr="00DD65C2">
        <w:rPr>
          <w:rStyle w:val="FootnoteReference"/>
          <w:rFonts w:ascii="Calibri" w:hAnsi="Calibri" w:cs="Calibri"/>
        </w:rPr>
        <w:footnoteReference w:id="84"/>
      </w:r>
      <w:r w:rsidR="004655DB" w:rsidRPr="00DD65C2">
        <w:rPr>
          <w:rFonts w:ascii="Calibri" w:hAnsi="Calibri" w:cs="Calibri"/>
          <w:color w:val="000000" w:themeColor="text1"/>
          <w:lang w:val="en-GB"/>
        </w:rPr>
        <w:t xml:space="preserve"> </w:t>
      </w:r>
      <w:r w:rsidRPr="00DD65C2">
        <w:rPr>
          <w:rFonts w:ascii="Calibri" w:hAnsi="Calibri" w:cs="Calibri"/>
          <w:color w:val="000000" w:themeColor="text1"/>
          <w:lang w:val="en-GB"/>
        </w:rPr>
        <w:t xml:space="preserve">After dismissing appellant’s speech claim on the basis that it had failed to explain how the inability to access the register would interfere with its right to freedom of expression, the Court went on to specify that ‘there is no basis for the applicant to rely on the ECHR in </w:t>
      </w:r>
      <w:r w:rsidRPr="00DD65C2">
        <w:rPr>
          <w:rFonts w:ascii="Calibri" w:hAnsi="Calibri" w:cs="Calibri"/>
          <w:i/>
          <w:iCs/>
          <w:color w:val="000000" w:themeColor="text1"/>
          <w:lang w:val="en-GB"/>
        </w:rPr>
        <w:t>this</w:t>
      </w:r>
      <w:r w:rsidRPr="00DD65C2">
        <w:rPr>
          <w:rFonts w:ascii="Calibri" w:hAnsi="Calibri" w:cs="Calibri"/>
          <w:color w:val="000000" w:themeColor="text1"/>
          <w:lang w:val="en-GB"/>
        </w:rPr>
        <w:t xml:space="preserve"> case’.</w:t>
      </w:r>
      <w:r w:rsidRPr="00DD65C2">
        <w:rPr>
          <w:rStyle w:val="FootnoteReference"/>
          <w:rFonts w:ascii="Calibri" w:hAnsi="Calibri" w:cs="Calibri"/>
        </w:rPr>
        <w:footnoteReference w:id="85"/>
      </w:r>
      <w:r w:rsidRPr="00DD65C2">
        <w:rPr>
          <w:rFonts w:ascii="Calibri" w:hAnsi="Calibri" w:cs="Calibri"/>
          <w:color w:val="000000" w:themeColor="text1"/>
          <w:lang w:val="en-GB"/>
        </w:rPr>
        <w:t xml:space="preserve"> An </w:t>
      </w:r>
      <w:r w:rsidRPr="00DD65C2">
        <w:rPr>
          <w:rFonts w:ascii="Calibri" w:hAnsi="Calibri" w:cs="Calibri"/>
          <w:i/>
          <w:iCs/>
          <w:color w:val="000000" w:themeColor="text1"/>
          <w:lang w:val="en-GB"/>
        </w:rPr>
        <w:t xml:space="preserve">a contrario </w:t>
      </w:r>
      <w:r w:rsidRPr="00DD65C2">
        <w:rPr>
          <w:rFonts w:ascii="Calibri" w:hAnsi="Calibri" w:cs="Calibri"/>
          <w:color w:val="000000" w:themeColor="text1"/>
          <w:lang w:val="en-GB"/>
        </w:rPr>
        <w:t>interpretation would</w:t>
      </w:r>
      <w:r w:rsidR="00C926EC" w:rsidRPr="00DD65C2">
        <w:rPr>
          <w:rFonts w:ascii="Calibri" w:hAnsi="Calibri" w:cs="Calibri"/>
          <w:color w:val="000000" w:themeColor="text1"/>
          <w:lang w:val="en-GB"/>
        </w:rPr>
        <w:t xml:space="preserve"> </w:t>
      </w:r>
      <w:r w:rsidRPr="00DD65C2">
        <w:rPr>
          <w:rFonts w:ascii="Calibri" w:hAnsi="Calibri" w:cs="Calibri"/>
          <w:color w:val="000000" w:themeColor="text1"/>
          <w:lang w:val="en-GB"/>
        </w:rPr>
        <w:t>allow read</w:t>
      </w:r>
      <w:r w:rsidR="00C926EC" w:rsidRPr="00DD65C2">
        <w:rPr>
          <w:rFonts w:ascii="Calibri" w:hAnsi="Calibri" w:cs="Calibri"/>
          <w:color w:val="000000" w:themeColor="text1"/>
          <w:lang w:val="en-GB"/>
        </w:rPr>
        <w:t>ing</w:t>
      </w:r>
      <w:r w:rsidRPr="00DD65C2">
        <w:rPr>
          <w:rFonts w:ascii="Calibri" w:hAnsi="Calibri" w:cs="Calibri"/>
          <w:color w:val="000000" w:themeColor="text1"/>
          <w:lang w:val="en-GB"/>
        </w:rPr>
        <w:t xml:space="preserve"> this decision </w:t>
      </w:r>
      <w:r w:rsidR="00C926EC" w:rsidRPr="00DD65C2">
        <w:rPr>
          <w:rFonts w:ascii="Calibri" w:hAnsi="Calibri" w:cs="Calibri"/>
          <w:color w:val="000000" w:themeColor="text1"/>
          <w:lang w:val="en-GB"/>
        </w:rPr>
        <w:t xml:space="preserve">in the sense that applicants can, when properly justified, rely on freedom of expression as a </w:t>
      </w:r>
      <w:r w:rsidR="00F53F0E" w:rsidRPr="00DD65C2">
        <w:rPr>
          <w:rFonts w:ascii="Calibri" w:hAnsi="Calibri" w:cs="Calibri"/>
          <w:color w:val="000000" w:themeColor="text1"/>
          <w:lang w:val="en-GB"/>
        </w:rPr>
        <w:t xml:space="preserve">valid </w:t>
      </w:r>
      <w:r w:rsidR="00C926EC" w:rsidRPr="00DD65C2">
        <w:rPr>
          <w:rFonts w:ascii="Calibri" w:hAnsi="Calibri" w:cs="Calibri"/>
          <w:color w:val="000000" w:themeColor="text1"/>
          <w:lang w:val="en-GB"/>
        </w:rPr>
        <w:t xml:space="preserve">ground to challenge the </w:t>
      </w:r>
      <w:r w:rsidR="00F53F0E" w:rsidRPr="00DD65C2">
        <w:rPr>
          <w:rFonts w:ascii="Calibri" w:hAnsi="Calibri" w:cs="Calibri"/>
          <w:color w:val="000000" w:themeColor="text1"/>
          <w:lang w:val="en-GB"/>
        </w:rPr>
        <w:t>lawfulness</w:t>
      </w:r>
      <w:r w:rsidR="00C926EC" w:rsidRPr="00DD65C2">
        <w:rPr>
          <w:rFonts w:ascii="Calibri" w:hAnsi="Calibri" w:cs="Calibri"/>
          <w:color w:val="000000" w:themeColor="text1"/>
          <w:lang w:val="en-GB"/>
        </w:rPr>
        <w:t xml:space="preserve"> of refusals of registration. </w:t>
      </w:r>
    </w:p>
    <w:p w14:paraId="16C504EB" w14:textId="77777777" w:rsidR="00AC0BF3" w:rsidRDefault="00AC0BF3" w:rsidP="006569BD">
      <w:pPr>
        <w:jc w:val="both"/>
        <w:rPr>
          <w:rFonts w:ascii="Calibri" w:hAnsi="Calibri" w:cs="Calibri"/>
          <w:color w:val="000000" w:themeColor="text1"/>
          <w:lang w:val="en-GB"/>
        </w:rPr>
      </w:pPr>
    </w:p>
    <w:p w14:paraId="28191854" w14:textId="4B81D298" w:rsidR="006569BD" w:rsidRPr="00DD65C2" w:rsidRDefault="00F870C9" w:rsidP="006569BD">
      <w:pPr>
        <w:jc w:val="both"/>
        <w:rPr>
          <w:rFonts w:ascii="Calibri" w:hAnsi="Calibri" w:cs="Calibri"/>
          <w:color w:val="000000" w:themeColor="text1"/>
          <w:lang w:val="en-GB"/>
        </w:rPr>
      </w:pPr>
      <w:r w:rsidRPr="00DD65C2">
        <w:rPr>
          <w:rFonts w:ascii="Calibri" w:hAnsi="Calibri" w:cs="Calibri"/>
          <w:color w:val="000000" w:themeColor="text1"/>
          <w:lang w:val="en-GB"/>
        </w:rPr>
        <w:t>Fortunately, the recognition by the EUIPO</w:t>
      </w:r>
      <w:r w:rsidR="000177CC" w:rsidRPr="00DD65C2">
        <w:rPr>
          <w:rFonts w:ascii="Calibri" w:hAnsi="Calibri" w:cs="Calibri"/>
          <w:color w:val="000000" w:themeColor="text1"/>
          <w:lang w:val="en-GB"/>
        </w:rPr>
        <w:t>, the</w:t>
      </w:r>
      <w:r w:rsidRPr="00DD65C2">
        <w:rPr>
          <w:rFonts w:ascii="Calibri" w:hAnsi="Calibri" w:cs="Calibri"/>
          <w:color w:val="000000" w:themeColor="text1"/>
          <w:lang w:val="en-GB"/>
        </w:rPr>
        <w:t xml:space="preserve"> UK AP</w:t>
      </w:r>
      <w:r w:rsidR="000177CC" w:rsidRPr="00DD65C2">
        <w:rPr>
          <w:rFonts w:ascii="Calibri" w:hAnsi="Calibri" w:cs="Calibri"/>
          <w:color w:val="000000" w:themeColor="text1"/>
          <w:lang w:val="en-GB"/>
        </w:rPr>
        <w:t xml:space="preserve"> and the AG</w:t>
      </w:r>
      <w:r w:rsidRPr="00DD65C2">
        <w:rPr>
          <w:rFonts w:ascii="Calibri" w:hAnsi="Calibri" w:cs="Calibri"/>
          <w:color w:val="000000" w:themeColor="text1"/>
          <w:lang w:val="en-GB"/>
        </w:rPr>
        <w:t xml:space="preserve"> that speech protection is implicated in the registration context has been</w:t>
      </w:r>
      <w:r w:rsidR="005C3BCD" w:rsidRPr="00DD65C2">
        <w:rPr>
          <w:rFonts w:ascii="Calibri" w:hAnsi="Calibri" w:cs="Calibri"/>
          <w:color w:val="000000" w:themeColor="text1"/>
          <w:lang w:val="en-GB"/>
        </w:rPr>
        <w:t xml:space="preserve"> less ambiguous</w:t>
      </w:r>
      <w:r w:rsidR="00E40807" w:rsidRPr="00DD65C2">
        <w:rPr>
          <w:rFonts w:ascii="Calibri" w:hAnsi="Calibri" w:cs="Calibri"/>
          <w:color w:val="000000" w:themeColor="text1"/>
          <w:lang w:val="en-GB"/>
        </w:rPr>
        <w:t xml:space="preserve">. </w:t>
      </w:r>
      <w:r w:rsidR="006569BD" w:rsidRPr="00DD65C2">
        <w:rPr>
          <w:rFonts w:ascii="Calibri" w:hAnsi="Calibri" w:cs="Calibri"/>
          <w:color w:val="000000" w:themeColor="text1"/>
          <w:lang w:val="en-GB"/>
        </w:rPr>
        <w:t xml:space="preserve">In </w:t>
      </w:r>
      <w:r w:rsidR="006569BD" w:rsidRPr="00DD65C2">
        <w:rPr>
          <w:rFonts w:ascii="Calibri" w:hAnsi="Calibri" w:cs="Calibri"/>
          <w:i/>
          <w:iCs/>
          <w:color w:val="000000" w:themeColor="text1"/>
          <w:lang w:val="en-GB"/>
        </w:rPr>
        <w:t>Jebaraj Kenneth</w:t>
      </w:r>
      <w:r w:rsidR="006569BD" w:rsidRPr="00DD65C2">
        <w:rPr>
          <w:rFonts w:ascii="Calibri" w:hAnsi="Calibri" w:cs="Calibri"/>
          <w:color w:val="000000" w:themeColor="text1"/>
          <w:lang w:val="en-GB"/>
        </w:rPr>
        <w:t>, the Grand BoA held, upon assessment of the compatibility of ‘S</w:t>
      </w:r>
      <w:r w:rsidR="009B5656">
        <w:rPr>
          <w:rFonts w:ascii="Calibri" w:hAnsi="Calibri" w:cs="Calibri"/>
          <w:color w:val="000000" w:themeColor="text1"/>
          <w:lang w:val="en-GB"/>
        </w:rPr>
        <w:t>crew You</w:t>
      </w:r>
      <w:r w:rsidR="006569BD" w:rsidRPr="00DD65C2">
        <w:rPr>
          <w:rFonts w:ascii="Calibri" w:hAnsi="Calibri" w:cs="Calibri"/>
          <w:color w:val="000000" w:themeColor="text1"/>
          <w:lang w:val="en-GB"/>
        </w:rPr>
        <w:t>’ with Article 7(1)(f) EUTMR</w:t>
      </w:r>
      <w:r w:rsidR="004A7DCF" w:rsidRPr="00DD65C2">
        <w:rPr>
          <w:rFonts w:ascii="Calibri" w:hAnsi="Calibri" w:cs="Calibri"/>
          <w:color w:val="000000" w:themeColor="text1"/>
          <w:lang w:val="en-GB"/>
        </w:rPr>
        <w:t>, that</w:t>
      </w:r>
      <w:r w:rsidR="006569BD" w:rsidRPr="00DD65C2">
        <w:rPr>
          <w:rFonts w:ascii="Calibri" w:hAnsi="Calibri" w:cs="Calibri"/>
          <w:color w:val="000000" w:themeColor="text1"/>
          <w:lang w:val="en-GB"/>
        </w:rPr>
        <w:t>:</w:t>
      </w:r>
    </w:p>
    <w:p w14:paraId="1F1470E8" w14:textId="77777777" w:rsidR="006569BD" w:rsidRPr="00DD65C2" w:rsidRDefault="006569BD" w:rsidP="006569BD">
      <w:pPr>
        <w:jc w:val="both"/>
        <w:rPr>
          <w:rFonts w:ascii="Calibri" w:hAnsi="Calibri" w:cs="Calibri"/>
          <w:color w:val="000000" w:themeColor="text1"/>
          <w:lang w:val="en-GB"/>
        </w:rPr>
      </w:pPr>
    </w:p>
    <w:p w14:paraId="4A9D6298" w14:textId="3FF5817D" w:rsidR="006569BD" w:rsidRPr="00DD65C2" w:rsidRDefault="006569BD" w:rsidP="006569BD">
      <w:pPr>
        <w:ind w:left="720"/>
        <w:jc w:val="both"/>
        <w:rPr>
          <w:rFonts w:ascii="Calibri" w:hAnsi="Calibri" w:cs="Calibri"/>
          <w:color w:val="000000" w:themeColor="text1"/>
          <w:lang w:val="en-GB"/>
        </w:rPr>
      </w:pPr>
      <w:r w:rsidRPr="00DD65C2">
        <w:rPr>
          <w:rFonts w:ascii="Calibri" w:hAnsi="Calibri" w:cs="Calibri"/>
          <w:color w:val="000000" w:themeColor="text1"/>
          <w:lang w:val="en-GB"/>
        </w:rPr>
        <w:t>It is</w:t>
      </w:r>
      <w:r w:rsidR="004A7DCF" w:rsidRPr="00DD65C2">
        <w:rPr>
          <w:rFonts w:ascii="Calibri" w:hAnsi="Calibri" w:cs="Calibri"/>
          <w:color w:val="000000" w:themeColor="text1"/>
          <w:lang w:val="en-GB"/>
        </w:rPr>
        <w:t xml:space="preserve"> also </w:t>
      </w:r>
      <w:r w:rsidRPr="00DD65C2">
        <w:rPr>
          <w:rFonts w:ascii="Calibri" w:hAnsi="Calibri" w:cs="Calibri"/>
          <w:color w:val="000000" w:themeColor="text1"/>
          <w:lang w:val="en-GB"/>
        </w:rPr>
        <w:t xml:space="preserve">necessary to have regard to Article 10 [ECHR] […]. </w:t>
      </w:r>
    </w:p>
    <w:p w14:paraId="681ACEB2" w14:textId="2473CFE7" w:rsidR="006569BD" w:rsidRPr="00DD65C2" w:rsidRDefault="006569BD" w:rsidP="006569BD">
      <w:pPr>
        <w:ind w:left="720"/>
        <w:jc w:val="both"/>
        <w:rPr>
          <w:rFonts w:ascii="Calibri" w:hAnsi="Calibri" w:cs="Calibri"/>
          <w:color w:val="000000" w:themeColor="text1"/>
          <w:lang w:val="en-GB"/>
        </w:rPr>
      </w:pPr>
      <w:r w:rsidRPr="00DD65C2">
        <w:rPr>
          <w:rFonts w:ascii="Calibri" w:hAnsi="Calibri" w:cs="Calibri"/>
          <w:color w:val="000000" w:themeColor="text1"/>
          <w:lang w:val="en-GB"/>
        </w:rPr>
        <w:t>The right to freedom of expression embodied [therein] includes commercial expression and is subject to limitation only for specific purposes, which include the prevention of disorder and the protection of morals […].</w:t>
      </w:r>
      <w:r w:rsidRPr="00DD65C2">
        <w:rPr>
          <w:rStyle w:val="FootnoteReference"/>
          <w:rFonts w:ascii="Calibri" w:hAnsi="Calibri" w:cs="Calibri"/>
        </w:rPr>
        <w:footnoteReference w:id="86"/>
      </w:r>
    </w:p>
    <w:p w14:paraId="03645F3E" w14:textId="57D0D7CE" w:rsidR="00F870C9" w:rsidRPr="00DD65C2" w:rsidRDefault="00F870C9" w:rsidP="00AD3B5E">
      <w:pPr>
        <w:jc w:val="both"/>
        <w:rPr>
          <w:rFonts w:ascii="Calibri" w:hAnsi="Calibri" w:cs="Calibri"/>
          <w:color w:val="000000" w:themeColor="text1"/>
          <w:lang w:val="en-GB"/>
        </w:rPr>
      </w:pPr>
    </w:p>
    <w:p w14:paraId="01F3DF5E" w14:textId="0DFD68CF" w:rsidR="00EA0B83" w:rsidRPr="00DD65C2" w:rsidRDefault="00EA0B83" w:rsidP="00AD3B5E">
      <w:pPr>
        <w:jc w:val="both"/>
        <w:rPr>
          <w:rFonts w:ascii="Calibri" w:hAnsi="Calibri" w:cs="Calibri"/>
          <w:color w:val="000000" w:themeColor="text1"/>
          <w:lang w:val="en-GB"/>
        </w:rPr>
      </w:pPr>
      <w:r w:rsidRPr="00DD65C2">
        <w:rPr>
          <w:rFonts w:ascii="Calibri" w:hAnsi="Calibri" w:cs="Calibri"/>
          <w:color w:val="000000" w:themeColor="text1"/>
          <w:lang w:val="en-GB"/>
        </w:rPr>
        <w:t xml:space="preserve">To ensure that </w:t>
      </w:r>
      <w:r w:rsidR="007F5C05" w:rsidRPr="00DD65C2">
        <w:rPr>
          <w:rFonts w:ascii="Calibri" w:hAnsi="Calibri" w:cs="Calibri"/>
          <w:color w:val="000000" w:themeColor="text1"/>
          <w:lang w:val="en-GB"/>
        </w:rPr>
        <w:t>its</w:t>
      </w:r>
      <w:r w:rsidRPr="00DD65C2">
        <w:rPr>
          <w:rFonts w:ascii="Calibri" w:hAnsi="Calibri" w:cs="Calibri"/>
          <w:color w:val="000000" w:themeColor="text1"/>
          <w:lang w:val="en-GB"/>
        </w:rPr>
        <w:t xml:space="preserve"> </w:t>
      </w:r>
      <w:r w:rsidR="00F53F0E" w:rsidRPr="00DD65C2">
        <w:rPr>
          <w:rFonts w:ascii="Calibri" w:hAnsi="Calibri" w:cs="Calibri"/>
          <w:color w:val="000000" w:themeColor="text1"/>
          <w:lang w:val="en-GB"/>
        </w:rPr>
        <w:t>decision</w:t>
      </w:r>
      <w:r w:rsidRPr="00DD65C2">
        <w:rPr>
          <w:rFonts w:ascii="Calibri" w:hAnsi="Calibri" w:cs="Calibri"/>
          <w:color w:val="000000" w:themeColor="text1"/>
          <w:lang w:val="en-GB"/>
        </w:rPr>
        <w:t xml:space="preserve"> </w:t>
      </w:r>
      <w:r w:rsidR="00F53F0E" w:rsidRPr="00DD65C2">
        <w:rPr>
          <w:rFonts w:ascii="Calibri" w:hAnsi="Calibri" w:cs="Calibri"/>
          <w:color w:val="000000" w:themeColor="text1"/>
          <w:lang w:val="en-GB"/>
        </w:rPr>
        <w:t>would be</w:t>
      </w:r>
      <w:r w:rsidRPr="00DD65C2">
        <w:rPr>
          <w:rFonts w:ascii="Calibri" w:hAnsi="Calibri" w:cs="Calibri"/>
          <w:color w:val="000000" w:themeColor="text1"/>
          <w:lang w:val="en-GB"/>
        </w:rPr>
        <w:t xml:space="preserve"> compatible with the strictures imposed under the Convention, the Grand Board </w:t>
      </w:r>
      <w:r w:rsidR="00F53F0E" w:rsidRPr="00DD65C2">
        <w:rPr>
          <w:rFonts w:ascii="Calibri" w:hAnsi="Calibri" w:cs="Calibri"/>
          <w:color w:val="000000" w:themeColor="text1"/>
          <w:lang w:val="en-GB"/>
        </w:rPr>
        <w:t>went</w:t>
      </w:r>
      <w:r w:rsidRPr="00DD65C2">
        <w:rPr>
          <w:rFonts w:ascii="Calibri" w:hAnsi="Calibri" w:cs="Calibri"/>
          <w:color w:val="000000" w:themeColor="text1"/>
          <w:lang w:val="en-GB"/>
        </w:rPr>
        <w:t xml:space="preserve"> on to propose a balancing exercise that </w:t>
      </w:r>
      <w:r w:rsidR="00F53F0E" w:rsidRPr="00DD65C2">
        <w:rPr>
          <w:rFonts w:ascii="Calibri" w:hAnsi="Calibri" w:cs="Calibri"/>
          <w:color w:val="000000" w:themeColor="text1"/>
          <w:lang w:val="en-GB"/>
        </w:rPr>
        <w:t>was</w:t>
      </w:r>
      <w:r w:rsidRPr="00DD65C2">
        <w:rPr>
          <w:rFonts w:ascii="Calibri" w:hAnsi="Calibri" w:cs="Calibri"/>
          <w:color w:val="000000" w:themeColor="text1"/>
          <w:lang w:val="en-GB"/>
        </w:rPr>
        <w:t xml:space="preserve"> attuned to the specific protection afforded to freedom of commercial expression under Article 10</w:t>
      </w:r>
      <w:r w:rsidR="00DE3655" w:rsidRPr="00DD65C2">
        <w:rPr>
          <w:rFonts w:ascii="Calibri" w:hAnsi="Calibri" w:cs="Calibri"/>
          <w:color w:val="000000" w:themeColor="text1"/>
          <w:lang w:val="en-GB"/>
        </w:rPr>
        <w:t xml:space="preserve"> ECHR</w:t>
      </w:r>
      <w:r w:rsidRPr="00DD65C2">
        <w:rPr>
          <w:rFonts w:ascii="Calibri" w:hAnsi="Calibri" w:cs="Calibri"/>
          <w:color w:val="000000" w:themeColor="text1"/>
          <w:lang w:val="en-GB"/>
        </w:rPr>
        <w:t xml:space="preserve">. In its own words: </w:t>
      </w:r>
    </w:p>
    <w:p w14:paraId="744A038E" w14:textId="5677495C" w:rsidR="00EA0B83" w:rsidRPr="00DD65C2" w:rsidRDefault="00EA0B83" w:rsidP="00AD3B5E">
      <w:pPr>
        <w:jc w:val="both"/>
        <w:rPr>
          <w:rFonts w:ascii="Calibri" w:hAnsi="Calibri" w:cs="Calibri"/>
          <w:color w:val="000000" w:themeColor="text1"/>
          <w:lang w:val="en-GB"/>
        </w:rPr>
      </w:pPr>
    </w:p>
    <w:p w14:paraId="5297AE9E" w14:textId="77777777" w:rsidR="00EA0B83" w:rsidRPr="00DD65C2" w:rsidRDefault="00EA0B83" w:rsidP="00EA0B83">
      <w:pPr>
        <w:ind w:left="720"/>
        <w:jc w:val="both"/>
        <w:rPr>
          <w:rFonts w:ascii="Calibri" w:hAnsi="Calibri" w:cs="Calibri"/>
          <w:lang w:val="en-GB"/>
        </w:rPr>
      </w:pPr>
      <w:r w:rsidRPr="00DD65C2">
        <w:rPr>
          <w:rFonts w:ascii="Calibri" w:hAnsi="Calibri" w:cs="Calibri"/>
          <w:lang w:val="en-GB"/>
        </w:rPr>
        <w:t>A judicious application of [Article 7(1)(f) EUTMR] necessarily entails balancing the right of traders to freely employ words and images in the signs they wish to register as trade marks against the right of the public not to be confronted with disturbing, abusive, insulting and even threatening trade marks.</w:t>
      </w:r>
    </w:p>
    <w:p w14:paraId="2012B572" w14:textId="77777777" w:rsidR="00EA0B83" w:rsidRPr="00DD65C2" w:rsidRDefault="00EA0B83" w:rsidP="00EA0B83">
      <w:pPr>
        <w:ind w:left="720"/>
        <w:jc w:val="both"/>
        <w:rPr>
          <w:rFonts w:ascii="Calibri" w:hAnsi="Calibri" w:cs="Calibri"/>
          <w:lang w:val="en-GB"/>
        </w:rPr>
      </w:pPr>
    </w:p>
    <w:p w14:paraId="08C7AC49" w14:textId="77777777" w:rsidR="00EA0B83" w:rsidRPr="00DD65C2" w:rsidRDefault="00EA0B83" w:rsidP="00EA0B83">
      <w:pPr>
        <w:ind w:left="720"/>
        <w:jc w:val="both"/>
        <w:rPr>
          <w:rFonts w:ascii="Calibri" w:hAnsi="Calibri" w:cs="Calibri"/>
          <w:lang w:val="en-GB"/>
        </w:rPr>
      </w:pPr>
      <w:r w:rsidRPr="00DD65C2">
        <w:rPr>
          <w:rFonts w:ascii="Calibri" w:hAnsi="Calibri" w:cs="Calibri"/>
          <w:lang w:val="en-GB"/>
        </w:rPr>
        <w:t>If the provision is interpreted too widely, so as, for example, to include anything which a section of the relevant public is likely to find offensive, there is a risk that commercial freedom of expression in relation to trade marks would be unduly curtailed.</w:t>
      </w:r>
      <w:r w:rsidRPr="00DD65C2">
        <w:rPr>
          <w:rStyle w:val="FootnoteReference"/>
          <w:rFonts w:ascii="Calibri" w:hAnsi="Calibri" w:cs="Calibri"/>
        </w:rPr>
        <w:footnoteReference w:id="87"/>
      </w:r>
    </w:p>
    <w:p w14:paraId="3946221E" w14:textId="18A900B5" w:rsidR="00EA0B83" w:rsidRPr="00DD65C2" w:rsidRDefault="00EA0B83" w:rsidP="00AD3B5E">
      <w:pPr>
        <w:jc w:val="both"/>
        <w:rPr>
          <w:rFonts w:ascii="Calibri" w:hAnsi="Calibri" w:cs="Calibri"/>
          <w:color w:val="000000" w:themeColor="text1"/>
          <w:lang w:val="en-GB"/>
        </w:rPr>
      </w:pPr>
    </w:p>
    <w:p w14:paraId="5E6EB7AF" w14:textId="076568C4" w:rsidR="002B07C2" w:rsidRPr="00DD65C2" w:rsidRDefault="00012A13" w:rsidP="00504F94">
      <w:pPr>
        <w:jc w:val="both"/>
        <w:rPr>
          <w:rFonts w:ascii="Calibri" w:hAnsi="Calibri" w:cs="Calibri"/>
          <w:lang w:val="en-GB"/>
        </w:rPr>
      </w:pPr>
      <w:r w:rsidRPr="00DD65C2">
        <w:rPr>
          <w:rFonts w:ascii="Calibri" w:hAnsi="Calibri" w:cs="Calibri"/>
          <w:lang w:val="en-GB"/>
        </w:rPr>
        <w:lastRenderedPageBreak/>
        <w:t>H</w:t>
      </w:r>
      <w:r w:rsidR="005311F9" w:rsidRPr="00DD65C2">
        <w:rPr>
          <w:rFonts w:ascii="Calibri" w:hAnsi="Calibri" w:cs="Calibri"/>
          <w:lang w:val="en-GB"/>
        </w:rPr>
        <w:t>owever, the Grand Board fail</w:t>
      </w:r>
      <w:r w:rsidR="00F53F0E" w:rsidRPr="00DD65C2">
        <w:rPr>
          <w:rFonts w:ascii="Calibri" w:hAnsi="Calibri" w:cs="Calibri"/>
          <w:lang w:val="en-GB"/>
        </w:rPr>
        <w:t>ed</w:t>
      </w:r>
      <w:r w:rsidR="005311F9" w:rsidRPr="00DD65C2">
        <w:rPr>
          <w:rFonts w:ascii="Calibri" w:hAnsi="Calibri" w:cs="Calibri"/>
          <w:lang w:val="en-GB"/>
        </w:rPr>
        <w:t xml:space="preserve"> to apply the proportionality test mandated under Article 10 ECHR to its full extent. Despite characterising the category of speech interfered with in trade mark registration as commercial, the BoA </w:t>
      </w:r>
      <w:r w:rsidR="00F53F0E" w:rsidRPr="00DD65C2">
        <w:rPr>
          <w:rFonts w:ascii="Calibri" w:hAnsi="Calibri" w:cs="Calibri"/>
          <w:lang w:val="en-GB"/>
        </w:rPr>
        <w:t>did</w:t>
      </w:r>
      <w:r w:rsidRPr="00DD65C2">
        <w:rPr>
          <w:rFonts w:ascii="Calibri" w:hAnsi="Calibri" w:cs="Calibri"/>
          <w:lang w:val="en-GB"/>
        </w:rPr>
        <w:t xml:space="preserve"> </w:t>
      </w:r>
      <w:r w:rsidR="005311F9" w:rsidRPr="00DD65C2">
        <w:rPr>
          <w:rFonts w:ascii="Calibri" w:hAnsi="Calibri" w:cs="Calibri"/>
          <w:lang w:val="en-GB"/>
        </w:rPr>
        <w:t xml:space="preserve">not engage with the evidentiary threshold stemming from this finding. </w:t>
      </w:r>
      <w:r w:rsidR="002B07C2" w:rsidRPr="00DD65C2">
        <w:rPr>
          <w:rFonts w:ascii="Calibri" w:hAnsi="Calibri" w:cs="Calibri"/>
          <w:lang w:val="en-GB"/>
        </w:rPr>
        <w:t xml:space="preserve">The </w:t>
      </w:r>
      <w:r w:rsidR="004275B2" w:rsidRPr="00DD65C2">
        <w:rPr>
          <w:rFonts w:ascii="Calibri" w:hAnsi="Calibri" w:cs="Calibri"/>
          <w:lang w:val="en-GB"/>
        </w:rPr>
        <w:t xml:space="preserve">commercial </w:t>
      </w:r>
      <w:r w:rsidR="002B07C2" w:rsidRPr="00DD65C2">
        <w:rPr>
          <w:rFonts w:ascii="Calibri" w:hAnsi="Calibri" w:cs="Calibri"/>
          <w:lang w:val="en-GB"/>
        </w:rPr>
        <w:t>nature of applicant’s speech thus operate</w:t>
      </w:r>
      <w:r w:rsidR="00F53F0E" w:rsidRPr="00DD65C2">
        <w:rPr>
          <w:rFonts w:ascii="Calibri" w:hAnsi="Calibri" w:cs="Calibri"/>
          <w:lang w:val="en-GB"/>
        </w:rPr>
        <w:t>d</w:t>
      </w:r>
      <w:r w:rsidR="002B07C2" w:rsidRPr="00DD65C2">
        <w:rPr>
          <w:rFonts w:ascii="Calibri" w:hAnsi="Calibri" w:cs="Calibri"/>
          <w:lang w:val="en-GB"/>
        </w:rPr>
        <w:t xml:space="preserve"> as a mere abstract limit that</w:t>
      </w:r>
      <w:r w:rsidR="004275B2" w:rsidRPr="00DD65C2">
        <w:rPr>
          <w:rFonts w:ascii="Calibri" w:hAnsi="Calibri" w:cs="Calibri"/>
          <w:lang w:val="en-GB"/>
        </w:rPr>
        <w:t xml:space="preserve"> ‘is regarded as a [lower] priority than freedom of [artistic] expression and consequently it is [less] fiercely protected.’</w:t>
      </w:r>
      <w:r w:rsidR="000F6054" w:rsidRPr="00DD65C2">
        <w:rPr>
          <w:rStyle w:val="FootnoteReference"/>
          <w:rFonts w:ascii="Calibri" w:hAnsi="Calibri" w:cs="Calibri"/>
        </w:rPr>
        <w:footnoteReference w:id="88"/>
      </w:r>
      <w:r w:rsidR="004275B2" w:rsidRPr="00DD65C2">
        <w:rPr>
          <w:rFonts w:ascii="Calibri" w:hAnsi="Calibri" w:cs="Calibri"/>
          <w:lang w:val="en-GB"/>
        </w:rPr>
        <w:t xml:space="preserve"> How exactly it protect</w:t>
      </w:r>
      <w:r w:rsidR="00B56052" w:rsidRPr="00DD65C2">
        <w:rPr>
          <w:rFonts w:ascii="Calibri" w:hAnsi="Calibri" w:cs="Calibri"/>
          <w:lang w:val="en-GB"/>
        </w:rPr>
        <w:t>s</w:t>
      </w:r>
      <w:r w:rsidR="004275B2" w:rsidRPr="00DD65C2">
        <w:rPr>
          <w:rFonts w:ascii="Calibri" w:hAnsi="Calibri" w:cs="Calibri"/>
          <w:lang w:val="en-GB"/>
        </w:rPr>
        <w:t xml:space="preserve"> trade mark applicants is, however, unclear from the Grand Board’s </w:t>
      </w:r>
      <w:r w:rsidRPr="00DD65C2">
        <w:rPr>
          <w:rFonts w:ascii="Calibri" w:hAnsi="Calibri" w:cs="Calibri"/>
          <w:lang w:val="en-GB"/>
        </w:rPr>
        <w:t>assessment</w:t>
      </w:r>
      <w:r w:rsidR="004275B2" w:rsidRPr="00DD65C2">
        <w:rPr>
          <w:rFonts w:ascii="Calibri" w:hAnsi="Calibri" w:cs="Calibri"/>
          <w:lang w:val="en-GB"/>
        </w:rPr>
        <w:t xml:space="preserve">. </w:t>
      </w:r>
      <w:r w:rsidR="00AC150E" w:rsidRPr="00DD65C2">
        <w:rPr>
          <w:rFonts w:ascii="Calibri" w:hAnsi="Calibri" w:cs="Calibri"/>
          <w:lang w:val="en-GB"/>
        </w:rPr>
        <w:t>Ultimately, therefore, its decision to deny registration to the sign ‘S</w:t>
      </w:r>
      <w:r w:rsidR="005B2B21">
        <w:rPr>
          <w:rFonts w:ascii="Calibri" w:hAnsi="Calibri" w:cs="Calibri"/>
          <w:lang w:val="en-GB"/>
        </w:rPr>
        <w:t>crew You</w:t>
      </w:r>
      <w:r w:rsidR="00AC150E" w:rsidRPr="00DD65C2">
        <w:rPr>
          <w:rFonts w:ascii="Calibri" w:hAnsi="Calibri" w:cs="Calibri"/>
          <w:lang w:val="en-GB"/>
        </w:rPr>
        <w:t xml:space="preserve">’ </w:t>
      </w:r>
      <w:r w:rsidR="004D45C4" w:rsidRPr="00DD65C2">
        <w:rPr>
          <w:rFonts w:ascii="Calibri" w:hAnsi="Calibri" w:cs="Calibri"/>
          <w:lang w:val="en-GB"/>
        </w:rPr>
        <w:t>(</w:t>
      </w:r>
      <w:r w:rsidR="00AC150E" w:rsidRPr="00DD65C2">
        <w:rPr>
          <w:rFonts w:ascii="Calibri" w:hAnsi="Calibri" w:cs="Calibri"/>
          <w:lang w:val="en-GB"/>
        </w:rPr>
        <w:t>for goods other than sex products</w:t>
      </w:r>
      <w:r w:rsidR="004D45C4" w:rsidRPr="00DD65C2">
        <w:rPr>
          <w:rFonts w:ascii="Calibri" w:hAnsi="Calibri" w:cs="Calibri"/>
          <w:lang w:val="en-GB"/>
        </w:rPr>
        <w:t>)</w:t>
      </w:r>
      <w:r w:rsidR="00AC150E" w:rsidRPr="00DD65C2">
        <w:rPr>
          <w:rFonts w:ascii="Calibri" w:hAnsi="Calibri" w:cs="Calibri"/>
          <w:lang w:val="en-GB"/>
        </w:rPr>
        <w:t xml:space="preserve"> </w:t>
      </w:r>
      <w:r w:rsidR="00F53F0E" w:rsidRPr="00DD65C2">
        <w:rPr>
          <w:rFonts w:ascii="Calibri" w:hAnsi="Calibri" w:cs="Calibri"/>
          <w:lang w:val="en-GB"/>
        </w:rPr>
        <w:t>did</w:t>
      </w:r>
      <w:r w:rsidR="004D45C4" w:rsidRPr="00DD65C2">
        <w:rPr>
          <w:rFonts w:ascii="Calibri" w:hAnsi="Calibri" w:cs="Calibri"/>
          <w:lang w:val="en-GB"/>
        </w:rPr>
        <w:t xml:space="preserve"> not result from a nuanced balancing exercise reliant on evidence</w:t>
      </w:r>
      <w:r w:rsidR="00871D70" w:rsidRPr="00DD65C2">
        <w:rPr>
          <w:rFonts w:ascii="Calibri" w:hAnsi="Calibri" w:cs="Calibri"/>
          <w:lang w:val="en-GB"/>
        </w:rPr>
        <w:t xml:space="preserve"> of the sign’s ability to cause outrage amongst the relevant public</w:t>
      </w:r>
      <w:r w:rsidR="004D45C4" w:rsidRPr="00DD65C2">
        <w:rPr>
          <w:rFonts w:ascii="Calibri" w:hAnsi="Calibri" w:cs="Calibri"/>
          <w:lang w:val="en-GB"/>
        </w:rPr>
        <w:t>, but rather from an abstract assessment of morality.</w:t>
      </w:r>
      <w:r w:rsidR="004B2326" w:rsidRPr="00DD65C2">
        <w:rPr>
          <w:rFonts w:ascii="Calibri" w:hAnsi="Calibri" w:cs="Calibri"/>
          <w:lang w:val="en-GB"/>
        </w:rPr>
        <w:t xml:space="preserve"> </w:t>
      </w:r>
      <w:r w:rsidRPr="00DD65C2">
        <w:rPr>
          <w:rFonts w:ascii="Calibri" w:hAnsi="Calibri" w:cs="Calibri"/>
          <w:lang w:val="en-GB"/>
        </w:rPr>
        <w:t xml:space="preserve">This is, regrettably, a common feature in the case law, both from subsequent </w:t>
      </w:r>
      <w:r w:rsidR="008918C2" w:rsidRPr="00DD65C2">
        <w:rPr>
          <w:rFonts w:ascii="Calibri" w:hAnsi="Calibri" w:cs="Calibri"/>
          <w:lang w:val="en-GB"/>
        </w:rPr>
        <w:t xml:space="preserve">EUIPO </w:t>
      </w:r>
      <w:r w:rsidRPr="00DD65C2">
        <w:rPr>
          <w:rFonts w:ascii="Calibri" w:hAnsi="Calibri" w:cs="Calibri"/>
          <w:lang w:val="en-GB"/>
        </w:rPr>
        <w:t>Boards of Appeal and the UK AP.</w:t>
      </w:r>
      <w:r w:rsidRPr="00DD65C2">
        <w:rPr>
          <w:rStyle w:val="FootnoteReference"/>
          <w:rFonts w:ascii="Calibri" w:hAnsi="Calibri" w:cs="Calibri"/>
        </w:rPr>
        <w:footnoteReference w:id="89"/>
      </w:r>
    </w:p>
    <w:p w14:paraId="1C3ACA9B" w14:textId="167B62AB" w:rsidR="009F2864" w:rsidRPr="00DD65C2" w:rsidRDefault="009F2864" w:rsidP="00504F94">
      <w:pPr>
        <w:jc w:val="both"/>
        <w:rPr>
          <w:rFonts w:ascii="Calibri" w:hAnsi="Calibri" w:cs="Calibri"/>
          <w:lang w:val="en-GB"/>
        </w:rPr>
      </w:pPr>
    </w:p>
    <w:p w14:paraId="38FF1C29" w14:textId="378EABC5" w:rsidR="00D23BA2" w:rsidRPr="00DD65C2" w:rsidRDefault="009F2864" w:rsidP="00D23BA2">
      <w:pPr>
        <w:jc w:val="both"/>
        <w:rPr>
          <w:rFonts w:ascii="Calibri" w:hAnsi="Calibri" w:cs="Calibri"/>
          <w:lang w:val="en-GB"/>
        </w:rPr>
      </w:pPr>
      <w:r w:rsidRPr="00DD65C2">
        <w:rPr>
          <w:rFonts w:ascii="Calibri" w:hAnsi="Calibri" w:cs="Calibri"/>
          <w:lang w:val="en-GB"/>
        </w:rPr>
        <w:t xml:space="preserve">In </w:t>
      </w:r>
      <w:r w:rsidR="00C73FC0" w:rsidRPr="00DD65C2">
        <w:rPr>
          <w:rFonts w:ascii="Calibri" w:hAnsi="Calibri" w:cs="Calibri"/>
          <w:i/>
          <w:iCs/>
          <w:lang w:val="en-GB"/>
        </w:rPr>
        <w:t>Application of</w:t>
      </w:r>
      <w:r w:rsidR="00C73FC0" w:rsidRPr="00DD65C2">
        <w:rPr>
          <w:rFonts w:ascii="Calibri" w:hAnsi="Calibri" w:cs="Calibri"/>
          <w:lang w:val="en-GB"/>
        </w:rPr>
        <w:t xml:space="preserve"> </w:t>
      </w:r>
      <w:r w:rsidR="00C73FC0" w:rsidRPr="00DD65C2">
        <w:rPr>
          <w:rFonts w:ascii="Calibri" w:hAnsi="Calibri" w:cs="Calibri"/>
          <w:i/>
          <w:iCs/>
          <w:lang w:val="en-GB"/>
        </w:rPr>
        <w:t>Brexit Drinks Ltd</w:t>
      </w:r>
      <w:r w:rsidR="00C73FC0" w:rsidRPr="00DD65C2">
        <w:rPr>
          <w:rFonts w:ascii="Calibri" w:hAnsi="Calibri" w:cs="Calibri"/>
          <w:lang w:val="en-GB"/>
        </w:rPr>
        <w:t xml:space="preserve">, </w:t>
      </w:r>
      <w:r w:rsidR="00A24241" w:rsidRPr="00DD65C2">
        <w:rPr>
          <w:rFonts w:ascii="Calibri" w:hAnsi="Calibri" w:cs="Calibri"/>
          <w:lang w:val="en-GB"/>
        </w:rPr>
        <w:t xml:space="preserve">however, </w:t>
      </w:r>
      <w:r w:rsidR="00C73FC0" w:rsidRPr="00DD65C2">
        <w:rPr>
          <w:rFonts w:ascii="Calibri" w:hAnsi="Calibri" w:cs="Calibri"/>
          <w:lang w:val="en-GB"/>
        </w:rPr>
        <w:t xml:space="preserve">the recognition that </w:t>
      </w:r>
      <w:r w:rsidR="00D23BA2" w:rsidRPr="00DD65C2">
        <w:rPr>
          <w:rFonts w:ascii="Calibri" w:hAnsi="Calibri" w:cs="Calibri"/>
          <w:lang w:val="en-GB"/>
        </w:rPr>
        <w:t>speech protection</w:t>
      </w:r>
      <w:r w:rsidR="00C73FC0" w:rsidRPr="00DD65C2">
        <w:rPr>
          <w:rFonts w:ascii="Calibri" w:hAnsi="Calibri" w:cs="Calibri"/>
          <w:lang w:val="en-GB"/>
        </w:rPr>
        <w:t xml:space="preserve"> </w:t>
      </w:r>
      <w:r w:rsidR="00A24241" w:rsidRPr="00DD65C2">
        <w:rPr>
          <w:rFonts w:ascii="Calibri" w:hAnsi="Calibri" w:cs="Calibri"/>
          <w:lang w:val="en-GB"/>
        </w:rPr>
        <w:t>would be</w:t>
      </w:r>
      <w:r w:rsidR="00C73FC0" w:rsidRPr="00DD65C2">
        <w:rPr>
          <w:rFonts w:ascii="Calibri" w:hAnsi="Calibri" w:cs="Calibri"/>
          <w:lang w:val="en-GB"/>
        </w:rPr>
        <w:t xml:space="preserve"> triggered by the </w:t>
      </w:r>
      <w:r w:rsidR="00A24241" w:rsidRPr="00DD65C2">
        <w:rPr>
          <w:rFonts w:ascii="Calibri" w:hAnsi="Calibri" w:cs="Calibri"/>
          <w:lang w:val="en-GB"/>
        </w:rPr>
        <w:t>refusal to register the sign ‘B</w:t>
      </w:r>
      <w:r w:rsidR="005B2B21">
        <w:rPr>
          <w:rFonts w:ascii="Calibri" w:hAnsi="Calibri" w:cs="Calibri"/>
          <w:lang w:val="en-GB"/>
        </w:rPr>
        <w:t>rexit</w:t>
      </w:r>
      <w:r w:rsidR="00A24241" w:rsidRPr="00DD65C2">
        <w:rPr>
          <w:rFonts w:ascii="Calibri" w:hAnsi="Calibri" w:cs="Calibri"/>
          <w:lang w:val="en-GB"/>
        </w:rPr>
        <w:t>’ led the</w:t>
      </w:r>
      <w:r w:rsidR="00C73FC0" w:rsidRPr="00DD65C2">
        <w:rPr>
          <w:rFonts w:ascii="Calibri" w:hAnsi="Calibri" w:cs="Calibri"/>
          <w:lang w:val="en-GB"/>
        </w:rPr>
        <w:t xml:space="preserve"> EUIPO BoA</w:t>
      </w:r>
      <w:r w:rsidR="00A24241" w:rsidRPr="00DD65C2">
        <w:rPr>
          <w:rFonts w:ascii="Calibri" w:hAnsi="Calibri" w:cs="Calibri"/>
          <w:lang w:val="en-GB"/>
        </w:rPr>
        <w:t xml:space="preserve"> to require a showing, by means of evidence, that the applied-for sign </w:t>
      </w:r>
      <w:r w:rsidR="00D54642" w:rsidRPr="00DD65C2">
        <w:rPr>
          <w:rFonts w:ascii="Calibri" w:hAnsi="Calibri" w:cs="Calibri"/>
          <w:lang w:val="en-GB"/>
        </w:rPr>
        <w:t xml:space="preserve">was liable to </w:t>
      </w:r>
      <w:r w:rsidR="00A24241" w:rsidRPr="00DD65C2">
        <w:rPr>
          <w:rFonts w:ascii="Calibri" w:hAnsi="Calibri" w:cs="Calibri"/>
          <w:lang w:val="en-GB"/>
        </w:rPr>
        <w:t>cause outrage amongst the relevant public.</w:t>
      </w:r>
      <w:r w:rsidR="00A44F46" w:rsidRPr="00DD65C2">
        <w:rPr>
          <w:rStyle w:val="FootnoteReference"/>
          <w:rFonts w:ascii="Calibri" w:hAnsi="Calibri" w:cs="Calibri"/>
        </w:rPr>
        <w:footnoteReference w:id="90"/>
      </w:r>
      <w:r w:rsidR="00D23BA2" w:rsidRPr="00DD65C2">
        <w:rPr>
          <w:rFonts w:ascii="Calibri" w:hAnsi="Calibri" w:cs="Calibri"/>
          <w:lang w:val="en-GB"/>
        </w:rPr>
        <w:t xml:space="preserve"> In applying the Convention, the Board engaged in a relatively nuanced assessment of the compatibility of the appealed decision with the proportionality test mandated under Article 10 ECHR. I say relatively because the BoA failed to engage in discussion of the type of speech that would be interfered with as a result of the refusal to register the applied-for sign on morality grounds (i.e. whether political, artistic or commercial). Therefore, the BoA’s efforts to ascertain the applicable burden of proof in light of the case law of the ECtHR were misguided. By finding that encroachments on speech ‘must be established convincingly’, the BoA opted for the stricter threshold that is of application to political speech.</w:t>
      </w:r>
      <w:r w:rsidR="00A44F46" w:rsidRPr="00DD65C2">
        <w:rPr>
          <w:rStyle w:val="FootnoteReference"/>
          <w:rFonts w:ascii="Calibri" w:hAnsi="Calibri" w:cs="Calibri"/>
        </w:rPr>
        <w:footnoteReference w:id="91"/>
      </w:r>
      <w:r w:rsidR="00D23BA2" w:rsidRPr="00DD65C2">
        <w:rPr>
          <w:rFonts w:ascii="Calibri" w:hAnsi="Calibri" w:cs="Calibri"/>
          <w:lang w:val="en-GB"/>
        </w:rPr>
        <w:t xml:space="preserve"> This led the BoA to easily find in favour of the trade mark applicant, since the Examination Division had failed to furnish evidence of the applied-for sign being liable to cause outrage amongst the relevant public. </w:t>
      </w:r>
      <w:r w:rsidR="00B8222E" w:rsidRPr="00DD65C2">
        <w:rPr>
          <w:rFonts w:ascii="Calibri" w:hAnsi="Calibri" w:cs="Calibri"/>
          <w:lang w:val="en-GB"/>
        </w:rPr>
        <w:t>Nevertheless</w:t>
      </w:r>
      <w:r w:rsidR="00D23BA2" w:rsidRPr="00DD65C2">
        <w:rPr>
          <w:rFonts w:ascii="Calibri" w:hAnsi="Calibri" w:cs="Calibri"/>
          <w:lang w:val="en-GB"/>
        </w:rPr>
        <w:t xml:space="preserve">, the evidence-based approach to morality adopted by the BoA is worthy of praise insofar as it stems directly from the application of the proportionality test mandated under Article 10 ECHR. </w:t>
      </w:r>
    </w:p>
    <w:p w14:paraId="4640A4CD" w14:textId="77777777" w:rsidR="00D23BA2" w:rsidRPr="00DD65C2" w:rsidRDefault="00D23BA2" w:rsidP="00547996">
      <w:pPr>
        <w:jc w:val="both"/>
        <w:rPr>
          <w:rFonts w:ascii="Calibri" w:hAnsi="Calibri" w:cs="Calibri"/>
          <w:lang w:val="en-GB"/>
        </w:rPr>
      </w:pPr>
    </w:p>
    <w:p w14:paraId="7347782A" w14:textId="171FD876" w:rsidR="00304CE6" w:rsidRPr="00DD65C2" w:rsidRDefault="00832EE9" w:rsidP="00304CE6">
      <w:pPr>
        <w:jc w:val="both"/>
        <w:rPr>
          <w:rFonts w:ascii="Calibri" w:hAnsi="Calibri" w:cs="Calibri"/>
          <w:lang w:val="en-GB"/>
        </w:rPr>
      </w:pPr>
      <w:r w:rsidRPr="00DD65C2">
        <w:rPr>
          <w:rFonts w:ascii="Calibri" w:hAnsi="Calibri" w:cs="Calibri"/>
          <w:lang w:val="en-GB"/>
        </w:rPr>
        <w:t>Admittedly, w</w:t>
      </w:r>
      <w:r w:rsidR="00D23BA2" w:rsidRPr="00DD65C2">
        <w:rPr>
          <w:rFonts w:ascii="Calibri" w:hAnsi="Calibri" w:cs="Calibri"/>
          <w:lang w:val="en-GB"/>
        </w:rPr>
        <w:t xml:space="preserve">e </w:t>
      </w:r>
      <w:r w:rsidR="000C4673" w:rsidRPr="00DD65C2">
        <w:rPr>
          <w:rFonts w:ascii="Calibri" w:hAnsi="Calibri" w:cs="Calibri"/>
          <w:lang w:val="en-GB"/>
        </w:rPr>
        <w:t xml:space="preserve">can </w:t>
      </w:r>
      <w:r w:rsidR="00D23BA2" w:rsidRPr="00DD65C2">
        <w:rPr>
          <w:rFonts w:ascii="Calibri" w:hAnsi="Calibri" w:cs="Calibri"/>
          <w:lang w:val="en-GB"/>
        </w:rPr>
        <w:t xml:space="preserve">find </w:t>
      </w:r>
      <w:r w:rsidR="000C4673" w:rsidRPr="00DD65C2">
        <w:rPr>
          <w:rFonts w:ascii="Calibri" w:hAnsi="Calibri" w:cs="Calibri"/>
          <w:lang w:val="en-GB"/>
        </w:rPr>
        <w:t>additional</w:t>
      </w:r>
      <w:r w:rsidR="00D23BA2" w:rsidRPr="00DD65C2">
        <w:rPr>
          <w:rFonts w:ascii="Calibri" w:hAnsi="Calibri" w:cs="Calibri"/>
          <w:lang w:val="en-GB"/>
        </w:rPr>
        <w:t xml:space="preserve"> precedents in the case law </w:t>
      </w:r>
      <w:r w:rsidR="000C4673" w:rsidRPr="00DD65C2">
        <w:rPr>
          <w:rFonts w:ascii="Calibri" w:hAnsi="Calibri" w:cs="Calibri"/>
          <w:lang w:val="en-GB"/>
        </w:rPr>
        <w:t xml:space="preserve">of </w:t>
      </w:r>
      <w:r w:rsidR="00CA4514" w:rsidRPr="00DD65C2">
        <w:rPr>
          <w:rFonts w:ascii="Calibri" w:hAnsi="Calibri" w:cs="Calibri"/>
          <w:lang w:val="en-GB"/>
        </w:rPr>
        <w:t>decision-maker</w:t>
      </w:r>
      <w:r w:rsidR="000C4673" w:rsidRPr="00DD65C2">
        <w:rPr>
          <w:rFonts w:ascii="Calibri" w:hAnsi="Calibri" w:cs="Calibri"/>
          <w:lang w:val="en-GB"/>
        </w:rPr>
        <w:t xml:space="preserve">s </w:t>
      </w:r>
      <w:r w:rsidR="00B17AAC" w:rsidRPr="00DD65C2">
        <w:rPr>
          <w:rFonts w:ascii="Calibri" w:hAnsi="Calibri" w:cs="Calibri"/>
          <w:lang w:val="en-GB"/>
        </w:rPr>
        <w:t>weighing</w:t>
      </w:r>
      <w:r w:rsidR="000C4673" w:rsidRPr="00DD65C2">
        <w:rPr>
          <w:rFonts w:ascii="Calibri" w:hAnsi="Calibri" w:cs="Calibri"/>
          <w:lang w:val="en-GB"/>
        </w:rPr>
        <w:t xml:space="preserve"> evidence </w:t>
      </w:r>
      <w:r w:rsidR="00B17AAC" w:rsidRPr="00DD65C2">
        <w:rPr>
          <w:rFonts w:ascii="Calibri" w:hAnsi="Calibri" w:cs="Calibri"/>
          <w:lang w:val="en-GB"/>
        </w:rPr>
        <w:t>of</w:t>
      </w:r>
      <w:r w:rsidR="000C4673" w:rsidRPr="00DD65C2">
        <w:rPr>
          <w:rFonts w:ascii="Calibri" w:hAnsi="Calibri" w:cs="Calibri"/>
          <w:lang w:val="en-GB"/>
        </w:rPr>
        <w:t xml:space="preserve"> the applied-for sign</w:t>
      </w:r>
      <w:r w:rsidR="00B17AAC" w:rsidRPr="00DD65C2">
        <w:rPr>
          <w:rFonts w:ascii="Calibri" w:hAnsi="Calibri" w:cs="Calibri"/>
          <w:lang w:val="en-GB"/>
        </w:rPr>
        <w:t>’s ability to</w:t>
      </w:r>
      <w:r w:rsidR="000C4673" w:rsidRPr="00DD65C2">
        <w:rPr>
          <w:rFonts w:ascii="Calibri" w:hAnsi="Calibri" w:cs="Calibri"/>
          <w:lang w:val="en-GB"/>
        </w:rPr>
        <w:t xml:space="preserve"> cause outrage amongst the </w:t>
      </w:r>
      <w:r w:rsidR="00F53F0E" w:rsidRPr="00DD65C2">
        <w:rPr>
          <w:rFonts w:ascii="Calibri" w:hAnsi="Calibri" w:cs="Calibri"/>
          <w:lang w:val="en-GB"/>
        </w:rPr>
        <w:t>relevant public</w:t>
      </w:r>
      <w:r w:rsidRPr="00DD65C2">
        <w:rPr>
          <w:rFonts w:ascii="Calibri" w:hAnsi="Calibri" w:cs="Calibri"/>
          <w:lang w:val="en-GB"/>
        </w:rPr>
        <w:t xml:space="preserve">. In </w:t>
      </w:r>
      <w:r w:rsidRPr="00DD65C2">
        <w:rPr>
          <w:rFonts w:ascii="Calibri" w:hAnsi="Calibri" w:cs="Calibri"/>
          <w:i/>
          <w:iCs/>
          <w:lang w:val="en-GB"/>
        </w:rPr>
        <w:t>French Connection</w:t>
      </w:r>
      <w:r w:rsidRPr="00DD65C2">
        <w:rPr>
          <w:rFonts w:ascii="Calibri" w:hAnsi="Calibri" w:cs="Calibri"/>
          <w:lang w:val="en-GB"/>
        </w:rPr>
        <w:t xml:space="preserve">, Arnold QC’s holding that the registered mark ‘FCUK’ ought to remain on the register </w:t>
      </w:r>
      <w:r w:rsidR="00A44F46" w:rsidRPr="00DD65C2">
        <w:rPr>
          <w:rFonts w:ascii="Calibri" w:hAnsi="Calibri" w:cs="Calibri"/>
          <w:lang w:val="en-GB"/>
        </w:rPr>
        <w:t>was heavily reliant on</w:t>
      </w:r>
      <w:r w:rsidRPr="00DD65C2">
        <w:rPr>
          <w:rFonts w:ascii="Calibri" w:hAnsi="Calibri" w:cs="Calibri"/>
          <w:lang w:val="en-GB"/>
        </w:rPr>
        <w:t xml:space="preserve"> the lack of evidence showing that the public, who had </w:t>
      </w:r>
      <w:r w:rsidR="00B71F59" w:rsidRPr="00DD65C2">
        <w:rPr>
          <w:rFonts w:ascii="Calibri" w:hAnsi="Calibri" w:cs="Calibri"/>
          <w:lang w:val="en-GB"/>
        </w:rPr>
        <w:t xml:space="preserve">long </w:t>
      </w:r>
      <w:r w:rsidRPr="00DD65C2">
        <w:rPr>
          <w:rFonts w:ascii="Calibri" w:hAnsi="Calibri" w:cs="Calibri"/>
          <w:lang w:val="en-GB"/>
        </w:rPr>
        <w:t>been exposed to use of the mark, had been outraged in any way.</w:t>
      </w:r>
      <w:r w:rsidRPr="00DD65C2">
        <w:rPr>
          <w:rStyle w:val="FootnoteReference"/>
          <w:rFonts w:ascii="Calibri" w:hAnsi="Calibri" w:cs="Calibri"/>
        </w:rPr>
        <w:footnoteReference w:id="92"/>
      </w:r>
      <w:r w:rsidRPr="00DD65C2">
        <w:rPr>
          <w:rFonts w:ascii="Calibri" w:hAnsi="Calibri" w:cs="Calibri"/>
          <w:lang w:val="en-GB"/>
        </w:rPr>
        <w:t xml:space="preserve"> Similarly, in </w:t>
      </w:r>
      <w:r w:rsidRPr="00DD65C2">
        <w:rPr>
          <w:rFonts w:ascii="Calibri" w:hAnsi="Calibri" w:cs="Calibri"/>
          <w:i/>
          <w:iCs/>
          <w:lang w:val="en-GB"/>
        </w:rPr>
        <w:t>Constantin Film Produktion</w:t>
      </w:r>
      <w:r w:rsidRPr="00DD65C2">
        <w:rPr>
          <w:rFonts w:ascii="Calibri" w:hAnsi="Calibri" w:cs="Calibri"/>
          <w:lang w:val="en-GB"/>
        </w:rPr>
        <w:t>, AG Bobek’s recommendation to the CJEU that the appealed decision be set aside is based on: (a) the lack of evidence showing that ‘F</w:t>
      </w:r>
      <w:r w:rsidR="00BE78DA">
        <w:rPr>
          <w:rFonts w:ascii="Calibri" w:hAnsi="Calibri" w:cs="Calibri"/>
          <w:lang w:val="en-GB"/>
        </w:rPr>
        <w:t>ack Ju Göhte</w:t>
      </w:r>
      <w:r w:rsidRPr="00DD65C2">
        <w:rPr>
          <w:rFonts w:ascii="Calibri" w:hAnsi="Calibri" w:cs="Calibri"/>
          <w:lang w:val="en-GB"/>
        </w:rPr>
        <w:t xml:space="preserve">’ is deemed immoral by the relevant public; and (b) the availability of contextual evidence that applicant’s widespread use of the applied-for sign prior to </w:t>
      </w:r>
      <w:r w:rsidRPr="00DD65C2">
        <w:rPr>
          <w:rFonts w:ascii="Calibri" w:hAnsi="Calibri" w:cs="Calibri"/>
          <w:lang w:val="en-GB"/>
        </w:rPr>
        <w:lastRenderedPageBreak/>
        <w:t xml:space="preserve">registration had not caused </w:t>
      </w:r>
      <w:r w:rsidR="00B71F59" w:rsidRPr="00DD65C2">
        <w:rPr>
          <w:rFonts w:ascii="Calibri" w:hAnsi="Calibri" w:cs="Calibri"/>
          <w:lang w:val="en-GB"/>
        </w:rPr>
        <w:t xml:space="preserve">any </w:t>
      </w:r>
      <w:r w:rsidRPr="00DD65C2">
        <w:rPr>
          <w:rFonts w:ascii="Calibri" w:hAnsi="Calibri" w:cs="Calibri"/>
          <w:lang w:val="en-GB"/>
        </w:rPr>
        <w:t>outrage.</w:t>
      </w:r>
      <w:r w:rsidRPr="00DD65C2">
        <w:rPr>
          <w:rStyle w:val="FootnoteReference"/>
          <w:rFonts w:ascii="Calibri" w:hAnsi="Calibri" w:cs="Calibri"/>
        </w:rPr>
        <w:footnoteReference w:id="93"/>
      </w:r>
      <w:r w:rsidRPr="00DD65C2">
        <w:rPr>
          <w:rFonts w:ascii="Calibri" w:hAnsi="Calibri" w:cs="Calibri"/>
          <w:lang w:val="en-GB"/>
        </w:rPr>
        <w:t xml:space="preserve"> </w:t>
      </w:r>
      <w:r w:rsidR="003419C7" w:rsidRPr="00DD65C2">
        <w:rPr>
          <w:rFonts w:ascii="Calibri" w:hAnsi="Calibri" w:cs="Calibri"/>
          <w:lang w:val="en-GB"/>
        </w:rPr>
        <w:t xml:space="preserve">Unlike in </w:t>
      </w:r>
      <w:r w:rsidR="003419C7" w:rsidRPr="00DD65C2">
        <w:rPr>
          <w:rFonts w:ascii="Calibri" w:hAnsi="Calibri" w:cs="Calibri"/>
          <w:i/>
          <w:iCs/>
          <w:lang w:val="en-GB"/>
        </w:rPr>
        <w:t>Brexit Drinks</w:t>
      </w:r>
      <w:r w:rsidR="003419C7" w:rsidRPr="00DD65C2">
        <w:rPr>
          <w:rFonts w:ascii="Calibri" w:hAnsi="Calibri" w:cs="Calibri"/>
          <w:lang w:val="en-GB"/>
        </w:rPr>
        <w:t xml:space="preserve">, however, these decisions do not </w:t>
      </w:r>
      <w:r w:rsidR="00A44F46" w:rsidRPr="00DD65C2">
        <w:rPr>
          <w:rFonts w:ascii="Calibri" w:hAnsi="Calibri" w:cs="Calibri"/>
          <w:lang w:val="en-GB"/>
        </w:rPr>
        <w:t xml:space="preserve">establish (at least not explicitly) the existence </w:t>
      </w:r>
      <w:r w:rsidR="003419C7" w:rsidRPr="00DD65C2">
        <w:rPr>
          <w:rFonts w:ascii="Calibri" w:hAnsi="Calibri" w:cs="Calibri"/>
          <w:lang w:val="en-GB"/>
        </w:rPr>
        <w:t xml:space="preserve">of a causal link between the protection afforded under Article 10 ECHR and the </w:t>
      </w:r>
      <w:r w:rsidR="00EA2CCD" w:rsidRPr="00DD65C2">
        <w:rPr>
          <w:rFonts w:ascii="Calibri" w:hAnsi="Calibri" w:cs="Calibri"/>
          <w:lang w:val="en-GB"/>
        </w:rPr>
        <w:t>assessment</w:t>
      </w:r>
      <w:r w:rsidR="003419C7" w:rsidRPr="00DD65C2">
        <w:rPr>
          <w:rFonts w:ascii="Calibri" w:hAnsi="Calibri" w:cs="Calibri"/>
          <w:lang w:val="en-GB"/>
        </w:rPr>
        <w:t xml:space="preserve"> of evidence. </w:t>
      </w:r>
      <w:r w:rsidR="00304CE6" w:rsidRPr="00DD65C2">
        <w:rPr>
          <w:rFonts w:ascii="Calibri" w:hAnsi="Calibri" w:cs="Calibri"/>
          <w:lang w:val="en-GB"/>
        </w:rPr>
        <w:t xml:space="preserve">It may well be that Arnold QC and AG Bobek sought to further the cause of speech by applying a fact-finding test </w:t>
      </w:r>
      <w:r w:rsidR="009C34D5" w:rsidRPr="00DD65C2">
        <w:rPr>
          <w:rFonts w:ascii="Calibri" w:hAnsi="Calibri" w:cs="Calibri"/>
          <w:lang w:val="en-GB"/>
        </w:rPr>
        <w:t>to determination of morality</w:t>
      </w:r>
      <w:r w:rsidR="00304CE6" w:rsidRPr="00DD65C2">
        <w:rPr>
          <w:rFonts w:ascii="Calibri" w:hAnsi="Calibri" w:cs="Calibri"/>
          <w:lang w:val="en-GB"/>
        </w:rPr>
        <w:t>. But this is speculation.</w:t>
      </w:r>
      <w:r w:rsidR="00D75B0D" w:rsidRPr="00DD65C2">
        <w:rPr>
          <w:rStyle w:val="FootnoteReference"/>
          <w:rFonts w:ascii="Calibri" w:hAnsi="Calibri" w:cs="Calibri"/>
        </w:rPr>
        <w:footnoteReference w:id="94"/>
      </w:r>
      <w:r w:rsidR="00304CE6" w:rsidRPr="00DD65C2">
        <w:rPr>
          <w:rFonts w:ascii="Calibri" w:hAnsi="Calibri" w:cs="Calibri"/>
          <w:lang w:val="en-GB"/>
        </w:rPr>
        <w:t xml:space="preserve"> As we will go on to study in Section 4.4. below, this is also true of the decision of the CJEU in </w:t>
      </w:r>
      <w:r w:rsidR="00304CE6" w:rsidRPr="00DD65C2">
        <w:rPr>
          <w:rFonts w:ascii="Calibri" w:hAnsi="Calibri" w:cs="Calibri"/>
          <w:i/>
          <w:iCs/>
          <w:lang w:val="en-GB"/>
        </w:rPr>
        <w:t>Constantin Film Produktion</w:t>
      </w:r>
      <w:r w:rsidR="00304CE6" w:rsidRPr="00DD65C2">
        <w:rPr>
          <w:rFonts w:ascii="Calibri" w:hAnsi="Calibri" w:cs="Calibri"/>
          <w:lang w:val="en-GB"/>
        </w:rPr>
        <w:t xml:space="preserve">. </w:t>
      </w:r>
    </w:p>
    <w:p w14:paraId="7DDB2395" w14:textId="77777777" w:rsidR="00611990" w:rsidRPr="00DD65C2" w:rsidRDefault="00611990" w:rsidP="007A5B2B">
      <w:pPr>
        <w:jc w:val="both"/>
        <w:rPr>
          <w:rFonts w:ascii="Calibri" w:hAnsi="Calibri" w:cs="Calibri"/>
          <w:lang w:val="en-GB"/>
        </w:rPr>
      </w:pPr>
    </w:p>
    <w:p w14:paraId="44D930E7" w14:textId="6CB39899" w:rsidR="007A5B2B" w:rsidRPr="00DD65C2" w:rsidRDefault="007A5B2B" w:rsidP="007A5B2B">
      <w:pPr>
        <w:jc w:val="both"/>
        <w:rPr>
          <w:rFonts w:ascii="Calibri" w:hAnsi="Calibri" w:cs="Calibri"/>
          <w:lang w:val="en-GB"/>
        </w:rPr>
      </w:pPr>
      <w:r w:rsidRPr="00DD65C2">
        <w:rPr>
          <w:rFonts w:ascii="Calibri" w:hAnsi="Calibri" w:cs="Calibri"/>
          <w:lang w:val="en-GB"/>
        </w:rPr>
        <w:t xml:space="preserve">To complicate things further, in its decision in </w:t>
      </w:r>
      <w:r w:rsidRPr="00DD65C2">
        <w:rPr>
          <w:rFonts w:ascii="Calibri" w:hAnsi="Calibri" w:cs="Calibri"/>
          <w:i/>
          <w:iCs/>
          <w:lang w:val="en-GB"/>
        </w:rPr>
        <w:t>Constantin Film Produktion</w:t>
      </w:r>
      <w:r w:rsidRPr="00DD65C2">
        <w:rPr>
          <w:rFonts w:ascii="Calibri" w:hAnsi="Calibri" w:cs="Calibri"/>
          <w:lang w:val="en-GB"/>
        </w:rPr>
        <w:t>, the GC seemed to reject the possibility of freedom of expression ever being implicated in trade mark law broadly considered –and not just in the registration context– when it held that ‘in the field of art, culture and literature, there is a permanent concern about preserving </w:t>
      </w:r>
      <w:bookmarkStart w:id="0" w:name="ORIGHIT_15"/>
      <w:bookmarkStart w:id="1" w:name="HIT_15"/>
      <w:bookmarkEnd w:id="0"/>
      <w:bookmarkEnd w:id="1"/>
      <w:r w:rsidRPr="00DD65C2">
        <w:rPr>
          <w:rFonts w:ascii="Calibri" w:hAnsi="Calibri" w:cs="Calibri"/>
          <w:lang w:val="en-GB"/>
        </w:rPr>
        <w:t>freedom of expression that does not exist in the field of trade marks’.</w:t>
      </w:r>
      <w:r w:rsidRPr="00DD65C2">
        <w:rPr>
          <w:rStyle w:val="FootnoteReference"/>
          <w:rFonts w:ascii="Calibri" w:hAnsi="Calibri" w:cs="Calibri"/>
        </w:rPr>
        <w:footnoteReference w:id="95"/>
      </w:r>
      <w:r w:rsidRPr="00DD65C2">
        <w:rPr>
          <w:rFonts w:ascii="Calibri" w:hAnsi="Calibri" w:cs="Calibri"/>
          <w:lang w:val="en-GB"/>
        </w:rPr>
        <w:t xml:space="preserve"> This is very problematic. Quite apart from the sweeping implications that it could have in the field, this finding is also at odds with: (a) the recitals to the EUTMR and TMD, which provide that both instruments ‘</w:t>
      </w:r>
      <w:r w:rsidRPr="00DD65C2">
        <w:rPr>
          <w:rFonts w:ascii="Calibri" w:hAnsi="Calibri" w:cs="Calibri"/>
        </w:rPr>
        <w:t>should be applied in a way that ensures full respect for fundamental rights and freedoms, and in particular the freedom of expression</w:t>
      </w:r>
      <w:r w:rsidRPr="00DD65C2">
        <w:rPr>
          <w:rFonts w:ascii="Calibri" w:hAnsi="Calibri" w:cs="Calibri"/>
          <w:lang w:val="en-US"/>
        </w:rPr>
        <w:t>’</w:t>
      </w:r>
      <w:r w:rsidRPr="00DD65C2">
        <w:rPr>
          <w:rFonts w:ascii="Calibri" w:hAnsi="Calibri" w:cs="Calibri"/>
          <w:lang w:val="en-GB"/>
        </w:rPr>
        <w:t>;</w:t>
      </w:r>
      <w:r w:rsidRPr="00DD65C2">
        <w:rPr>
          <w:rStyle w:val="FootnoteReference"/>
          <w:rFonts w:ascii="Calibri" w:hAnsi="Calibri" w:cs="Calibri"/>
        </w:rPr>
        <w:footnoteReference w:id="96"/>
      </w:r>
      <w:r w:rsidRPr="00DD65C2">
        <w:rPr>
          <w:rFonts w:ascii="Calibri" w:hAnsi="Calibri" w:cs="Calibri"/>
          <w:lang w:val="en-GB"/>
        </w:rPr>
        <w:t xml:space="preserve"> (b) the case law of the ECtHR </w:t>
      </w:r>
      <w:r w:rsidR="00C124B9" w:rsidRPr="00DD65C2">
        <w:rPr>
          <w:rFonts w:ascii="Calibri" w:hAnsi="Calibri" w:cs="Calibri"/>
          <w:lang w:val="en-GB"/>
        </w:rPr>
        <w:t>acknowledging that applicant</w:t>
      </w:r>
      <w:r w:rsidR="005E70B0" w:rsidRPr="00DD65C2">
        <w:rPr>
          <w:rFonts w:ascii="Calibri" w:hAnsi="Calibri" w:cs="Calibri"/>
          <w:lang w:val="en-GB"/>
        </w:rPr>
        <w:t>s’</w:t>
      </w:r>
      <w:r w:rsidR="00C124B9" w:rsidRPr="00DD65C2">
        <w:rPr>
          <w:rFonts w:ascii="Calibri" w:hAnsi="Calibri" w:cs="Calibri"/>
          <w:lang w:val="en-GB"/>
        </w:rPr>
        <w:t xml:space="preserve"> speech can be interfered with as a result of refusals of registration</w:t>
      </w:r>
      <w:r w:rsidRPr="00DD65C2">
        <w:rPr>
          <w:rFonts w:ascii="Calibri" w:hAnsi="Calibri" w:cs="Calibri"/>
          <w:lang w:val="en-GB"/>
        </w:rPr>
        <w:t>;</w:t>
      </w:r>
      <w:r w:rsidRPr="00DD65C2">
        <w:rPr>
          <w:rStyle w:val="FootnoteReference"/>
          <w:rFonts w:ascii="Calibri" w:hAnsi="Calibri" w:cs="Calibri"/>
        </w:rPr>
        <w:footnoteReference w:id="97"/>
      </w:r>
      <w:r w:rsidRPr="00DD65C2">
        <w:rPr>
          <w:rFonts w:ascii="Calibri" w:hAnsi="Calibri" w:cs="Calibri"/>
          <w:lang w:val="en-GB"/>
        </w:rPr>
        <w:t xml:space="preserve"> and (c) several opinions from the Advocates General addressing the compatibility of health-furthering, trade mark-restrictive measures with Article 10 ECHR.</w:t>
      </w:r>
      <w:r w:rsidRPr="00DD65C2">
        <w:rPr>
          <w:rStyle w:val="FootnoteReference"/>
          <w:rFonts w:ascii="Calibri" w:hAnsi="Calibri" w:cs="Calibri"/>
        </w:rPr>
        <w:footnoteReference w:id="98"/>
      </w:r>
      <w:r w:rsidRPr="00DD65C2">
        <w:rPr>
          <w:rFonts w:ascii="Calibri" w:hAnsi="Calibri" w:cs="Calibri"/>
          <w:lang w:val="en-GB"/>
        </w:rPr>
        <w:t xml:space="preserve"> On appeal before the CJEU, and to avoid such a conflicting interpretation, that he characterizes as ‘clearly incorrect’, AG Bobek proposes to read the GC’s decision in the sense that </w:t>
      </w:r>
      <w:bookmarkStart w:id="2" w:name="ORIGHIT_47"/>
      <w:bookmarkStart w:id="3" w:name="HIT_47"/>
      <w:bookmarkEnd w:id="2"/>
      <w:bookmarkEnd w:id="3"/>
      <w:r w:rsidRPr="00DD65C2">
        <w:rPr>
          <w:rFonts w:ascii="Calibri" w:hAnsi="Calibri" w:cs="Calibri"/>
          <w:lang w:val="en-GB"/>
        </w:rPr>
        <w:t>‘freedom of expression […] must be taken into account in the overall balancing exercise, [but its] protection […] is not the primary goal of trade mark protection’.</w:t>
      </w:r>
      <w:r w:rsidRPr="00DD65C2">
        <w:rPr>
          <w:rStyle w:val="FootnoteReference"/>
          <w:rFonts w:ascii="Calibri" w:hAnsi="Calibri" w:cs="Calibri"/>
        </w:rPr>
        <w:footnoteReference w:id="99"/>
      </w:r>
      <w:r w:rsidRPr="00DD65C2">
        <w:rPr>
          <w:rFonts w:ascii="Calibri" w:hAnsi="Calibri" w:cs="Calibri"/>
          <w:lang w:val="en-GB"/>
        </w:rPr>
        <w:t xml:space="preserve"> The proposed interpretation allows for easy reconciliation </w:t>
      </w:r>
      <w:r w:rsidRPr="00DD65C2">
        <w:rPr>
          <w:rFonts w:ascii="Calibri" w:hAnsi="Calibri" w:cs="Calibri"/>
          <w:lang w:val="en-GB"/>
        </w:rPr>
        <w:lastRenderedPageBreak/>
        <w:t xml:space="preserve">of the decision of the GC with settled case law. At a more abstract level, however, this discussion illustrates the worrying degree of uncertainty governing </w:t>
      </w:r>
      <w:r w:rsidR="00700EDC" w:rsidRPr="00DD65C2">
        <w:rPr>
          <w:rFonts w:ascii="Calibri" w:hAnsi="Calibri" w:cs="Calibri"/>
          <w:lang w:val="en-GB"/>
        </w:rPr>
        <w:t>th</w:t>
      </w:r>
      <w:r w:rsidR="00D45A34" w:rsidRPr="00DD65C2">
        <w:rPr>
          <w:rFonts w:ascii="Calibri" w:hAnsi="Calibri" w:cs="Calibri"/>
          <w:lang w:val="en-GB"/>
        </w:rPr>
        <w:t>e interaction between marks and speech</w:t>
      </w:r>
      <w:r w:rsidRPr="00DD65C2">
        <w:rPr>
          <w:rFonts w:ascii="Calibri" w:hAnsi="Calibri" w:cs="Calibri"/>
          <w:lang w:val="en-GB"/>
        </w:rPr>
        <w:t>.</w:t>
      </w:r>
      <w:r w:rsidRPr="00DD65C2">
        <w:rPr>
          <w:rStyle w:val="FootnoteReference"/>
          <w:rFonts w:ascii="Calibri" w:hAnsi="Calibri" w:cs="Calibri"/>
        </w:rPr>
        <w:footnoteReference w:id="100"/>
      </w:r>
      <w:r w:rsidRPr="00DD65C2">
        <w:rPr>
          <w:rFonts w:ascii="Calibri" w:hAnsi="Calibri" w:cs="Calibri"/>
          <w:lang w:val="en-GB"/>
        </w:rPr>
        <w:t xml:space="preserve"> </w:t>
      </w:r>
    </w:p>
    <w:p w14:paraId="21DC35D4" w14:textId="77777777" w:rsidR="000177CC" w:rsidRPr="00DD65C2" w:rsidRDefault="000177CC" w:rsidP="00504F94">
      <w:pPr>
        <w:jc w:val="both"/>
        <w:rPr>
          <w:rFonts w:ascii="Calibri" w:hAnsi="Calibri" w:cs="Calibri"/>
          <w:lang w:val="en-GB"/>
        </w:rPr>
      </w:pPr>
    </w:p>
    <w:p w14:paraId="497F503A" w14:textId="3BC9A0F4" w:rsidR="00013E1D" w:rsidRPr="00DD65C2" w:rsidRDefault="00FB4904" w:rsidP="003833A7">
      <w:pPr>
        <w:pStyle w:val="ListParagraph"/>
        <w:numPr>
          <w:ilvl w:val="0"/>
          <w:numId w:val="13"/>
        </w:numPr>
        <w:jc w:val="both"/>
        <w:rPr>
          <w:rFonts w:ascii="Calibri" w:hAnsi="Calibri" w:cs="Calibri"/>
          <w:b/>
          <w:bCs/>
        </w:rPr>
      </w:pPr>
      <w:r w:rsidRPr="00DD65C2">
        <w:rPr>
          <w:rFonts w:ascii="Calibri" w:hAnsi="Calibri" w:cs="Calibri"/>
          <w:b/>
          <w:bCs/>
        </w:rPr>
        <w:t xml:space="preserve">The Decision of the CJEU in </w:t>
      </w:r>
      <w:r w:rsidRPr="00DD65C2">
        <w:rPr>
          <w:rFonts w:ascii="Calibri" w:hAnsi="Calibri" w:cs="Calibri"/>
          <w:b/>
          <w:bCs/>
          <w:i/>
          <w:iCs/>
        </w:rPr>
        <w:t>Constantin Film Produktion</w:t>
      </w:r>
      <w:r w:rsidRPr="00DD65C2">
        <w:rPr>
          <w:rFonts w:ascii="Calibri" w:hAnsi="Calibri" w:cs="Calibri"/>
          <w:b/>
          <w:bCs/>
        </w:rPr>
        <w:t xml:space="preserve">: An End to the </w:t>
      </w:r>
      <w:r w:rsidR="00390459" w:rsidRPr="00DD65C2">
        <w:rPr>
          <w:rFonts w:ascii="Calibri" w:hAnsi="Calibri" w:cs="Calibri"/>
          <w:b/>
          <w:bCs/>
        </w:rPr>
        <w:t>Inconsistent</w:t>
      </w:r>
      <w:r w:rsidR="00E14B22" w:rsidRPr="00DD65C2">
        <w:rPr>
          <w:rFonts w:ascii="Calibri" w:hAnsi="Calibri" w:cs="Calibri"/>
          <w:b/>
          <w:bCs/>
        </w:rPr>
        <w:t xml:space="preserve"> Interpretation of the Public </w:t>
      </w:r>
      <w:r w:rsidR="00EF659F" w:rsidRPr="00DD65C2">
        <w:rPr>
          <w:rFonts w:ascii="Calibri" w:hAnsi="Calibri" w:cs="Calibri"/>
          <w:b/>
          <w:bCs/>
        </w:rPr>
        <w:t>Policy and Morality Exclusions</w:t>
      </w:r>
      <w:r w:rsidRPr="00DD65C2">
        <w:rPr>
          <w:rFonts w:ascii="Calibri" w:hAnsi="Calibri" w:cs="Calibri"/>
          <w:b/>
          <w:bCs/>
        </w:rPr>
        <w:t>?</w:t>
      </w:r>
    </w:p>
    <w:p w14:paraId="412290CF" w14:textId="77777777" w:rsidR="00CA01D8" w:rsidRPr="00DD65C2" w:rsidRDefault="00CA01D8" w:rsidP="00504F94">
      <w:pPr>
        <w:jc w:val="both"/>
        <w:rPr>
          <w:rFonts w:ascii="Calibri" w:hAnsi="Calibri" w:cs="Calibri"/>
          <w:b/>
          <w:bCs/>
          <w:lang w:val="en-GB"/>
        </w:rPr>
      </w:pPr>
    </w:p>
    <w:p w14:paraId="43FA3446" w14:textId="65884ECD" w:rsidR="00D406A0" w:rsidRPr="00DD65C2" w:rsidRDefault="00E93C21" w:rsidP="00504F94">
      <w:pPr>
        <w:jc w:val="both"/>
        <w:rPr>
          <w:rFonts w:ascii="Calibri" w:hAnsi="Calibri" w:cs="Calibri"/>
          <w:lang w:val="en-GB"/>
        </w:rPr>
      </w:pPr>
      <w:r w:rsidRPr="00DD65C2">
        <w:rPr>
          <w:rFonts w:ascii="Calibri" w:hAnsi="Calibri" w:cs="Calibri"/>
          <w:lang w:val="en-GB"/>
        </w:rPr>
        <w:t>In the interests of clarity,</w:t>
      </w:r>
      <w:r w:rsidR="00A9497E" w:rsidRPr="00DD65C2">
        <w:rPr>
          <w:rFonts w:ascii="Calibri" w:hAnsi="Calibri" w:cs="Calibri"/>
          <w:lang w:val="en-GB"/>
        </w:rPr>
        <w:t xml:space="preserve"> </w:t>
      </w:r>
      <w:r w:rsidR="00961E7F">
        <w:rPr>
          <w:rFonts w:ascii="Calibri" w:hAnsi="Calibri" w:cs="Calibri"/>
          <w:lang w:val="en-GB"/>
        </w:rPr>
        <w:t xml:space="preserve">our analysis </w:t>
      </w:r>
      <w:r w:rsidRPr="00DD65C2">
        <w:rPr>
          <w:rFonts w:ascii="Calibri" w:hAnsi="Calibri" w:cs="Calibri"/>
          <w:lang w:val="en-GB"/>
        </w:rPr>
        <w:t xml:space="preserve">of the decision of the CJEU in </w:t>
      </w:r>
      <w:r w:rsidRPr="00DD65C2">
        <w:rPr>
          <w:rFonts w:ascii="Calibri" w:hAnsi="Calibri" w:cs="Calibri"/>
          <w:i/>
          <w:iCs/>
          <w:lang w:val="en-GB"/>
        </w:rPr>
        <w:t>Constantin Film Produktion</w:t>
      </w:r>
      <w:r w:rsidR="00A9497E" w:rsidRPr="00DD65C2">
        <w:rPr>
          <w:rFonts w:ascii="Calibri" w:hAnsi="Calibri" w:cs="Calibri"/>
          <w:lang w:val="en-GB"/>
        </w:rPr>
        <w:t xml:space="preserve"> will </w:t>
      </w:r>
      <w:r w:rsidR="0051293E" w:rsidRPr="00DD65C2">
        <w:rPr>
          <w:rFonts w:ascii="Calibri" w:hAnsi="Calibri" w:cs="Calibri"/>
          <w:lang w:val="en-GB"/>
        </w:rPr>
        <w:t>mirror</w:t>
      </w:r>
      <w:r w:rsidR="00A9497E" w:rsidRPr="00DD65C2">
        <w:rPr>
          <w:rFonts w:ascii="Calibri" w:hAnsi="Calibri" w:cs="Calibri"/>
          <w:lang w:val="en-GB"/>
        </w:rPr>
        <w:t xml:space="preserve"> the </w:t>
      </w:r>
      <w:r w:rsidRPr="00DD65C2">
        <w:rPr>
          <w:rFonts w:ascii="Calibri" w:hAnsi="Calibri" w:cs="Calibri"/>
          <w:lang w:val="en-GB"/>
        </w:rPr>
        <w:t>structure used throughout this piece</w:t>
      </w:r>
      <w:r w:rsidR="002137FD" w:rsidRPr="00DD65C2">
        <w:rPr>
          <w:rFonts w:ascii="Calibri" w:hAnsi="Calibri" w:cs="Calibri"/>
          <w:lang w:val="en-GB"/>
        </w:rPr>
        <w:t xml:space="preserve">. </w:t>
      </w:r>
    </w:p>
    <w:p w14:paraId="23C679F9" w14:textId="10420F57" w:rsidR="00E93C21" w:rsidRPr="00DD65C2" w:rsidRDefault="00E93C21" w:rsidP="00504F94">
      <w:pPr>
        <w:jc w:val="both"/>
        <w:rPr>
          <w:rFonts w:ascii="Calibri" w:hAnsi="Calibri" w:cs="Calibri"/>
          <w:lang w:val="en-GB"/>
        </w:rPr>
      </w:pPr>
    </w:p>
    <w:p w14:paraId="57DD4621" w14:textId="53C9FEF6" w:rsidR="00013E1D" w:rsidRPr="00DD65C2" w:rsidRDefault="00052EA8" w:rsidP="003833A7">
      <w:pPr>
        <w:pStyle w:val="ListParagraph"/>
        <w:numPr>
          <w:ilvl w:val="1"/>
          <w:numId w:val="13"/>
        </w:numPr>
        <w:jc w:val="both"/>
        <w:rPr>
          <w:rFonts w:ascii="Calibri" w:hAnsi="Calibri" w:cs="Calibri"/>
          <w:b/>
          <w:bCs/>
        </w:rPr>
      </w:pPr>
      <w:r w:rsidRPr="00DD65C2">
        <w:rPr>
          <w:rFonts w:ascii="Calibri" w:hAnsi="Calibri" w:cs="Calibri"/>
          <w:b/>
          <w:bCs/>
        </w:rPr>
        <w:t>On t</w:t>
      </w:r>
      <w:r w:rsidR="00D406A0" w:rsidRPr="00DD65C2">
        <w:rPr>
          <w:rFonts w:ascii="Calibri" w:hAnsi="Calibri" w:cs="Calibri"/>
          <w:b/>
          <w:bCs/>
        </w:rPr>
        <w:t xml:space="preserve">he </w:t>
      </w:r>
      <w:r w:rsidR="001B04C3" w:rsidRPr="00DD65C2">
        <w:rPr>
          <w:rFonts w:ascii="Calibri" w:hAnsi="Calibri" w:cs="Calibri"/>
          <w:b/>
          <w:bCs/>
        </w:rPr>
        <w:t>Conceptual Boundaries of</w:t>
      </w:r>
      <w:r w:rsidR="00D406A0" w:rsidRPr="00DD65C2">
        <w:rPr>
          <w:rFonts w:ascii="Calibri" w:hAnsi="Calibri" w:cs="Calibri"/>
          <w:b/>
          <w:bCs/>
        </w:rPr>
        <w:t xml:space="preserve"> </w:t>
      </w:r>
      <w:r w:rsidRPr="00DD65C2">
        <w:rPr>
          <w:rFonts w:ascii="Calibri" w:hAnsi="Calibri" w:cs="Calibri"/>
          <w:b/>
          <w:bCs/>
        </w:rPr>
        <w:t xml:space="preserve">the Public Policy and </w:t>
      </w:r>
      <w:r w:rsidR="00D406A0" w:rsidRPr="00DD65C2">
        <w:rPr>
          <w:rFonts w:ascii="Calibri" w:hAnsi="Calibri" w:cs="Calibri"/>
          <w:b/>
          <w:bCs/>
        </w:rPr>
        <w:t xml:space="preserve">Morality </w:t>
      </w:r>
      <w:r w:rsidRPr="00DD65C2">
        <w:rPr>
          <w:rFonts w:ascii="Calibri" w:hAnsi="Calibri" w:cs="Calibri"/>
          <w:b/>
          <w:bCs/>
        </w:rPr>
        <w:t>Exclusions</w:t>
      </w:r>
    </w:p>
    <w:p w14:paraId="08F0CB92" w14:textId="77777777" w:rsidR="00013E1D" w:rsidRPr="00DD65C2" w:rsidRDefault="00013E1D" w:rsidP="00504F94">
      <w:pPr>
        <w:jc w:val="both"/>
        <w:rPr>
          <w:rFonts w:ascii="Calibri" w:hAnsi="Calibri" w:cs="Calibri"/>
          <w:lang w:val="en-GB"/>
        </w:rPr>
      </w:pPr>
    </w:p>
    <w:p w14:paraId="46AFA97E" w14:textId="488CB970" w:rsidR="00727CFD" w:rsidRPr="00DD65C2" w:rsidRDefault="00956CE1" w:rsidP="00504F94">
      <w:pPr>
        <w:jc w:val="both"/>
        <w:rPr>
          <w:rFonts w:ascii="Calibri" w:hAnsi="Calibri" w:cs="Calibri"/>
          <w:lang w:val="en-GB"/>
        </w:rPr>
      </w:pPr>
      <w:r w:rsidRPr="00DD65C2">
        <w:rPr>
          <w:rFonts w:ascii="Calibri" w:hAnsi="Calibri" w:cs="Calibri"/>
          <w:lang w:val="en-GB"/>
        </w:rPr>
        <w:t>Regrettably</w:t>
      </w:r>
      <w:r w:rsidR="00172860" w:rsidRPr="00DD65C2">
        <w:rPr>
          <w:rFonts w:ascii="Calibri" w:hAnsi="Calibri" w:cs="Calibri"/>
          <w:lang w:val="en-GB"/>
        </w:rPr>
        <w:t>, t</w:t>
      </w:r>
      <w:r w:rsidR="001352FB" w:rsidRPr="00DD65C2">
        <w:rPr>
          <w:rFonts w:ascii="Calibri" w:hAnsi="Calibri" w:cs="Calibri"/>
          <w:lang w:val="en-GB"/>
        </w:rPr>
        <w:t xml:space="preserve">he </w:t>
      </w:r>
      <w:r w:rsidR="00E1643D" w:rsidRPr="00DD65C2">
        <w:rPr>
          <w:rFonts w:ascii="Calibri" w:hAnsi="Calibri" w:cs="Calibri"/>
          <w:lang w:val="en-GB"/>
        </w:rPr>
        <w:t xml:space="preserve">decision of the </w:t>
      </w:r>
      <w:r w:rsidR="001352FB" w:rsidRPr="00DD65C2">
        <w:rPr>
          <w:rFonts w:ascii="Calibri" w:hAnsi="Calibri" w:cs="Calibri"/>
          <w:lang w:val="en-GB"/>
        </w:rPr>
        <w:t xml:space="preserve">CJEU </w:t>
      </w:r>
      <w:r w:rsidR="004B7C4E" w:rsidRPr="00DD65C2">
        <w:rPr>
          <w:rFonts w:ascii="Calibri" w:hAnsi="Calibri" w:cs="Calibri"/>
          <w:lang w:val="en-GB"/>
        </w:rPr>
        <w:t>f</w:t>
      </w:r>
      <w:r w:rsidR="001352FB" w:rsidRPr="00DD65C2">
        <w:rPr>
          <w:rFonts w:ascii="Calibri" w:hAnsi="Calibri" w:cs="Calibri"/>
          <w:lang w:val="en-GB"/>
        </w:rPr>
        <w:t>ail</w:t>
      </w:r>
      <w:r w:rsidR="00763234" w:rsidRPr="00DD65C2">
        <w:rPr>
          <w:rFonts w:ascii="Calibri" w:hAnsi="Calibri" w:cs="Calibri"/>
          <w:lang w:val="en-GB"/>
        </w:rPr>
        <w:t>s</w:t>
      </w:r>
      <w:r w:rsidR="001352FB" w:rsidRPr="00DD65C2">
        <w:rPr>
          <w:rFonts w:ascii="Calibri" w:hAnsi="Calibri" w:cs="Calibri"/>
          <w:lang w:val="en-GB"/>
        </w:rPr>
        <w:t xml:space="preserve"> to engage </w:t>
      </w:r>
      <w:r w:rsidR="00172860" w:rsidRPr="00DD65C2">
        <w:rPr>
          <w:rFonts w:ascii="Calibri" w:hAnsi="Calibri" w:cs="Calibri"/>
          <w:lang w:val="en-GB"/>
        </w:rPr>
        <w:t>with</w:t>
      </w:r>
      <w:r w:rsidR="001352FB" w:rsidRPr="00DD65C2">
        <w:rPr>
          <w:rFonts w:ascii="Calibri" w:hAnsi="Calibri" w:cs="Calibri"/>
          <w:lang w:val="en-GB"/>
        </w:rPr>
        <w:t xml:space="preserve"> AG Bobek’s insightful analysis of the </w:t>
      </w:r>
      <w:r w:rsidR="00D240A0" w:rsidRPr="00DD65C2">
        <w:rPr>
          <w:rFonts w:ascii="Calibri" w:hAnsi="Calibri" w:cs="Calibri"/>
          <w:lang w:val="en-GB"/>
        </w:rPr>
        <w:t xml:space="preserve">conceptual differences between the public policy and morality exclusions, including the extent to which they can sometimes overlap. </w:t>
      </w:r>
      <w:r w:rsidR="001352FB" w:rsidRPr="00DD65C2">
        <w:rPr>
          <w:rFonts w:ascii="Calibri" w:hAnsi="Calibri" w:cs="Calibri"/>
          <w:lang w:val="en-GB"/>
        </w:rPr>
        <w:t>Instead, the Court begins its analysis by holding that only the morality exclusion is triggered in this case and, thus, it will not deal with the public policy ground of refusal.</w:t>
      </w:r>
      <w:r w:rsidR="00D44590" w:rsidRPr="00DD65C2">
        <w:rPr>
          <w:rStyle w:val="FootnoteReference"/>
          <w:rFonts w:ascii="Calibri" w:hAnsi="Calibri" w:cs="Calibri"/>
        </w:rPr>
        <w:footnoteReference w:id="101"/>
      </w:r>
      <w:r w:rsidR="001352FB" w:rsidRPr="00DD65C2">
        <w:rPr>
          <w:rFonts w:ascii="Calibri" w:hAnsi="Calibri" w:cs="Calibri"/>
          <w:lang w:val="en-GB"/>
        </w:rPr>
        <w:t xml:space="preserve"> </w:t>
      </w:r>
    </w:p>
    <w:p w14:paraId="6F5DB864" w14:textId="77777777" w:rsidR="00727CFD" w:rsidRPr="00DD65C2" w:rsidRDefault="00727CFD" w:rsidP="00504F94">
      <w:pPr>
        <w:jc w:val="both"/>
        <w:rPr>
          <w:rFonts w:ascii="Calibri" w:hAnsi="Calibri" w:cs="Calibri"/>
          <w:lang w:val="en-GB"/>
        </w:rPr>
      </w:pPr>
    </w:p>
    <w:p w14:paraId="233F6E07" w14:textId="6577445F" w:rsidR="00A1004F" w:rsidRPr="00DD65C2" w:rsidRDefault="001352FB" w:rsidP="00504F94">
      <w:pPr>
        <w:jc w:val="both"/>
        <w:rPr>
          <w:rFonts w:ascii="Calibri" w:hAnsi="Calibri" w:cs="Calibri"/>
          <w:lang w:val="en-GB"/>
        </w:rPr>
      </w:pPr>
      <w:r w:rsidRPr="00DD65C2">
        <w:rPr>
          <w:rFonts w:ascii="Calibri" w:hAnsi="Calibri" w:cs="Calibri"/>
          <w:lang w:val="en-GB"/>
        </w:rPr>
        <w:t xml:space="preserve">This </w:t>
      </w:r>
      <w:r w:rsidR="00DF21DD" w:rsidRPr="00DD65C2">
        <w:rPr>
          <w:rFonts w:ascii="Calibri" w:hAnsi="Calibri" w:cs="Calibri"/>
          <w:lang w:val="en-GB"/>
        </w:rPr>
        <w:t xml:space="preserve">constitutes </w:t>
      </w:r>
      <w:r w:rsidRPr="00DD65C2">
        <w:rPr>
          <w:rFonts w:ascii="Calibri" w:hAnsi="Calibri" w:cs="Calibri"/>
          <w:lang w:val="en-GB"/>
        </w:rPr>
        <w:t xml:space="preserve">a missed opportunity </w:t>
      </w:r>
      <w:r w:rsidR="00DF21DD" w:rsidRPr="00DD65C2">
        <w:rPr>
          <w:rFonts w:ascii="Calibri" w:hAnsi="Calibri" w:cs="Calibri"/>
          <w:lang w:val="en-GB"/>
        </w:rPr>
        <w:t xml:space="preserve">on the part of the Court </w:t>
      </w:r>
      <w:r w:rsidRPr="00DD65C2">
        <w:rPr>
          <w:rFonts w:ascii="Calibri" w:hAnsi="Calibri" w:cs="Calibri"/>
          <w:lang w:val="en-GB"/>
        </w:rPr>
        <w:t>to bring much</w:t>
      </w:r>
      <w:r w:rsidR="00DF21DD" w:rsidRPr="00DD65C2">
        <w:rPr>
          <w:rFonts w:ascii="Calibri" w:hAnsi="Calibri" w:cs="Calibri"/>
          <w:lang w:val="en-GB"/>
        </w:rPr>
        <w:t>-</w:t>
      </w:r>
      <w:r w:rsidRPr="00DD65C2">
        <w:rPr>
          <w:rFonts w:ascii="Calibri" w:hAnsi="Calibri" w:cs="Calibri"/>
          <w:lang w:val="en-GB"/>
        </w:rPr>
        <w:t xml:space="preserve">needed clarity to </w:t>
      </w:r>
      <w:r w:rsidR="00DB3491" w:rsidRPr="00DD65C2">
        <w:rPr>
          <w:rFonts w:ascii="Calibri" w:hAnsi="Calibri" w:cs="Calibri"/>
          <w:lang w:val="en-GB"/>
        </w:rPr>
        <w:t xml:space="preserve">the interpretation of </w:t>
      </w:r>
      <w:r w:rsidRPr="00DD65C2">
        <w:rPr>
          <w:rFonts w:ascii="Calibri" w:hAnsi="Calibri" w:cs="Calibri"/>
          <w:lang w:val="en-GB"/>
        </w:rPr>
        <w:t xml:space="preserve">this </w:t>
      </w:r>
      <w:r w:rsidR="00DB3491" w:rsidRPr="00DD65C2">
        <w:rPr>
          <w:rFonts w:ascii="Calibri" w:hAnsi="Calibri" w:cs="Calibri"/>
          <w:lang w:val="en-GB"/>
        </w:rPr>
        <w:t xml:space="preserve">controversial </w:t>
      </w:r>
      <w:r w:rsidRPr="00DD65C2">
        <w:rPr>
          <w:rFonts w:ascii="Calibri" w:hAnsi="Calibri" w:cs="Calibri"/>
          <w:lang w:val="en-GB"/>
        </w:rPr>
        <w:t>aspect of</w:t>
      </w:r>
      <w:r w:rsidR="00DB3491" w:rsidRPr="00DD65C2">
        <w:rPr>
          <w:rFonts w:ascii="Calibri" w:hAnsi="Calibri" w:cs="Calibri"/>
          <w:lang w:val="en-GB"/>
        </w:rPr>
        <w:t xml:space="preserve"> </w:t>
      </w:r>
      <w:r w:rsidRPr="00DD65C2">
        <w:rPr>
          <w:rFonts w:ascii="Calibri" w:hAnsi="Calibri" w:cs="Calibri"/>
          <w:lang w:val="en-GB"/>
        </w:rPr>
        <w:t>the exclusion</w:t>
      </w:r>
      <w:r w:rsidR="00DB3491" w:rsidRPr="00DD65C2">
        <w:rPr>
          <w:rFonts w:ascii="Calibri" w:hAnsi="Calibri" w:cs="Calibri"/>
          <w:lang w:val="en-GB"/>
        </w:rPr>
        <w:t>s</w:t>
      </w:r>
      <w:r w:rsidRPr="00DD65C2">
        <w:rPr>
          <w:rFonts w:ascii="Calibri" w:hAnsi="Calibri" w:cs="Calibri"/>
          <w:lang w:val="en-GB"/>
        </w:rPr>
        <w:t xml:space="preserve">, especially in light of the diverse approaches adopted to date by different </w:t>
      </w:r>
      <w:r w:rsidR="00CA4514" w:rsidRPr="00DD65C2">
        <w:rPr>
          <w:rFonts w:ascii="Calibri" w:hAnsi="Calibri" w:cs="Calibri"/>
          <w:lang w:val="en-GB"/>
        </w:rPr>
        <w:t>decision-maker</w:t>
      </w:r>
      <w:r w:rsidRPr="00DD65C2">
        <w:rPr>
          <w:rFonts w:ascii="Calibri" w:hAnsi="Calibri" w:cs="Calibri"/>
          <w:lang w:val="en-GB"/>
        </w:rPr>
        <w:t xml:space="preserve">s in Europe. </w:t>
      </w:r>
      <w:r w:rsidR="003D4703" w:rsidRPr="00DD65C2">
        <w:rPr>
          <w:rFonts w:ascii="Calibri" w:hAnsi="Calibri" w:cs="Calibri"/>
          <w:lang w:val="en-GB"/>
        </w:rPr>
        <w:t xml:space="preserve">This is perhaps more surprising in light of the GC’s finding, in the appealed decision, that public policy and morality very often overlap and, thus, there is no need to distinguish between the two –a finding that AG Bobek </w:t>
      </w:r>
      <w:r w:rsidR="00A1004F" w:rsidRPr="00DD65C2">
        <w:rPr>
          <w:rFonts w:ascii="Calibri" w:hAnsi="Calibri" w:cs="Calibri"/>
          <w:lang w:val="en-GB"/>
        </w:rPr>
        <w:t xml:space="preserve">rejected categorically and sought to redress in </w:t>
      </w:r>
      <w:r w:rsidR="00DF21DD" w:rsidRPr="00DD65C2">
        <w:rPr>
          <w:rFonts w:ascii="Calibri" w:hAnsi="Calibri" w:cs="Calibri"/>
          <w:lang w:val="en-GB"/>
        </w:rPr>
        <w:t>his</w:t>
      </w:r>
      <w:r w:rsidR="00A1004F" w:rsidRPr="00DD65C2">
        <w:rPr>
          <w:rFonts w:ascii="Calibri" w:hAnsi="Calibri" w:cs="Calibri"/>
          <w:lang w:val="en-GB"/>
        </w:rPr>
        <w:t xml:space="preserve"> opinion. The CJEU’s refusal to uphold or</w:t>
      </w:r>
      <w:r w:rsidR="00DB3491" w:rsidRPr="00DD65C2">
        <w:rPr>
          <w:rFonts w:ascii="Calibri" w:hAnsi="Calibri" w:cs="Calibri"/>
          <w:lang w:val="en-GB"/>
        </w:rPr>
        <w:t xml:space="preserve"> –</w:t>
      </w:r>
      <w:r w:rsidR="00A1004F" w:rsidRPr="00DD65C2">
        <w:rPr>
          <w:rFonts w:ascii="Calibri" w:hAnsi="Calibri" w:cs="Calibri"/>
          <w:lang w:val="en-GB"/>
        </w:rPr>
        <w:t>more likely</w:t>
      </w:r>
      <w:r w:rsidR="00DB3491" w:rsidRPr="00DD65C2">
        <w:rPr>
          <w:rFonts w:ascii="Calibri" w:hAnsi="Calibri" w:cs="Calibri"/>
          <w:lang w:val="en-GB"/>
        </w:rPr>
        <w:t xml:space="preserve">– </w:t>
      </w:r>
      <w:r w:rsidR="00A1004F" w:rsidRPr="00DD65C2">
        <w:rPr>
          <w:rFonts w:ascii="Calibri" w:hAnsi="Calibri" w:cs="Calibri"/>
          <w:lang w:val="en-GB"/>
        </w:rPr>
        <w:t xml:space="preserve">overturn the finding of the GC in this regard is, thus, deeply troubling, as it may lead European </w:t>
      </w:r>
      <w:r w:rsidR="00CA4514" w:rsidRPr="00DD65C2">
        <w:rPr>
          <w:rFonts w:ascii="Calibri" w:hAnsi="Calibri" w:cs="Calibri"/>
          <w:lang w:val="en-GB"/>
        </w:rPr>
        <w:t>decision-maker</w:t>
      </w:r>
      <w:r w:rsidR="00A1004F" w:rsidRPr="00DD65C2">
        <w:rPr>
          <w:rFonts w:ascii="Calibri" w:hAnsi="Calibri" w:cs="Calibri"/>
          <w:lang w:val="en-GB"/>
        </w:rPr>
        <w:t xml:space="preserve">s (notably the EUIPO and the GC) to follow this rationale in future cases, further muddying this area of law. </w:t>
      </w:r>
    </w:p>
    <w:p w14:paraId="78E8954C" w14:textId="77777777" w:rsidR="00013E1D" w:rsidRPr="00DD65C2" w:rsidRDefault="00013E1D" w:rsidP="00504F94">
      <w:pPr>
        <w:jc w:val="both"/>
        <w:rPr>
          <w:rFonts w:ascii="Calibri" w:hAnsi="Calibri" w:cs="Calibri"/>
          <w:lang w:val="en-GB"/>
        </w:rPr>
      </w:pPr>
    </w:p>
    <w:p w14:paraId="211585D1" w14:textId="7EC2AF18" w:rsidR="002A27FD" w:rsidRPr="00DD65C2" w:rsidRDefault="00A26B1B" w:rsidP="00504F94">
      <w:pPr>
        <w:jc w:val="both"/>
        <w:rPr>
          <w:rFonts w:ascii="Calibri" w:hAnsi="Calibri" w:cs="Calibri"/>
          <w:lang w:val="en-GB"/>
        </w:rPr>
      </w:pPr>
      <w:r w:rsidRPr="00DD65C2">
        <w:rPr>
          <w:rFonts w:ascii="Calibri" w:hAnsi="Calibri" w:cs="Calibri"/>
          <w:lang w:val="en-GB"/>
        </w:rPr>
        <w:t xml:space="preserve">Relying on the </w:t>
      </w:r>
      <w:r w:rsidR="00EC784A" w:rsidRPr="00DD65C2">
        <w:rPr>
          <w:rFonts w:ascii="Calibri" w:hAnsi="Calibri" w:cs="Calibri"/>
          <w:lang w:val="en-GB"/>
        </w:rPr>
        <w:t>o</w:t>
      </w:r>
      <w:r w:rsidRPr="00DD65C2">
        <w:rPr>
          <w:rFonts w:ascii="Calibri" w:hAnsi="Calibri" w:cs="Calibri"/>
          <w:lang w:val="en-GB"/>
        </w:rPr>
        <w:t xml:space="preserve">pinion of AG Bobek, the CJEU </w:t>
      </w:r>
      <w:r w:rsidR="00727CFD" w:rsidRPr="00DD65C2">
        <w:rPr>
          <w:rFonts w:ascii="Calibri" w:hAnsi="Calibri" w:cs="Calibri"/>
          <w:lang w:val="en-GB"/>
        </w:rPr>
        <w:t>goes on</w:t>
      </w:r>
      <w:r w:rsidRPr="00DD65C2">
        <w:rPr>
          <w:rFonts w:ascii="Calibri" w:hAnsi="Calibri" w:cs="Calibri"/>
          <w:lang w:val="en-GB"/>
        </w:rPr>
        <w:t xml:space="preserve"> to define the morality exclusion as</w:t>
      </w:r>
      <w:r w:rsidRPr="00DD65C2">
        <w:rPr>
          <w:rFonts w:ascii="Calibri" w:hAnsi="Calibri" w:cs="Calibri"/>
          <w:lang w:val="en-GB" w:eastAsia="en-US"/>
        </w:rPr>
        <w:t xml:space="preserve"> ‘the fundamental moral values and standards to which a society adheres at a given time.’</w:t>
      </w:r>
      <w:r w:rsidRPr="00DD65C2">
        <w:rPr>
          <w:rStyle w:val="FootnoteReference"/>
          <w:rFonts w:ascii="Calibri" w:hAnsi="Calibri" w:cs="Calibri"/>
        </w:rPr>
        <w:footnoteReference w:id="102"/>
      </w:r>
      <w:r w:rsidRPr="00DD65C2">
        <w:rPr>
          <w:rFonts w:ascii="Calibri" w:hAnsi="Calibri" w:cs="Calibri"/>
          <w:lang w:val="en-GB" w:eastAsia="en-US"/>
        </w:rPr>
        <w:t xml:space="preserve"> Defining ‘accepted principles of morality’ as ‘</w:t>
      </w:r>
      <w:r w:rsidR="00815A4D" w:rsidRPr="00DD65C2">
        <w:rPr>
          <w:rFonts w:ascii="Calibri" w:hAnsi="Calibri" w:cs="Calibri"/>
          <w:lang w:val="en-GB" w:eastAsia="en-US"/>
        </w:rPr>
        <w:t xml:space="preserve">moral values and standards’ seems to add very little to our understanding of this exclusion. The last element of the definition –i.e. at a given time– is, however, </w:t>
      </w:r>
      <w:r w:rsidR="003C0DE4" w:rsidRPr="00DD65C2">
        <w:rPr>
          <w:rFonts w:ascii="Calibri" w:hAnsi="Calibri" w:cs="Calibri"/>
          <w:lang w:val="en-GB" w:eastAsia="en-US"/>
        </w:rPr>
        <w:t>deserving of attention</w:t>
      </w:r>
      <w:r w:rsidR="00815A4D" w:rsidRPr="00DD65C2">
        <w:rPr>
          <w:rFonts w:ascii="Calibri" w:hAnsi="Calibri" w:cs="Calibri"/>
          <w:lang w:val="en-GB" w:eastAsia="en-US"/>
        </w:rPr>
        <w:t>. By acknowledging that</w:t>
      </w:r>
      <w:r w:rsidR="00A626E8" w:rsidRPr="00DD65C2">
        <w:rPr>
          <w:rFonts w:ascii="Calibri" w:hAnsi="Calibri" w:cs="Calibri"/>
          <w:lang w:val="en-GB"/>
        </w:rPr>
        <w:t xml:space="preserve"> ‘[t]</w:t>
      </w:r>
      <w:r w:rsidR="00815A4D" w:rsidRPr="00DD65C2">
        <w:rPr>
          <w:rFonts w:ascii="Calibri" w:hAnsi="Calibri" w:cs="Calibri"/>
          <w:lang w:eastAsia="en-US"/>
        </w:rPr>
        <w:t>hose values and norms […] are likely to change over time and space, [the Court holds that they] should be determined according to the social consensus prevailing in that society at the time of the assessment.</w:t>
      </w:r>
      <w:r w:rsidR="00374E31" w:rsidRPr="00DD65C2">
        <w:rPr>
          <w:rFonts w:ascii="Calibri" w:hAnsi="Calibri" w:cs="Calibri"/>
          <w:lang w:val="en-US" w:eastAsia="en-US"/>
        </w:rPr>
        <w:t>’</w:t>
      </w:r>
      <w:r w:rsidR="00815A4D" w:rsidRPr="00DD65C2">
        <w:rPr>
          <w:rStyle w:val="FootnoteReference"/>
          <w:rFonts w:ascii="Calibri" w:hAnsi="Calibri" w:cs="Calibri"/>
        </w:rPr>
        <w:footnoteReference w:id="103"/>
      </w:r>
      <w:r w:rsidR="00815A4D" w:rsidRPr="00DD65C2">
        <w:rPr>
          <w:rFonts w:ascii="Calibri" w:hAnsi="Calibri" w:cs="Calibri"/>
          <w:lang w:eastAsia="en-US"/>
        </w:rPr>
        <w:t xml:space="preserve"> </w:t>
      </w:r>
      <w:r w:rsidR="003C0DE4" w:rsidRPr="00DD65C2">
        <w:rPr>
          <w:rFonts w:ascii="Calibri" w:hAnsi="Calibri" w:cs="Calibri"/>
          <w:lang w:val="en-GB" w:eastAsia="en-US"/>
        </w:rPr>
        <w:t xml:space="preserve">Acknowledgement of the time-sensitive </w:t>
      </w:r>
      <w:r w:rsidR="003C0DE4" w:rsidRPr="00DD65C2">
        <w:rPr>
          <w:rFonts w:ascii="Calibri" w:hAnsi="Calibri" w:cs="Calibri"/>
          <w:lang w:val="en-GB" w:eastAsia="en-US"/>
        </w:rPr>
        <w:lastRenderedPageBreak/>
        <w:t xml:space="preserve">nature of moral values </w:t>
      </w:r>
      <w:r w:rsidR="00C86A0B" w:rsidRPr="00DD65C2">
        <w:rPr>
          <w:rFonts w:ascii="Calibri" w:hAnsi="Calibri" w:cs="Calibri"/>
          <w:lang w:val="en-GB" w:eastAsia="en-US"/>
        </w:rPr>
        <w:t xml:space="preserve">has </w:t>
      </w:r>
      <w:r w:rsidR="003C0DE4" w:rsidRPr="00DD65C2">
        <w:rPr>
          <w:rFonts w:ascii="Calibri" w:hAnsi="Calibri" w:cs="Calibri"/>
          <w:lang w:val="en-GB" w:eastAsia="en-US"/>
        </w:rPr>
        <w:t xml:space="preserve">profound ramifications in the registration context. Notably, </w:t>
      </w:r>
      <w:r w:rsidR="00C86A0B" w:rsidRPr="00DD65C2">
        <w:rPr>
          <w:rFonts w:ascii="Calibri" w:hAnsi="Calibri" w:cs="Calibri"/>
          <w:lang w:val="en-GB" w:eastAsia="en-US"/>
        </w:rPr>
        <w:t>it allows for</w:t>
      </w:r>
      <w:r w:rsidR="003A758E" w:rsidRPr="00DD65C2">
        <w:rPr>
          <w:rFonts w:ascii="Calibri" w:hAnsi="Calibri" w:cs="Calibri"/>
          <w:lang w:val="en-GB" w:eastAsia="en-US"/>
        </w:rPr>
        <w:t xml:space="preserve">: (a) </w:t>
      </w:r>
      <w:r w:rsidR="003C0DE4" w:rsidRPr="00DD65C2">
        <w:rPr>
          <w:rFonts w:ascii="Calibri" w:hAnsi="Calibri" w:cs="Calibri"/>
          <w:lang w:val="en-GB" w:eastAsia="en-US"/>
        </w:rPr>
        <w:t>currently registered, morally</w:t>
      </w:r>
      <w:r w:rsidR="00354193">
        <w:rPr>
          <w:rFonts w:ascii="Calibri" w:hAnsi="Calibri" w:cs="Calibri"/>
          <w:lang w:val="en-GB" w:eastAsia="en-US"/>
        </w:rPr>
        <w:t xml:space="preserve"> </w:t>
      </w:r>
      <w:r w:rsidR="003C0DE4" w:rsidRPr="00DD65C2">
        <w:rPr>
          <w:rFonts w:ascii="Calibri" w:hAnsi="Calibri" w:cs="Calibri"/>
          <w:lang w:val="en-GB" w:eastAsia="en-US"/>
        </w:rPr>
        <w:t xml:space="preserve">acceptable signs </w:t>
      </w:r>
      <w:r w:rsidR="00C86A0B" w:rsidRPr="00DD65C2">
        <w:rPr>
          <w:rFonts w:ascii="Calibri" w:hAnsi="Calibri" w:cs="Calibri"/>
          <w:lang w:val="en-GB" w:eastAsia="en-US"/>
        </w:rPr>
        <w:t>to be</w:t>
      </w:r>
      <w:r w:rsidR="003C0DE4" w:rsidRPr="00DD65C2">
        <w:rPr>
          <w:rFonts w:ascii="Calibri" w:hAnsi="Calibri" w:cs="Calibri"/>
          <w:lang w:val="en-GB" w:eastAsia="en-US"/>
        </w:rPr>
        <w:t xml:space="preserve"> </w:t>
      </w:r>
      <w:r w:rsidR="003A758E" w:rsidRPr="00DD65C2">
        <w:rPr>
          <w:rFonts w:ascii="Calibri" w:hAnsi="Calibri" w:cs="Calibri"/>
          <w:lang w:val="en-GB" w:eastAsia="en-US"/>
        </w:rPr>
        <w:t>removed from the register in the future, in instances where the meaning conveyed by the mark is no longer deemed socially acceptable;</w:t>
      </w:r>
      <w:r w:rsidR="00323F61" w:rsidRPr="00DD65C2">
        <w:rPr>
          <w:rStyle w:val="FootnoteReference"/>
          <w:rFonts w:ascii="Calibri" w:hAnsi="Calibri" w:cs="Calibri"/>
        </w:rPr>
        <w:footnoteReference w:id="104"/>
      </w:r>
      <w:r w:rsidR="003A758E" w:rsidRPr="00DD65C2">
        <w:rPr>
          <w:rFonts w:ascii="Calibri" w:hAnsi="Calibri" w:cs="Calibri"/>
          <w:lang w:val="en-GB" w:eastAsia="en-US"/>
        </w:rPr>
        <w:t xml:space="preserve"> and (b) </w:t>
      </w:r>
      <w:r w:rsidR="00D3274C" w:rsidRPr="00DD65C2">
        <w:rPr>
          <w:rFonts w:ascii="Calibri" w:hAnsi="Calibri" w:cs="Calibri"/>
          <w:lang w:val="en-GB" w:eastAsia="en-US"/>
        </w:rPr>
        <w:t>previously refused signs</w:t>
      </w:r>
      <w:r w:rsidR="003A758E" w:rsidRPr="00DD65C2">
        <w:rPr>
          <w:rFonts w:ascii="Calibri" w:hAnsi="Calibri" w:cs="Calibri"/>
          <w:lang w:val="en-GB" w:eastAsia="en-US"/>
        </w:rPr>
        <w:t xml:space="preserve"> </w:t>
      </w:r>
      <w:r w:rsidR="00C86A0B" w:rsidRPr="00DD65C2">
        <w:rPr>
          <w:rFonts w:ascii="Calibri" w:hAnsi="Calibri" w:cs="Calibri"/>
          <w:lang w:val="en-GB" w:eastAsia="en-US"/>
        </w:rPr>
        <w:t>to</w:t>
      </w:r>
      <w:r w:rsidR="003A758E" w:rsidRPr="00DD65C2">
        <w:rPr>
          <w:rFonts w:ascii="Calibri" w:hAnsi="Calibri" w:cs="Calibri"/>
          <w:lang w:val="en-GB" w:eastAsia="en-US"/>
        </w:rPr>
        <w:t xml:space="preserve"> be </w:t>
      </w:r>
      <w:r w:rsidR="00D3274C" w:rsidRPr="00DD65C2">
        <w:rPr>
          <w:rFonts w:ascii="Calibri" w:hAnsi="Calibri" w:cs="Calibri"/>
          <w:lang w:val="en-GB" w:eastAsia="en-US"/>
        </w:rPr>
        <w:t>registered</w:t>
      </w:r>
      <w:r w:rsidR="003A758E" w:rsidRPr="00DD65C2">
        <w:rPr>
          <w:rFonts w:ascii="Calibri" w:hAnsi="Calibri" w:cs="Calibri"/>
          <w:lang w:val="en-GB" w:eastAsia="en-US"/>
        </w:rPr>
        <w:t xml:space="preserve"> in the future, provided the social consensus </w:t>
      </w:r>
      <w:r w:rsidR="00AD1015" w:rsidRPr="00DD65C2">
        <w:rPr>
          <w:rFonts w:ascii="Calibri" w:hAnsi="Calibri" w:cs="Calibri"/>
          <w:lang w:val="en-GB" w:eastAsia="en-US"/>
        </w:rPr>
        <w:t>around</w:t>
      </w:r>
      <w:r w:rsidR="003A758E" w:rsidRPr="00DD65C2">
        <w:rPr>
          <w:rFonts w:ascii="Calibri" w:hAnsi="Calibri" w:cs="Calibri"/>
          <w:lang w:val="en-GB" w:eastAsia="en-US"/>
        </w:rPr>
        <w:t xml:space="preserve"> the</w:t>
      </w:r>
      <w:r w:rsidR="00AD1015" w:rsidRPr="00DD65C2">
        <w:rPr>
          <w:rFonts w:ascii="Calibri" w:hAnsi="Calibri" w:cs="Calibri"/>
          <w:lang w:val="en-GB" w:eastAsia="en-US"/>
        </w:rPr>
        <w:t>ir</w:t>
      </w:r>
      <w:r w:rsidR="003A758E" w:rsidRPr="00DD65C2">
        <w:rPr>
          <w:rFonts w:ascii="Calibri" w:hAnsi="Calibri" w:cs="Calibri"/>
          <w:lang w:val="en-GB" w:eastAsia="en-US"/>
        </w:rPr>
        <w:t xml:space="preserve"> </w:t>
      </w:r>
      <w:r w:rsidR="00AD1015" w:rsidRPr="00DD65C2">
        <w:rPr>
          <w:rFonts w:ascii="Calibri" w:hAnsi="Calibri" w:cs="Calibri"/>
          <w:lang w:val="en-GB" w:eastAsia="en-US"/>
        </w:rPr>
        <w:t>morally</w:t>
      </w:r>
      <w:r w:rsidR="00354193">
        <w:rPr>
          <w:rFonts w:ascii="Calibri" w:hAnsi="Calibri" w:cs="Calibri"/>
          <w:lang w:val="en-GB" w:eastAsia="en-US"/>
        </w:rPr>
        <w:t xml:space="preserve"> </w:t>
      </w:r>
      <w:r w:rsidR="00AD1015" w:rsidRPr="00DD65C2">
        <w:rPr>
          <w:rFonts w:ascii="Calibri" w:hAnsi="Calibri" w:cs="Calibri"/>
          <w:lang w:val="en-GB" w:eastAsia="en-US"/>
        </w:rPr>
        <w:t xml:space="preserve">objectionable </w:t>
      </w:r>
      <w:r w:rsidR="003A758E" w:rsidRPr="00DD65C2">
        <w:rPr>
          <w:rFonts w:ascii="Calibri" w:hAnsi="Calibri" w:cs="Calibri"/>
          <w:lang w:val="en-GB" w:eastAsia="en-US"/>
        </w:rPr>
        <w:t>meaning has evolved</w:t>
      </w:r>
      <w:r w:rsidR="009C619F" w:rsidRPr="00DD65C2">
        <w:rPr>
          <w:rFonts w:ascii="Calibri" w:hAnsi="Calibri" w:cs="Calibri"/>
          <w:lang w:val="en-GB" w:eastAsia="en-US"/>
        </w:rPr>
        <w:t xml:space="preserve"> favo</w:t>
      </w:r>
      <w:r w:rsidR="00D078FF" w:rsidRPr="00DD65C2">
        <w:rPr>
          <w:rFonts w:ascii="Calibri" w:hAnsi="Calibri" w:cs="Calibri"/>
          <w:lang w:val="en-GB" w:eastAsia="en-US"/>
        </w:rPr>
        <w:t>u</w:t>
      </w:r>
      <w:r w:rsidR="009C619F" w:rsidRPr="00DD65C2">
        <w:rPr>
          <w:rFonts w:ascii="Calibri" w:hAnsi="Calibri" w:cs="Calibri"/>
          <w:lang w:val="en-GB" w:eastAsia="en-US"/>
        </w:rPr>
        <w:t xml:space="preserve">rably. Though </w:t>
      </w:r>
      <w:r w:rsidR="002A27FD" w:rsidRPr="00DD65C2">
        <w:rPr>
          <w:rFonts w:ascii="Calibri" w:hAnsi="Calibri" w:cs="Calibri"/>
          <w:lang w:val="en-GB" w:eastAsia="en-US"/>
        </w:rPr>
        <w:t>leading the way for increased uncertainty, t</w:t>
      </w:r>
      <w:r w:rsidR="009C619F" w:rsidRPr="00DD65C2">
        <w:rPr>
          <w:rFonts w:ascii="Calibri" w:hAnsi="Calibri" w:cs="Calibri"/>
          <w:lang w:val="en-GB" w:eastAsia="en-US"/>
        </w:rPr>
        <w:t>hese considerations are not new to trade mark law</w:t>
      </w:r>
      <w:r w:rsidR="003232D2" w:rsidRPr="00DD65C2">
        <w:rPr>
          <w:rFonts w:ascii="Calibri" w:hAnsi="Calibri" w:cs="Calibri"/>
          <w:lang w:val="en-GB" w:eastAsia="en-US"/>
        </w:rPr>
        <w:t>, judging from other absolute grounds for refusal, such as: (a) genericity;</w:t>
      </w:r>
      <w:r w:rsidR="00AE14C6" w:rsidRPr="00DD65C2">
        <w:rPr>
          <w:rStyle w:val="FootnoteReference"/>
          <w:rFonts w:ascii="Calibri" w:hAnsi="Calibri" w:cs="Calibri"/>
        </w:rPr>
        <w:footnoteReference w:id="105"/>
      </w:r>
      <w:r w:rsidR="003232D2" w:rsidRPr="00DD65C2">
        <w:rPr>
          <w:rFonts w:ascii="Calibri" w:hAnsi="Calibri" w:cs="Calibri"/>
          <w:lang w:val="en-GB" w:eastAsia="en-US"/>
        </w:rPr>
        <w:t xml:space="preserve"> or (b) the lack </w:t>
      </w:r>
      <w:r w:rsidR="00301D74" w:rsidRPr="00DD65C2">
        <w:rPr>
          <w:rFonts w:ascii="Calibri" w:hAnsi="Calibri" w:cs="Calibri"/>
          <w:lang w:val="en-GB" w:eastAsia="en-US"/>
        </w:rPr>
        <w:t xml:space="preserve">of inherent </w:t>
      </w:r>
      <w:r w:rsidR="00040E7E" w:rsidRPr="00DD65C2">
        <w:rPr>
          <w:rFonts w:ascii="Calibri" w:hAnsi="Calibri" w:cs="Calibri"/>
          <w:lang w:val="en-GB" w:eastAsia="en-US"/>
        </w:rPr>
        <w:t>distinctiveness</w:t>
      </w:r>
      <w:r w:rsidR="00E86E66" w:rsidRPr="00DD65C2">
        <w:rPr>
          <w:rFonts w:ascii="Calibri" w:hAnsi="Calibri" w:cs="Calibri"/>
          <w:lang w:val="en-GB" w:eastAsia="en-US"/>
        </w:rPr>
        <w:t xml:space="preserve">, </w:t>
      </w:r>
      <w:r w:rsidR="00040E7E" w:rsidRPr="00DD65C2">
        <w:rPr>
          <w:rFonts w:ascii="Calibri" w:hAnsi="Calibri" w:cs="Calibri"/>
          <w:lang w:val="en-GB" w:eastAsia="en-US"/>
        </w:rPr>
        <w:t>which may be overcome by means of acquired distinctiveness</w:t>
      </w:r>
      <w:r w:rsidR="00301D74" w:rsidRPr="00DD65C2">
        <w:rPr>
          <w:rFonts w:ascii="Calibri" w:hAnsi="Calibri" w:cs="Calibri"/>
          <w:lang w:val="en-GB" w:eastAsia="en-US"/>
        </w:rPr>
        <w:t>.</w:t>
      </w:r>
      <w:r w:rsidR="00AE14C6" w:rsidRPr="00DD65C2">
        <w:rPr>
          <w:rStyle w:val="FootnoteReference"/>
          <w:rFonts w:ascii="Calibri" w:hAnsi="Calibri" w:cs="Calibri"/>
        </w:rPr>
        <w:footnoteReference w:id="106"/>
      </w:r>
    </w:p>
    <w:p w14:paraId="462B5CD7" w14:textId="0FF8F3B4" w:rsidR="00134A02" w:rsidRPr="00DD65C2" w:rsidRDefault="00134A02" w:rsidP="00504F94">
      <w:pPr>
        <w:jc w:val="both"/>
        <w:rPr>
          <w:rFonts w:ascii="Calibri" w:hAnsi="Calibri" w:cs="Calibri"/>
          <w:lang w:val="en-GB" w:eastAsia="en-US"/>
        </w:rPr>
      </w:pPr>
    </w:p>
    <w:p w14:paraId="5BB5A486" w14:textId="70AAB232" w:rsidR="009A383A" w:rsidRPr="00DD65C2" w:rsidRDefault="00CD2ABB" w:rsidP="00134A02">
      <w:pPr>
        <w:jc w:val="both"/>
        <w:rPr>
          <w:rFonts w:ascii="Calibri" w:hAnsi="Calibri" w:cs="Calibri"/>
          <w:lang w:val="en-GB"/>
        </w:rPr>
      </w:pPr>
      <w:r w:rsidRPr="00DD65C2">
        <w:rPr>
          <w:rFonts w:ascii="Calibri" w:hAnsi="Calibri" w:cs="Calibri"/>
          <w:lang w:val="en-GB" w:eastAsia="en-US"/>
        </w:rPr>
        <w:t>T</w:t>
      </w:r>
      <w:r w:rsidR="00134A02" w:rsidRPr="00DD65C2">
        <w:rPr>
          <w:rFonts w:ascii="Calibri" w:hAnsi="Calibri" w:cs="Calibri"/>
          <w:lang w:val="en-GB" w:eastAsia="en-US"/>
        </w:rPr>
        <w:t xml:space="preserve">he time-sensitive nature of the morality exclusion can serve to incentivise processes of reclaim in meaning of signs that are currently deemed immoral but that may, through use in the course of trade, become </w:t>
      </w:r>
      <w:r w:rsidR="00D9411F" w:rsidRPr="00DD65C2">
        <w:rPr>
          <w:rFonts w:ascii="Calibri" w:hAnsi="Calibri" w:cs="Calibri"/>
          <w:lang w:val="en-GB" w:eastAsia="en-US"/>
        </w:rPr>
        <w:t>socially acceptable</w:t>
      </w:r>
      <w:r w:rsidR="00134A02" w:rsidRPr="00DD65C2">
        <w:rPr>
          <w:rFonts w:ascii="Calibri" w:hAnsi="Calibri" w:cs="Calibri"/>
          <w:lang w:val="en-GB" w:eastAsia="en-US"/>
        </w:rPr>
        <w:t xml:space="preserve">. </w:t>
      </w:r>
      <w:r w:rsidR="004C3288" w:rsidRPr="00DD65C2">
        <w:rPr>
          <w:rFonts w:ascii="Calibri" w:hAnsi="Calibri" w:cs="Calibri"/>
          <w:lang w:val="en-GB"/>
        </w:rPr>
        <w:t xml:space="preserve">As we saw in </w:t>
      </w:r>
      <w:r w:rsidR="00134A02" w:rsidRPr="00DD65C2">
        <w:rPr>
          <w:rFonts w:ascii="Calibri" w:hAnsi="Calibri" w:cs="Calibri"/>
          <w:lang w:val="en-GB"/>
        </w:rPr>
        <w:t xml:space="preserve">Section </w:t>
      </w:r>
      <w:r w:rsidR="00BC25AE" w:rsidRPr="00DD65C2">
        <w:rPr>
          <w:rFonts w:ascii="Calibri" w:hAnsi="Calibri" w:cs="Calibri"/>
          <w:lang w:val="en-GB"/>
        </w:rPr>
        <w:t>3</w:t>
      </w:r>
      <w:r w:rsidR="00134A02" w:rsidRPr="00DD65C2">
        <w:rPr>
          <w:rFonts w:ascii="Calibri" w:hAnsi="Calibri" w:cs="Calibri"/>
          <w:lang w:val="en-GB"/>
        </w:rPr>
        <w:t>.2</w:t>
      </w:r>
      <w:r w:rsidR="000C1A1A" w:rsidRPr="00DD65C2">
        <w:rPr>
          <w:rFonts w:ascii="Calibri" w:hAnsi="Calibri" w:cs="Calibri"/>
          <w:lang w:val="en-GB"/>
        </w:rPr>
        <w:t>.</w:t>
      </w:r>
      <w:r w:rsidR="004C3288" w:rsidRPr="00DD65C2">
        <w:rPr>
          <w:rFonts w:ascii="Calibri" w:hAnsi="Calibri" w:cs="Calibri"/>
          <w:lang w:val="en-GB"/>
        </w:rPr>
        <w:t xml:space="preserve">, trade mark use contributes to meaning-making in signs. </w:t>
      </w:r>
      <w:r w:rsidR="00453A23" w:rsidRPr="00DD65C2">
        <w:rPr>
          <w:rFonts w:ascii="Calibri" w:hAnsi="Calibri" w:cs="Calibri"/>
          <w:lang w:val="en-GB"/>
        </w:rPr>
        <w:t>As a result, a</w:t>
      </w:r>
      <w:r w:rsidR="00980C91" w:rsidRPr="00DD65C2">
        <w:rPr>
          <w:rFonts w:ascii="Calibri" w:hAnsi="Calibri" w:cs="Calibri"/>
          <w:lang w:val="en-GB"/>
        </w:rPr>
        <w:t xml:space="preserve"> </w:t>
      </w:r>
      <w:r w:rsidR="00DA2A6C" w:rsidRPr="00DD65C2">
        <w:rPr>
          <w:rFonts w:ascii="Calibri" w:hAnsi="Calibri" w:cs="Calibri"/>
          <w:lang w:val="en-GB"/>
        </w:rPr>
        <w:t>trader</w:t>
      </w:r>
      <w:r w:rsidR="00980C91" w:rsidRPr="00DD65C2">
        <w:rPr>
          <w:rFonts w:ascii="Calibri" w:hAnsi="Calibri" w:cs="Calibri"/>
          <w:lang w:val="en-GB"/>
        </w:rPr>
        <w:t xml:space="preserve"> </w:t>
      </w:r>
      <w:r w:rsidR="00DA2A6C" w:rsidRPr="00DD65C2">
        <w:rPr>
          <w:rFonts w:ascii="Calibri" w:hAnsi="Calibri" w:cs="Calibri"/>
          <w:lang w:val="en-GB"/>
        </w:rPr>
        <w:t xml:space="preserve">wishing to register </w:t>
      </w:r>
      <w:r w:rsidR="009A383A" w:rsidRPr="00DD65C2">
        <w:rPr>
          <w:rFonts w:ascii="Calibri" w:hAnsi="Calibri" w:cs="Calibri"/>
          <w:lang w:val="en-GB"/>
        </w:rPr>
        <w:t xml:space="preserve">as a mark </w:t>
      </w:r>
      <w:r w:rsidR="00980C91" w:rsidRPr="00DD65C2">
        <w:rPr>
          <w:rFonts w:ascii="Calibri" w:hAnsi="Calibri" w:cs="Calibri"/>
          <w:lang w:val="en-GB"/>
        </w:rPr>
        <w:t>a</w:t>
      </w:r>
      <w:r w:rsidR="00DA2A6C" w:rsidRPr="00DD65C2">
        <w:rPr>
          <w:rFonts w:ascii="Calibri" w:hAnsi="Calibri" w:cs="Calibri"/>
          <w:lang w:val="en-GB"/>
        </w:rPr>
        <w:t xml:space="preserve"> sign that </w:t>
      </w:r>
      <w:r w:rsidR="00980C91" w:rsidRPr="00DD65C2">
        <w:rPr>
          <w:rFonts w:ascii="Calibri" w:hAnsi="Calibri" w:cs="Calibri"/>
          <w:lang w:val="en-GB"/>
        </w:rPr>
        <w:t>is</w:t>
      </w:r>
      <w:r w:rsidR="00DA2A6C" w:rsidRPr="00DD65C2">
        <w:rPr>
          <w:rFonts w:ascii="Calibri" w:hAnsi="Calibri" w:cs="Calibri"/>
          <w:lang w:val="en-GB"/>
        </w:rPr>
        <w:t xml:space="preserve"> </w:t>
      </w:r>
      <w:r w:rsidR="00D9411F" w:rsidRPr="00DD65C2">
        <w:rPr>
          <w:rFonts w:ascii="Calibri" w:hAnsi="Calibri" w:cs="Calibri"/>
          <w:lang w:val="en-GB"/>
        </w:rPr>
        <w:t>morally objectionable</w:t>
      </w:r>
      <w:r w:rsidR="00DA2A6C" w:rsidRPr="00DD65C2">
        <w:rPr>
          <w:rFonts w:ascii="Calibri" w:hAnsi="Calibri" w:cs="Calibri"/>
          <w:lang w:val="en-GB"/>
        </w:rPr>
        <w:t xml:space="preserve"> may opt to use </w:t>
      </w:r>
      <w:r w:rsidR="00980C91" w:rsidRPr="00DD65C2">
        <w:rPr>
          <w:rFonts w:ascii="Calibri" w:hAnsi="Calibri" w:cs="Calibri"/>
          <w:lang w:val="en-GB"/>
        </w:rPr>
        <w:t>it</w:t>
      </w:r>
      <w:r w:rsidR="00DA2A6C" w:rsidRPr="00DD65C2">
        <w:rPr>
          <w:rFonts w:ascii="Calibri" w:hAnsi="Calibri" w:cs="Calibri"/>
          <w:lang w:val="en-GB"/>
        </w:rPr>
        <w:t xml:space="preserve"> (in non-exclusive terms) in the course of trade with a view to reclaiming </w:t>
      </w:r>
      <w:r w:rsidR="00980C91" w:rsidRPr="00DD65C2">
        <w:rPr>
          <w:rFonts w:ascii="Calibri" w:hAnsi="Calibri" w:cs="Calibri"/>
          <w:lang w:val="en-GB"/>
        </w:rPr>
        <w:t>its</w:t>
      </w:r>
      <w:r w:rsidR="00DA2A6C" w:rsidRPr="00DD65C2">
        <w:rPr>
          <w:rFonts w:ascii="Calibri" w:hAnsi="Calibri" w:cs="Calibri"/>
          <w:lang w:val="en-GB"/>
        </w:rPr>
        <w:t xml:space="preserve"> </w:t>
      </w:r>
      <w:r w:rsidR="00D9411F" w:rsidRPr="00DD65C2">
        <w:rPr>
          <w:rFonts w:ascii="Calibri" w:hAnsi="Calibri" w:cs="Calibri"/>
          <w:lang w:val="en-GB"/>
        </w:rPr>
        <w:t>morally objectionable</w:t>
      </w:r>
      <w:r w:rsidR="00DA2A6C" w:rsidRPr="00DD65C2">
        <w:rPr>
          <w:rFonts w:ascii="Calibri" w:hAnsi="Calibri" w:cs="Calibri"/>
          <w:lang w:val="en-GB"/>
        </w:rPr>
        <w:t xml:space="preserve"> meaning</w:t>
      </w:r>
      <w:r w:rsidR="00980C91" w:rsidRPr="00DD65C2">
        <w:rPr>
          <w:rFonts w:ascii="Calibri" w:hAnsi="Calibri" w:cs="Calibri"/>
          <w:lang w:val="en-GB"/>
        </w:rPr>
        <w:t>. Where these efforts result, over time, in a shift in the social perception of the sign</w:t>
      </w:r>
      <w:r w:rsidR="009A383A" w:rsidRPr="00DD65C2">
        <w:rPr>
          <w:rFonts w:ascii="Calibri" w:hAnsi="Calibri" w:cs="Calibri"/>
          <w:lang w:val="en-GB"/>
        </w:rPr>
        <w:t xml:space="preserve"> so </w:t>
      </w:r>
      <w:r w:rsidR="00980C91" w:rsidRPr="00DD65C2">
        <w:rPr>
          <w:rFonts w:ascii="Calibri" w:hAnsi="Calibri" w:cs="Calibri"/>
          <w:lang w:val="en-GB"/>
        </w:rPr>
        <w:t xml:space="preserve">that </w:t>
      </w:r>
      <w:r w:rsidR="009A383A" w:rsidRPr="00DD65C2">
        <w:rPr>
          <w:rFonts w:ascii="Calibri" w:hAnsi="Calibri" w:cs="Calibri"/>
          <w:lang w:val="en-GB"/>
        </w:rPr>
        <w:t xml:space="preserve">it </w:t>
      </w:r>
      <w:r w:rsidR="00980C91" w:rsidRPr="00DD65C2">
        <w:rPr>
          <w:rFonts w:ascii="Calibri" w:hAnsi="Calibri" w:cs="Calibri"/>
          <w:lang w:val="en-GB"/>
        </w:rPr>
        <w:t xml:space="preserve">is no longer deemed immoral, it will be granted access to the register. </w:t>
      </w:r>
    </w:p>
    <w:p w14:paraId="526A6AFC" w14:textId="77777777" w:rsidR="009A383A" w:rsidRPr="00DD65C2" w:rsidRDefault="009A383A" w:rsidP="00134A02">
      <w:pPr>
        <w:jc w:val="both"/>
        <w:rPr>
          <w:rFonts w:ascii="Calibri" w:hAnsi="Calibri" w:cs="Calibri"/>
          <w:lang w:val="en-GB"/>
        </w:rPr>
      </w:pPr>
    </w:p>
    <w:p w14:paraId="6D8E4422" w14:textId="3B58FA34" w:rsidR="00F54C4E" w:rsidRPr="00DD65C2" w:rsidRDefault="00585B7A" w:rsidP="00F54C4E">
      <w:pPr>
        <w:jc w:val="both"/>
        <w:rPr>
          <w:rFonts w:ascii="Calibri" w:hAnsi="Calibri" w:cs="Calibri"/>
          <w:lang w:val="en-GB"/>
        </w:rPr>
      </w:pPr>
      <w:r w:rsidRPr="00DD65C2">
        <w:rPr>
          <w:rFonts w:ascii="Calibri" w:hAnsi="Calibri" w:cs="Calibri"/>
          <w:lang w:val="en-GB"/>
        </w:rPr>
        <w:t>Admittedly, the incentive provided by the time-sensitive nature of the morality exclusion</w:t>
      </w:r>
      <w:r w:rsidR="009A383A" w:rsidRPr="00DD65C2">
        <w:rPr>
          <w:rFonts w:ascii="Calibri" w:hAnsi="Calibri" w:cs="Calibri"/>
          <w:lang w:val="en-GB"/>
        </w:rPr>
        <w:t xml:space="preserve"> for traders to engage in processes of reclaim in meaning of signs</w:t>
      </w:r>
      <w:r w:rsidRPr="00DD65C2">
        <w:rPr>
          <w:rFonts w:ascii="Calibri" w:hAnsi="Calibri" w:cs="Calibri"/>
          <w:lang w:val="en-GB"/>
        </w:rPr>
        <w:t xml:space="preserve"> is rather low.</w:t>
      </w:r>
      <w:r w:rsidR="009A383A" w:rsidRPr="00DD65C2">
        <w:rPr>
          <w:rFonts w:ascii="Calibri" w:hAnsi="Calibri" w:cs="Calibri"/>
          <w:lang w:val="en-GB"/>
        </w:rPr>
        <w:t xml:space="preserve"> </w:t>
      </w:r>
      <w:r w:rsidR="005712DE" w:rsidRPr="00DD65C2">
        <w:rPr>
          <w:rFonts w:ascii="Calibri" w:hAnsi="Calibri" w:cs="Calibri"/>
          <w:lang w:val="en-GB"/>
        </w:rPr>
        <w:t xml:space="preserve">In line with our </w:t>
      </w:r>
      <w:r w:rsidR="009A383A" w:rsidRPr="00DD65C2">
        <w:rPr>
          <w:rFonts w:ascii="Calibri" w:hAnsi="Calibri" w:cs="Calibri"/>
          <w:lang w:val="en-GB"/>
        </w:rPr>
        <w:t>previous analysis,</w:t>
      </w:r>
      <w:r w:rsidR="005712DE" w:rsidRPr="00DD65C2">
        <w:rPr>
          <w:rFonts w:ascii="Calibri" w:hAnsi="Calibri" w:cs="Calibri"/>
          <w:lang w:val="en-GB"/>
        </w:rPr>
        <w:t xml:space="preserve"> </w:t>
      </w:r>
      <w:r w:rsidR="00584376" w:rsidRPr="00DD65C2">
        <w:rPr>
          <w:rFonts w:ascii="Calibri" w:hAnsi="Calibri" w:cs="Calibri"/>
          <w:lang w:val="en-GB"/>
        </w:rPr>
        <w:t xml:space="preserve">so long as traders are unable to use a sign in exclusive terms, it is </w:t>
      </w:r>
      <w:r w:rsidR="000046B3" w:rsidRPr="00DD65C2">
        <w:rPr>
          <w:rFonts w:ascii="Calibri" w:hAnsi="Calibri" w:cs="Calibri"/>
          <w:lang w:val="en-GB"/>
        </w:rPr>
        <w:t xml:space="preserve">unlikely </w:t>
      </w:r>
      <w:r w:rsidR="00584376" w:rsidRPr="00DD65C2">
        <w:rPr>
          <w:rFonts w:ascii="Calibri" w:hAnsi="Calibri" w:cs="Calibri"/>
          <w:lang w:val="en-GB"/>
        </w:rPr>
        <w:t>that they will</w:t>
      </w:r>
      <w:r w:rsidR="000046B3" w:rsidRPr="00DD65C2">
        <w:rPr>
          <w:rFonts w:ascii="Calibri" w:hAnsi="Calibri" w:cs="Calibri"/>
          <w:lang w:val="en-GB"/>
        </w:rPr>
        <w:t xml:space="preserve"> enter into the sorts of investments required to shift </w:t>
      </w:r>
      <w:r w:rsidR="00584376" w:rsidRPr="00DD65C2">
        <w:rPr>
          <w:rFonts w:ascii="Calibri" w:hAnsi="Calibri" w:cs="Calibri"/>
          <w:lang w:val="en-GB"/>
        </w:rPr>
        <w:t>its</w:t>
      </w:r>
      <w:r w:rsidR="000046B3" w:rsidRPr="00DD65C2">
        <w:rPr>
          <w:rFonts w:ascii="Calibri" w:hAnsi="Calibri" w:cs="Calibri"/>
          <w:lang w:val="en-GB"/>
        </w:rPr>
        <w:t xml:space="preserve"> social perception</w:t>
      </w:r>
      <w:r w:rsidR="00584376" w:rsidRPr="00DD65C2">
        <w:rPr>
          <w:rFonts w:ascii="Calibri" w:hAnsi="Calibri" w:cs="Calibri"/>
          <w:lang w:val="en-GB"/>
        </w:rPr>
        <w:t xml:space="preserve">. </w:t>
      </w:r>
      <w:r w:rsidR="000046B3" w:rsidRPr="00DD65C2">
        <w:rPr>
          <w:rFonts w:ascii="Calibri" w:hAnsi="Calibri" w:cs="Calibri"/>
          <w:lang w:val="en-GB"/>
        </w:rPr>
        <w:t>Ideally, therefore, processes of reclaim in meaning of morally</w:t>
      </w:r>
      <w:r w:rsidR="00D9411F">
        <w:rPr>
          <w:rFonts w:ascii="Calibri" w:hAnsi="Calibri" w:cs="Calibri"/>
          <w:lang w:val="en-GB"/>
        </w:rPr>
        <w:t xml:space="preserve"> </w:t>
      </w:r>
      <w:r w:rsidR="000046B3" w:rsidRPr="00DD65C2">
        <w:rPr>
          <w:rFonts w:ascii="Calibri" w:hAnsi="Calibri" w:cs="Calibri"/>
          <w:lang w:val="en-GB"/>
        </w:rPr>
        <w:t>objectionable signs should be further incentivised by means of registration.</w:t>
      </w:r>
      <w:r w:rsidR="00F54C4E" w:rsidRPr="00DD65C2">
        <w:rPr>
          <w:rStyle w:val="FootnoteReference"/>
          <w:rFonts w:ascii="Calibri" w:hAnsi="Calibri" w:cs="Calibri"/>
        </w:rPr>
        <w:footnoteReference w:id="107"/>
      </w:r>
      <w:r w:rsidR="00F54C4E" w:rsidRPr="00DD65C2">
        <w:rPr>
          <w:rFonts w:ascii="Calibri" w:hAnsi="Calibri" w:cs="Calibri"/>
          <w:lang w:val="en-GB"/>
        </w:rPr>
        <w:t xml:space="preserve"> Where applicants can reasonably be expected to use morally</w:t>
      </w:r>
      <w:r w:rsidR="00D9411F">
        <w:rPr>
          <w:rFonts w:ascii="Calibri" w:hAnsi="Calibri" w:cs="Calibri"/>
          <w:lang w:val="en-GB"/>
        </w:rPr>
        <w:t xml:space="preserve"> </w:t>
      </w:r>
      <w:r w:rsidR="00F54C4E" w:rsidRPr="00DD65C2">
        <w:rPr>
          <w:rFonts w:ascii="Calibri" w:hAnsi="Calibri" w:cs="Calibri"/>
          <w:lang w:val="en-GB"/>
        </w:rPr>
        <w:t>objectionable signs in socially</w:t>
      </w:r>
      <w:r w:rsidR="00D9411F">
        <w:rPr>
          <w:rFonts w:ascii="Calibri" w:hAnsi="Calibri" w:cs="Calibri"/>
          <w:lang w:val="en-GB"/>
        </w:rPr>
        <w:t xml:space="preserve"> </w:t>
      </w:r>
      <w:r w:rsidR="00F54C4E" w:rsidRPr="00DD65C2">
        <w:rPr>
          <w:rFonts w:ascii="Calibri" w:hAnsi="Calibri" w:cs="Calibri"/>
          <w:lang w:val="en-GB"/>
        </w:rPr>
        <w:t xml:space="preserve">valuable ways, it is difficult to see how refusals to grant them registration as trade marks could be compliant with Article 10 ECHR. Surely society would benefit from free speech guarantees being implemented with a view to expanding the pool of available signs that conform with democratic principles. </w:t>
      </w:r>
    </w:p>
    <w:p w14:paraId="37D5FFDA" w14:textId="77777777" w:rsidR="00B1197F" w:rsidRPr="00DD65C2" w:rsidRDefault="00B1197F" w:rsidP="000046B3">
      <w:pPr>
        <w:jc w:val="both"/>
        <w:rPr>
          <w:rFonts w:ascii="Calibri" w:hAnsi="Calibri" w:cs="Calibri"/>
          <w:lang w:val="en-GB"/>
        </w:rPr>
      </w:pPr>
    </w:p>
    <w:p w14:paraId="4DF6F20D" w14:textId="4443BECC" w:rsidR="000046B3" w:rsidRPr="00DD65C2" w:rsidRDefault="000046B3" w:rsidP="000046B3">
      <w:pPr>
        <w:jc w:val="both"/>
        <w:rPr>
          <w:rFonts w:ascii="Calibri" w:hAnsi="Calibri" w:cs="Calibri"/>
          <w:lang w:val="en-GB"/>
        </w:rPr>
      </w:pPr>
      <w:r w:rsidRPr="00DD65C2">
        <w:rPr>
          <w:rFonts w:ascii="Calibri" w:hAnsi="Calibri" w:cs="Calibri"/>
          <w:lang w:val="en-GB"/>
        </w:rPr>
        <w:t xml:space="preserve">This was precisely the argument put forward by appellant in </w:t>
      </w:r>
      <w:r w:rsidRPr="00DD65C2">
        <w:rPr>
          <w:rFonts w:ascii="Calibri" w:hAnsi="Calibri" w:cs="Calibri"/>
          <w:i/>
          <w:iCs/>
          <w:lang w:val="en-GB"/>
        </w:rPr>
        <w:t>Square Enix</w:t>
      </w:r>
      <w:r w:rsidR="001A7013" w:rsidRPr="00DD65C2">
        <w:rPr>
          <w:rFonts w:ascii="Calibri" w:hAnsi="Calibri" w:cs="Calibri"/>
          <w:lang w:val="en-GB"/>
        </w:rPr>
        <w:t>. Its</w:t>
      </w:r>
      <w:r w:rsidRPr="00DD65C2">
        <w:rPr>
          <w:rFonts w:ascii="Calibri" w:hAnsi="Calibri" w:cs="Calibri"/>
          <w:lang w:val="en-GB"/>
        </w:rPr>
        <w:t xml:space="preserve"> speech-based challenge was grounded, </w:t>
      </w:r>
      <w:r w:rsidRPr="00DD65C2">
        <w:rPr>
          <w:rFonts w:ascii="Calibri" w:hAnsi="Calibri" w:cs="Calibri"/>
          <w:i/>
          <w:iCs/>
          <w:lang w:val="en-GB"/>
        </w:rPr>
        <w:t>inter alia</w:t>
      </w:r>
      <w:r w:rsidRPr="00DD65C2">
        <w:rPr>
          <w:rFonts w:ascii="Calibri" w:hAnsi="Calibri" w:cs="Calibri"/>
          <w:lang w:val="en-GB"/>
        </w:rPr>
        <w:t xml:space="preserve">, on the </w:t>
      </w:r>
      <w:r w:rsidR="00BD1481" w:rsidRPr="00DD65C2">
        <w:rPr>
          <w:rFonts w:ascii="Calibri" w:hAnsi="Calibri" w:cs="Calibri"/>
          <w:lang w:val="en-GB"/>
        </w:rPr>
        <w:t>contention</w:t>
      </w:r>
      <w:r w:rsidRPr="00DD65C2">
        <w:rPr>
          <w:rFonts w:ascii="Calibri" w:hAnsi="Calibri" w:cs="Calibri"/>
          <w:lang w:val="en-GB"/>
        </w:rPr>
        <w:t xml:space="preserve"> that the EUIPO’s refusal to grant registration to the sign ‘M</w:t>
      </w:r>
      <w:r w:rsidR="00D9411F">
        <w:rPr>
          <w:rFonts w:ascii="Calibri" w:hAnsi="Calibri" w:cs="Calibri"/>
          <w:lang w:val="en-GB"/>
        </w:rPr>
        <w:t>echanical Apartheid</w:t>
      </w:r>
      <w:r w:rsidRPr="00DD65C2">
        <w:rPr>
          <w:rFonts w:ascii="Calibri" w:hAnsi="Calibri" w:cs="Calibri"/>
          <w:lang w:val="en-GB"/>
        </w:rPr>
        <w:t xml:space="preserve">’ would prevent it ‘from commenting on (the abhorrent policy of) racial segregation in the context of its work’ –the most straightforward form of reclaiming </w:t>
      </w:r>
      <w:r w:rsidR="00532707" w:rsidRPr="00DD65C2">
        <w:rPr>
          <w:rFonts w:ascii="Calibri" w:hAnsi="Calibri" w:cs="Calibri"/>
          <w:lang w:val="en-GB"/>
        </w:rPr>
        <w:t xml:space="preserve">the </w:t>
      </w:r>
      <w:r w:rsidRPr="00DD65C2">
        <w:rPr>
          <w:rFonts w:ascii="Calibri" w:hAnsi="Calibri" w:cs="Calibri"/>
          <w:lang w:val="en-GB"/>
        </w:rPr>
        <w:t xml:space="preserve">meaning </w:t>
      </w:r>
      <w:r w:rsidR="00532707" w:rsidRPr="00DD65C2">
        <w:rPr>
          <w:rFonts w:ascii="Calibri" w:hAnsi="Calibri" w:cs="Calibri"/>
          <w:lang w:val="en-GB"/>
        </w:rPr>
        <w:t>of</w:t>
      </w:r>
      <w:r w:rsidRPr="00DD65C2">
        <w:rPr>
          <w:rFonts w:ascii="Calibri" w:hAnsi="Calibri" w:cs="Calibri"/>
          <w:lang w:val="en-GB"/>
        </w:rPr>
        <w:t xml:space="preserve"> a sign.</w:t>
      </w:r>
      <w:r w:rsidRPr="00DD65C2">
        <w:rPr>
          <w:rStyle w:val="FootnoteReference"/>
          <w:rFonts w:ascii="Calibri" w:hAnsi="Calibri" w:cs="Calibri"/>
        </w:rPr>
        <w:footnoteReference w:id="108"/>
      </w:r>
      <w:r w:rsidRPr="00DD65C2">
        <w:rPr>
          <w:rFonts w:ascii="Calibri" w:hAnsi="Calibri" w:cs="Calibri"/>
          <w:lang w:val="en-GB"/>
        </w:rPr>
        <w:t xml:space="preserve"> Unfortunately, </w:t>
      </w:r>
      <w:r w:rsidRPr="00DD65C2">
        <w:rPr>
          <w:rFonts w:ascii="Calibri" w:hAnsi="Calibri" w:cs="Calibri"/>
          <w:lang w:val="en-GB"/>
        </w:rPr>
        <w:lastRenderedPageBreak/>
        <w:t>however, th</w:t>
      </w:r>
      <w:r w:rsidR="00DF29EE" w:rsidRPr="00DD65C2">
        <w:rPr>
          <w:rFonts w:ascii="Calibri" w:hAnsi="Calibri" w:cs="Calibri"/>
          <w:lang w:val="en-GB"/>
        </w:rPr>
        <w:t xml:space="preserve">e </w:t>
      </w:r>
      <w:r w:rsidR="00215832" w:rsidRPr="00DD65C2">
        <w:rPr>
          <w:rFonts w:ascii="Calibri" w:hAnsi="Calibri" w:cs="Calibri"/>
          <w:lang w:val="en-GB"/>
        </w:rPr>
        <w:t>BoA</w:t>
      </w:r>
      <w:r w:rsidRPr="00DD65C2">
        <w:rPr>
          <w:rFonts w:ascii="Calibri" w:hAnsi="Calibri" w:cs="Calibri"/>
          <w:lang w:val="en-GB"/>
        </w:rPr>
        <w:t xml:space="preserve"> failed to address this claim</w:t>
      </w:r>
      <w:r w:rsidR="002F0B7C" w:rsidRPr="00DD65C2">
        <w:rPr>
          <w:rFonts w:ascii="Calibri" w:hAnsi="Calibri" w:cs="Calibri"/>
          <w:lang w:val="en-GB"/>
        </w:rPr>
        <w:t xml:space="preserve"> in its decision</w:t>
      </w:r>
      <w:r w:rsidRPr="00DD65C2">
        <w:rPr>
          <w:rFonts w:ascii="Calibri" w:hAnsi="Calibri" w:cs="Calibri"/>
          <w:lang w:val="en-GB"/>
        </w:rPr>
        <w:t xml:space="preserve">. </w:t>
      </w:r>
      <w:r w:rsidR="00042D04" w:rsidRPr="00DD65C2">
        <w:rPr>
          <w:rFonts w:ascii="Calibri" w:hAnsi="Calibri" w:cs="Calibri"/>
          <w:lang w:val="en-GB"/>
        </w:rPr>
        <w:t>In any event, and j</w:t>
      </w:r>
      <w:r w:rsidRPr="00DD65C2">
        <w:rPr>
          <w:rFonts w:ascii="Calibri" w:hAnsi="Calibri" w:cs="Calibri"/>
          <w:lang w:val="en-GB"/>
        </w:rPr>
        <w:t xml:space="preserve">udging from </w:t>
      </w:r>
      <w:r w:rsidR="002F0B7C" w:rsidRPr="00DD65C2">
        <w:rPr>
          <w:rFonts w:ascii="Calibri" w:hAnsi="Calibri" w:cs="Calibri"/>
          <w:lang w:val="en-GB"/>
        </w:rPr>
        <w:t>the wealth of</w:t>
      </w:r>
      <w:r w:rsidRPr="00DD65C2">
        <w:rPr>
          <w:rFonts w:ascii="Calibri" w:hAnsi="Calibri" w:cs="Calibri"/>
          <w:lang w:val="en-GB"/>
        </w:rPr>
        <w:t xml:space="preserve"> cases where </w:t>
      </w:r>
      <w:r w:rsidR="00CA4514" w:rsidRPr="00DD65C2">
        <w:rPr>
          <w:rFonts w:ascii="Calibri" w:hAnsi="Calibri" w:cs="Calibri"/>
          <w:lang w:val="en-GB"/>
        </w:rPr>
        <w:t>decision-maker</w:t>
      </w:r>
      <w:r w:rsidRPr="00DD65C2">
        <w:rPr>
          <w:rFonts w:ascii="Calibri" w:hAnsi="Calibri" w:cs="Calibri"/>
          <w:lang w:val="en-GB"/>
        </w:rPr>
        <w:t xml:space="preserve">s have refused to give much weight to the manner in which the applicant intends to use the </w:t>
      </w:r>
      <w:r w:rsidR="000D0D7F" w:rsidRPr="00DD65C2">
        <w:rPr>
          <w:rFonts w:ascii="Calibri" w:hAnsi="Calibri" w:cs="Calibri"/>
          <w:lang w:val="en-GB"/>
        </w:rPr>
        <w:t>applied-for sign</w:t>
      </w:r>
      <w:r w:rsidRPr="00DD65C2">
        <w:rPr>
          <w:rFonts w:ascii="Calibri" w:hAnsi="Calibri" w:cs="Calibri"/>
          <w:lang w:val="en-GB"/>
        </w:rPr>
        <w:t xml:space="preserve">, it is difficult to see how the meaning-reclaim argument </w:t>
      </w:r>
      <w:r w:rsidR="002F0B7C" w:rsidRPr="00DD65C2">
        <w:rPr>
          <w:rFonts w:ascii="Calibri" w:hAnsi="Calibri" w:cs="Calibri"/>
          <w:lang w:val="en-GB"/>
        </w:rPr>
        <w:t>proposed here</w:t>
      </w:r>
      <w:r w:rsidRPr="00DD65C2">
        <w:rPr>
          <w:rFonts w:ascii="Calibri" w:hAnsi="Calibri" w:cs="Calibri"/>
          <w:lang w:val="en-GB"/>
        </w:rPr>
        <w:t xml:space="preserve"> could </w:t>
      </w:r>
      <w:r w:rsidR="002F0B7C" w:rsidRPr="00DD65C2">
        <w:rPr>
          <w:rFonts w:ascii="Calibri" w:hAnsi="Calibri" w:cs="Calibri"/>
          <w:lang w:val="en-GB"/>
        </w:rPr>
        <w:t>ever be</w:t>
      </w:r>
      <w:r w:rsidRPr="00DD65C2">
        <w:rPr>
          <w:rFonts w:ascii="Calibri" w:hAnsi="Calibri" w:cs="Calibri"/>
          <w:lang w:val="en-GB"/>
        </w:rPr>
        <w:t xml:space="preserve"> successful. For instance, in </w:t>
      </w:r>
      <w:r w:rsidRPr="00DD65C2">
        <w:rPr>
          <w:rFonts w:ascii="Calibri" w:hAnsi="Calibri" w:cs="Calibri"/>
          <w:i/>
          <w:iCs/>
          <w:lang w:val="en-GB"/>
        </w:rPr>
        <w:t>French Connection</w:t>
      </w:r>
      <w:r w:rsidRPr="00DD65C2">
        <w:rPr>
          <w:rFonts w:ascii="Calibri" w:hAnsi="Calibri" w:cs="Calibri"/>
          <w:lang w:val="en-GB"/>
        </w:rPr>
        <w:t xml:space="preserve">, Arnold QC held </w:t>
      </w:r>
      <w:r w:rsidR="00AC27EB" w:rsidRPr="00DD65C2">
        <w:rPr>
          <w:rFonts w:ascii="Calibri" w:hAnsi="Calibri" w:cs="Calibri"/>
          <w:lang w:val="en-GB"/>
        </w:rPr>
        <w:t>that</w:t>
      </w:r>
      <w:r w:rsidRPr="00DD65C2">
        <w:rPr>
          <w:rFonts w:ascii="Calibri" w:hAnsi="Calibri" w:cs="Calibri"/>
          <w:lang w:val="en-GB"/>
        </w:rPr>
        <w:t xml:space="preserve">: </w:t>
      </w:r>
    </w:p>
    <w:p w14:paraId="15B0BA89" w14:textId="77777777" w:rsidR="000046B3" w:rsidRPr="00DD65C2" w:rsidRDefault="000046B3" w:rsidP="000046B3">
      <w:pPr>
        <w:jc w:val="both"/>
        <w:rPr>
          <w:rFonts w:ascii="Calibri" w:hAnsi="Calibri" w:cs="Calibri"/>
          <w:lang w:val="en-GB"/>
        </w:rPr>
      </w:pPr>
    </w:p>
    <w:p w14:paraId="37F0DD22" w14:textId="77777777" w:rsidR="000046B3" w:rsidRPr="00DD65C2" w:rsidRDefault="000046B3" w:rsidP="000046B3">
      <w:pPr>
        <w:ind w:left="720"/>
        <w:jc w:val="both"/>
        <w:rPr>
          <w:rFonts w:ascii="Calibri" w:hAnsi="Calibri" w:cs="Calibri"/>
          <w:lang w:val="en-GB"/>
        </w:rPr>
      </w:pPr>
      <w:r w:rsidRPr="00DD65C2">
        <w:rPr>
          <w:rFonts w:ascii="Calibri" w:hAnsi="Calibri" w:cs="Calibri"/>
          <w:lang w:val="en-GB"/>
        </w:rPr>
        <w:t>A mark is only objectionable under [the exclusion] if its use would contravene a generally accepted moral principle by reason of its intrinsic qualities. The reason for this is that, even if the applicant intends to use it in a particular way, his intention may change. Furthermore, the application or registration may be assigned to someone else. Thus the manner in which the mark is subsequently used can neither infect the mark with, nor immunise it from, objectionability.</w:t>
      </w:r>
      <w:r w:rsidRPr="00DD65C2">
        <w:rPr>
          <w:rStyle w:val="FootnoteReference"/>
          <w:rFonts w:ascii="Calibri" w:hAnsi="Calibri" w:cs="Calibri"/>
        </w:rPr>
        <w:footnoteReference w:id="109"/>
      </w:r>
    </w:p>
    <w:p w14:paraId="2E602025" w14:textId="229B1A17" w:rsidR="000046B3" w:rsidRPr="00DD65C2" w:rsidRDefault="000046B3" w:rsidP="000046B3">
      <w:pPr>
        <w:jc w:val="both"/>
        <w:rPr>
          <w:rFonts w:ascii="Calibri" w:hAnsi="Calibri" w:cs="Calibri"/>
          <w:lang w:val="en-GB"/>
        </w:rPr>
      </w:pPr>
    </w:p>
    <w:p w14:paraId="70E0B65A" w14:textId="3C917B87" w:rsidR="002F0B7C" w:rsidRPr="00DD65C2" w:rsidRDefault="00F001B6" w:rsidP="00F001B6">
      <w:pPr>
        <w:jc w:val="both"/>
        <w:rPr>
          <w:rFonts w:ascii="Calibri" w:hAnsi="Calibri" w:cs="Calibri"/>
          <w:lang w:val="en-GB"/>
        </w:rPr>
      </w:pPr>
      <w:r w:rsidRPr="00DD65C2">
        <w:rPr>
          <w:rFonts w:ascii="Calibri" w:hAnsi="Calibri" w:cs="Calibri"/>
          <w:lang w:val="en-GB"/>
        </w:rPr>
        <w:t>In similar terms</w:t>
      </w:r>
      <w:r w:rsidR="001B1F0A" w:rsidRPr="00DD65C2">
        <w:rPr>
          <w:rFonts w:ascii="Calibri" w:hAnsi="Calibri" w:cs="Calibri"/>
          <w:lang w:val="en-GB"/>
        </w:rPr>
        <w:t xml:space="preserve">, the GC </w:t>
      </w:r>
      <w:r w:rsidRPr="00DD65C2">
        <w:rPr>
          <w:rFonts w:ascii="Calibri" w:hAnsi="Calibri" w:cs="Calibri"/>
          <w:lang w:val="en-GB"/>
        </w:rPr>
        <w:t>has held that the assessment of the grounds of refusal contained in Article 7(1) EUTMR</w:t>
      </w:r>
      <w:r w:rsidR="00204509" w:rsidRPr="00DD65C2">
        <w:rPr>
          <w:rFonts w:ascii="Calibri" w:hAnsi="Calibri" w:cs="Calibri"/>
          <w:lang w:val="en-GB"/>
        </w:rPr>
        <w:t xml:space="preserve"> (</w:t>
      </w:r>
      <w:r w:rsidRPr="00DD65C2">
        <w:rPr>
          <w:rFonts w:ascii="Calibri" w:hAnsi="Calibri" w:cs="Calibri"/>
          <w:lang w:val="en-GB"/>
        </w:rPr>
        <w:t>including public policy and morality</w:t>
      </w:r>
      <w:r w:rsidR="00204509" w:rsidRPr="00DD65C2">
        <w:rPr>
          <w:rFonts w:ascii="Calibri" w:hAnsi="Calibri" w:cs="Calibri"/>
          <w:lang w:val="en-GB"/>
        </w:rPr>
        <w:t>)</w:t>
      </w:r>
      <w:r w:rsidRPr="00DD65C2">
        <w:rPr>
          <w:rFonts w:ascii="Calibri" w:hAnsi="Calibri" w:cs="Calibri"/>
          <w:lang w:val="en-GB"/>
        </w:rPr>
        <w:t xml:space="preserve"> must be undertaken on the basis of ‘the intrinsic qualities of the mark applied for and not [of] circumstances relating to the conduct of the person applying for the trade mark’.</w:t>
      </w:r>
      <w:r w:rsidR="006509F2" w:rsidRPr="00DD65C2">
        <w:rPr>
          <w:rStyle w:val="FootnoteReference"/>
          <w:rFonts w:ascii="Calibri" w:hAnsi="Calibri" w:cs="Calibri"/>
        </w:rPr>
        <w:footnoteReference w:id="110"/>
      </w:r>
      <w:r w:rsidRPr="00DD65C2">
        <w:rPr>
          <w:rFonts w:ascii="Calibri" w:hAnsi="Calibri" w:cs="Calibri"/>
          <w:lang w:val="en-GB"/>
        </w:rPr>
        <w:t xml:space="preserve"> This has on occasion been followed by the EUIPO.</w:t>
      </w:r>
      <w:r w:rsidR="006509F2" w:rsidRPr="00DD65C2">
        <w:rPr>
          <w:rStyle w:val="FootnoteReference"/>
          <w:rFonts w:ascii="Calibri" w:hAnsi="Calibri" w:cs="Calibri"/>
        </w:rPr>
        <w:footnoteReference w:id="111"/>
      </w:r>
      <w:r w:rsidRPr="00DD65C2">
        <w:rPr>
          <w:rFonts w:ascii="Calibri" w:hAnsi="Calibri" w:cs="Calibri"/>
          <w:lang w:val="en-GB"/>
        </w:rPr>
        <w:t xml:space="preserve"> </w:t>
      </w:r>
    </w:p>
    <w:p w14:paraId="325C82CE" w14:textId="77777777" w:rsidR="002F0B7C" w:rsidRPr="00DD65C2" w:rsidRDefault="002F0B7C" w:rsidP="00F001B6">
      <w:pPr>
        <w:jc w:val="both"/>
        <w:rPr>
          <w:rFonts w:ascii="Calibri" w:hAnsi="Calibri" w:cs="Calibri"/>
          <w:lang w:val="en-GB"/>
        </w:rPr>
      </w:pPr>
    </w:p>
    <w:p w14:paraId="43A5B719" w14:textId="55C9BFFE" w:rsidR="006509F2" w:rsidRPr="00DD65C2" w:rsidRDefault="002F0B7C" w:rsidP="00F001B6">
      <w:pPr>
        <w:jc w:val="both"/>
        <w:rPr>
          <w:rFonts w:ascii="Calibri" w:hAnsi="Calibri" w:cs="Calibri"/>
          <w:lang w:val="en-GB"/>
        </w:rPr>
      </w:pPr>
      <w:r w:rsidRPr="00DD65C2">
        <w:rPr>
          <w:rFonts w:ascii="Calibri" w:hAnsi="Calibri" w:cs="Calibri"/>
          <w:lang w:val="en-GB"/>
        </w:rPr>
        <w:t>There is, however, at least one</w:t>
      </w:r>
      <w:r w:rsidR="00F001B6" w:rsidRPr="00DD65C2">
        <w:rPr>
          <w:rFonts w:ascii="Calibri" w:hAnsi="Calibri" w:cs="Calibri"/>
          <w:lang w:val="en-GB"/>
        </w:rPr>
        <w:t xml:space="preserve"> </w:t>
      </w:r>
      <w:r w:rsidRPr="00DD65C2">
        <w:rPr>
          <w:rFonts w:ascii="Calibri" w:hAnsi="Calibri" w:cs="Calibri"/>
          <w:lang w:val="en-GB"/>
        </w:rPr>
        <w:t xml:space="preserve">precedent where </w:t>
      </w:r>
      <w:r w:rsidR="00F001B6" w:rsidRPr="00DD65C2">
        <w:rPr>
          <w:rFonts w:ascii="Calibri" w:hAnsi="Calibri" w:cs="Calibri"/>
          <w:lang w:val="en-GB"/>
        </w:rPr>
        <w:t xml:space="preserve">the </w:t>
      </w:r>
      <w:r w:rsidR="004A239A" w:rsidRPr="00DD65C2">
        <w:rPr>
          <w:rFonts w:ascii="Calibri" w:hAnsi="Calibri" w:cs="Calibri"/>
          <w:lang w:val="en-GB"/>
        </w:rPr>
        <w:t>EUI</w:t>
      </w:r>
      <w:r w:rsidR="00D73E2C" w:rsidRPr="00DD65C2">
        <w:rPr>
          <w:rFonts w:ascii="Calibri" w:hAnsi="Calibri" w:cs="Calibri"/>
          <w:lang w:val="en-GB"/>
        </w:rPr>
        <w:t>PO</w:t>
      </w:r>
      <w:r w:rsidR="00F001B6" w:rsidRPr="00DD65C2">
        <w:rPr>
          <w:rFonts w:ascii="Calibri" w:hAnsi="Calibri" w:cs="Calibri"/>
          <w:lang w:val="en-GB"/>
        </w:rPr>
        <w:t xml:space="preserve"> </w:t>
      </w:r>
      <w:r w:rsidRPr="00DD65C2">
        <w:rPr>
          <w:rFonts w:ascii="Calibri" w:hAnsi="Calibri" w:cs="Calibri"/>
          <w:lang w:val="en-GB"/>
        </w:rPr>
        <w:t>has</w:t>
      </w:r>
      <w:r w:rsidR="00F001B6" w:rsidRPr="00DD65C2">
        <w:rPr>
          <w:rFonts w:ascii="Calibri" w:hAnsi="Calibri" w:cs="Calibri"/>
          <w:lang w:val="en-GB"/>
        </w:rPr>
        <w:t xml:space="preserve"> been willing to factor in the personal characteristics of the applicant and the type of use to which it</w:t>
      </w:r>
      <w:r w:rsidR="000530E2" w:rsidRPr="00DD65C2">
        <w:rPr>
          <w:rFonts w:ascii="Calibri" w:hAnsi="Calibri" w:cs="Calibri"/>
          <w:lang w:val="en-GB"/>
        </w:rPr>
        <w:t xml:space="preserve"> allegedly</w:t>
      </w:r>
      <w:r w:rsidR="00F001B6" w:rsidRPr="00DD65C2">
        <w:rPr>
          <w:rFonts w:ascii="Calibri" w:hAnsi="Calibri" w:cs="Calibri"/>
          <w:lang w:val="en-GB"/>
        </w:rPr>
        <w:t xml:space="preserve"> intends to subject the mark</w:t>
      </w:r>
      <w:r w:rsidR="000530E2" w:rsidRPr="00DD65C2">
        <w:rPr>
          <w:rFonts w:ascii="Calibri" w:hAnsi="Calibri" w:cs="Calibri"/>
          <w:lang w:val="en-GB"/>
        </w:rPr>
        <w:t xml:space="preserve"> when assessing the morality of an applied-for sign</w:t>
      </w:r>
      <w:r w:rsidR="00F001B6" w:rsidRPr="00DD65C2">
        <w:rPr>
          <w:rFonts w:ascii="Calibri" w:hAnsi="Calibri" w:cs="Calibri"/>
          <w:lang w:val="en-GB"/>
        </w:rPr>
        <w:t xml:space="preserve">. In </w:t>
      </w:r>
      <w:r w:rsidR="00400F4A" w:rsidRPr="00DD65C2">
        <w:rPr>
          <w:rFonts w:ascii="Calibri" w:hAnsi="Calibri" w:cs="Calibri"/>
          <w:i/>
          <w:iCs/>
          <w:lang w:val="en-GB"/>
        </w:rPr>
        <w:t>Application of Josef Reich</w:t>
      </w:r>
      <w:r w:rsidR="00400F4A" w:rsidRPr="00DD65C2">
        <w:rPr>
          <w:rFonts w:ascii="Calibri" w:hAnsi="Calibri" w:cs="Calibri"/>
          <w:lang w:val="en-GB"/>
        </w:rPr>
        <w:t xml:space="preserve">, </w:t>
      </w:r>
      <w:r w:rsidR="00F001B6" w:rsidRPr="00DD65C2">
        <w:rPr>
          <w:rFonts w:ascii="Calibri" w:hAnsi="Calibri" w:cs="Calibri"/>
          <w:lang w:val="en-GB"/>
        </w:rPr>
        <w:t>a case involving registration of the sign ‘J</w:t>
      </w:r>
      <w:r w:rsidR="00D9411F">
        <w:rPr>
          <w:rFonts w:ascii="Calibri" w:hAnsi="Calibri" w:cs="Calibri"/>
          <w:lang w:val="en-GB"/>
        </w:rPr>
        <w:t>ewish Monkeys</w:t>
      </w:r>
      <w:r w:rsidR="00F001B6" w:rsidRPr="00DD65C2">
        <w:rPr>
          <w:rFonts w:ascii="Calibri" w:hAnsi="Calibri" w:cs="Calibri"/>
          <w:lang w:val="en-GB"/>
        </w:rPr>
        <w:t>’</w:t>
      </w:r>
      <w:r w:rsidR="00927516" w:rsidRPr="00DD65C2">
        <w:rPr>
          <w:rFonts w:ascii="Calibri" w:hAnsi="Calibri" w:cs="Calibri"/>
          <w:lang w:val="en-GB"/>
        </w:rPr>
        <w:t xml:space="preserve"> by a member of an eponymous klezmer music band who is of Jewish faith and uses the sign for satirical purposes</w:t>
      </w:r>
      <w:r w:rsidR="00F001B6" w:rsidRPr="00DD65C2">
        <w:rPr>
          <w:rFonts w:ascii="Calibri" w:hAnsi="Calibri" w:cs="Calibri"/>
          <w:lang w:val="en-GB"/>
        </w:rPr>
        <w:t xml:space="preserve">, the </w:t>
      </w:r>
      <w:r w:rsidR="00215832" w:rsidRPr="00DD65C2">
        <w:rPr>
          <w:rFonts w:ascii="Calibri" w:hAnsi="Calibri" w:cs="Calibri"/>
          <w:lang w:val="en-GB"/>
        </w:rPr>
        <w:t>BoA</w:t>
      </w:r>
      <w:r w:rsidR="00F001B6" w:rsidRPr="00DD65C2">
        <w:rPr>
          <w:rFonts w:ascii="Calibri" w:hAnsi="Calibri" w:cs="Calibri"/>
          <w:lang w:val="en-GB"/>
        </w:rPr>
        <w:t xml:space="preserve"> granted registration </w:t>
      </w:r>
      <w:r w:rsidR="00400F4A" w:rsidRPr="00DD65C2">
        <w:rPr>
          <w:rFonts w:ascii="Calibri" w:hAnsi="Calibri" w:cs="Calibri"/>
          <w:lang w:val="en-GB"/>
        </w:rPr>
        <w:t xml:space="preserve">to the applied-for sign </w:t>
      </w:r>
      <w:r w:rsidR="00F001B6" w:rsidRPr="00DD65C2">
        <w:rPr>
          <w:rFonts w:ascii="Calibri" w:hAnsi="Calibri" w:cs="Calibri"/>
          <w:lang w:val="en-GB"/>
        </w:rPr>
        <w:t>after finding that</w:t>
      </w:r>
      <w:r w:rsidR="006509F2" w:rsidRPr="00DD65C2">
        <w:rPr>
          <w:rFonts w:ascii="Calibri" w:hAnsi="Calibri" w:cs="Calibri"/>
          <w:lang w:val="en-GB"/>
        </w:rPr>
        <w:t>:</w:t>
      </w:r>
      <w:r w:rsidR="00927516" w:rsidRPr="00DD65C2">
        <w:rPr>
          <w:rFonts w:ascii="Calibri" w:hAnsi="Calibri" w:cs="Calibri"/>
          <w:lang w:val="en-GB"/>
        </w:rPr>
        <w:t xml:space="preserve"> </w:t>
      </w:r>
    </w:p>
    <w:p w14:paraId="4F29BF5D" w14:textId="77777777" w:rsidR="006509F2" w:rsidRPr="00DD65C2" w:rsidRDefault="006509F2" w:rsidP="006509F2">
      <w:pPr>
        <w:jc w:val="both"/>
        <w:rPr>
          <w:rFonts w:ascii="Calibri" w:hAnsi="Calibri" w:cs="Calibri"/>
          <w:lang w:val="en-GB"/>
        </w:rPr>
      </w:pPr>
    </w:p>
    <w:p w14:paraId="7237B914" w14:textId="4A153870" w:rsidR="00F001B6" w:rsidRPr="00DD65C2" w:rsidRDefault="006509F2" w:rsidP="006509F2">
      <w:pPr>
        <w:ind w:left="720"/>
        <w:jc w:val="both"/>
        <w:rPr>
          <w:rFonts w:ascii="Calibri" w:hAnsi="Calibri" w:cs="Calibri"/>
          <w:lang w:val="en-GB" w:bidi="en-GB"/>
        </w:rPr>
      </w:pPr>
      <w:r w:rsidRPr="00DD65C2">
        <w:rPr>
          <w:rFonts w:ascii="Calibri" w:hAnsi="Calibri" w:cs="Calibri"/>
          <w:i/>
          <w:iCs/>
          <w:lang w:val="en-GB"/>
        </w:rPr>
        <w:t>T</w:t>
      </w:r>
      <w:r w:rsidR="00F001B6" w:rsidRPr="00DD65C2">
        <w:rPr>
          <w:rFonts w:ascii="Calibri" w:hAnsi="Calibri" w:cs="Calibri"/>
          <w:i/>
          <w:iCs/>
          <w:lang w:val="en-GB"/>
        </w:rPr>
        <w:t>he identity of the applicant</w:t>
      </w:r>
      <w:r w:rsidR="00F001B6" w:rsidRPr="00DD65C2">
        <w:rPr>
          <w:rFonts w:ascii="Calibri" w:hAnsi="Calibri" w:cs="Calibri"/>
          <w:lang w:val="en-GB"/>
        </w:rPr>
        <w:t xml:space="preserve"> must certainly be taken into account in the context of Article 7(1)(f) [EUTMR]</w:t>
      </w:r>
      <w:r w:rsidRPr="00DD65C2">
        <w:rPr>
          <w:rFonts w:ascii="Calibri" w:hAnsi="Calibri" w:cs="Calibri"/>
          <w:lang w:val="en-GB"/>
        </w:rPr>
        <w:t xml:space="preserve"> […]. According to the overall content of the case file, it can be ruled out that </w:t>
      </w:r>
      <w:r w:rsidRPr="00DD65C2">
        <w:rPr>
          <w:rFonts w:ascii="Calibri" w:hAnsi="Calibri" w:cs="Calibri"/>
          <w:lang w:val="en-GB" w:bidi="en-GB"/>
        </w:rPr>
        <w:t xml:space="preserve">in </w:t>
      </w:r>
      <w:r w:rsidRPr="00DD65C2">
        <w:rPr>
          <w:rFonts w:ascii="Calibri" w:hAnsi="Calibri" w:cs="Calibri"/>
          <w:i/>
          <w:iCs/>
          <w:lang w:val="en-GB" w:bidi="en-GB"/>
        </w:rPr>
        <w:t>the manner in which the sign applied for is likely to be used</w:t>
      </w:r>
      <w:r w:rsidRPr="00DD65C2">
        <w:rPr>
          <w:rFonts w:ascii="Calibri" w:hAnsi="Calibri" w:cs="Calibri"/>
          <w:lang w:val="en-GB" w:bidi="en-GB"/>
        </w:rPr>
        <w:t xml:space="preserve"> (i.e. not in the context of anti</w:t>
      </w:r>
      <w:r w:rsidRPr="00DD65C2">
        <w:rPr>
          <w:rFonts w:ascii="Calibri" w:hAnsi="Calibri" w:cs="Calibri"/>
          <w:lang w:val="en-GB" w:bidi="en-GB"/>
        </w:rPr>
        <w:noBreakHyphen/>
        <w:t>Israeli political propaganda), the recipients of the goods and services will feel personally targeted and therefore insulted by the designation ‘Jewish Monkeys’.</w:t>
      </w:r>
      <w:r w:rsidR="00F001B6" w:rsidRPr="00DD65C2">
        <w:rPr>
          <w:rStyle w:val="FootnoteReference"/>
          <w:rFonts w:ascii="Calibri" w:hAnsi="Calibri" w:cs="Calibri"/>
        </w:rPr>
        <w:footnoteReference w:id="112"/>
      </w:r>
    </w:p>
    <w:p w14:paraId="2B22EE3D" w14:textId="571FF0E7" w:rsidR="00927516" w:rsidRPr="00DD65C2" w:rsidRDefault="00927516" w:rsidP="00927516">
      <w:pPr>
        <w:jc w:val="both"/>
        <w:rPr>
          <w:rFonts w:ascii="Calibri" w:hAnsi="Calibri" w:cs="Calibri"/>
          <w:i/>
          <w:iCs/>
          <w:lang w:val="en-GB"/>
        </w:rPr>
      </w:pPr>
    </w:p>
    <w:p w14:paraId="23E61883" w14:textId="22EE150F" w:rsidR="00CF5D3B" w:rsidRPr="00DD65C2" w:rsidRDefault="00CF5D3B" w:rsidP="00CF5D3B">
      <w:pPr>
        <w:jc w:val="both"/>
        <w:rPr>
          <w:rFonts w:ascii="Calibri" w:hAnsi="Calibri" w:cs="Calibri"/>
          <w:lang w:val="en-GB"/>
        </w:rPr>
      </w:pPr>
      <w:r w:rsidRPr="00DD65C2">
        <w:rPr>
          <w:rFonts w:ascii="Calibri" w:hAnsi="Calibri" w:cs="Calibri"/>
          <w:lang w:val="en-GB"/>
        </w:rPr>
        <w:t xml:space="preserve">Two things should be noted here. First, these examples serve to illustrate yet another aspect of the public policy and morality exclusions where European </w:t>
      </w:r>
      <w:r w:rsidR="00CA4514" w:rsidRPr="00DD65C2">
        <w:rPr>
          <w:rFonts w:ascii="Calibri" w:hAnsi="Calibri" w:cs="Calibri"/>
          <w:lang w:val="en-GB"/>
        </w:rPr>
        <w:t>decision-maker</w:t>
      </w:r>
      <w:r w:rsidRPr="00DD65C2">
        <w:rPr>
          <w:rFonts w:ascii="Calibri" w:hAnsi="Calibri" w:cs="Calibri"/>
          <w:lang w:val="en-GB"/>
        </w:rPr>
        <w:t>s have not been able to reach a consensus. And, second, i</w:t>
      </w:r>
      <w:r w:rsidR="00927516" w:rsidRPr="00DD65C2">
        <w:rPr>
          <w:rFonts w:ascii="Calibri" w:hAnsi="Calibri" w:cs="Calibri"/>
          <w:lang w:val="en-GB"/>
        </w:rPr>
        <w:t xml:space="preserve">f followed by future </w:t>
      </w:r>
      <w:r w:rsidR="00CA4514" w:rsidRPr="00DD65C2">
        <w:rPr>
          <w:rFonts w:ascii="Calibri" w:hAnsi="Calibri" w:cs="Calibri"/>
          <w:lang w:val="en-GB"/>
        </w:rPr>
        <w:t>decision-maker</w:t>
      </w:r>
      <w:r w:rsidR="00927516" w:rsidRPr="00DD65C2">
        <w:rPr>
          <w:rFonts w:ascii="Calibri" w:hAnsi="Calibri" w:cs="Calibri"/>
          <w:lang w:val="en-GB"/>
        </w:rPr>
        <w:t xml:space="preserve">s, </w:t>
      </w:r>
      <w:r w:rsidRPr="00DD65C2">
        <w:rPr>
          <w:rFonts w:ascii="Calibri" w:hAnsi="Calibri" w:cs="Calibri"/>
          <w:lang w:val="en-GB"/>
        </w:rPr>
        <w:t>the</w:t>
      </w:r>
      <w:r w:rsidR="00927516" w:rsidRPr="00DD65C2">
        <w:rPr>
          <w:rFonts w:ascii="Calibri" w:hAnsi="Calibri" w:cs="Calibri"/>
          <w:lang w:val="en-GB"/>
        </w:rPr>
        <w:t xml:space="preserve"> approach </w:t>
      </w:r>
      <w:r w:rsidRPr="00DD65C2">
        <w:rPr>
          <w:rFonts w:ascii="Calibri" w:hAnsi="Calibri" w:cs="Calibri"/>
          <w:lang w:val="en-GB"/>
        </w:rPr>
        <w:t xml:space="preserve">adopted by the BoA in </w:t>
      </w:r>
      <w:r w:rsidR="000B73A1" w:rsidRPr="00DD65C2">
        <w:rPr>
          <w:rFonts w:ascii="Calibri" w:hAnsi="Calibri" w:cs="Calibri"/>
          <w:i/>
          <w:iCs/>
          <w:lang w:val="en-GB"/>
        </w:rPr>
        <w:t>Josef Reich</w:t>
      </w:r>
      <w:r w:rsidR="000B73A1" w:rsidRPr="00DD65C2">
        <w:rPr>
          <w:rFonts w:ascii="Calibri" w:hAnsi="Calibri" w:cs="Calibri"/>
          <w:lang w:val="en-GB"/>
        </w:rPr>
        <w:t xml:space="preserve"> </w:t>
      </w:r>
      <w:r w:rsidR="00927516" w:rsidRPr="00DD65C2">
        <w:rPr>
          <w:rFonts w:ascii="Calibri" w:hAnsi="Calibri" w:cs="Calibri"/>
          <w:lang w:val="en-GB"/>
        </w:rPr>
        <w:t xml:space="preserve">could </w:t>
      </w:r>
      <w:r w:rsidR="000B73A1" w:rsidRPr="00DD65C2">
        <w:rPr>
          <w:rFonts w:ascii="Calibri" w:hAnsi="Calibri" w:cs="Calibri"/>
          <w:lang w:val="en-GB"/>
        </w:rPr>
        <w:t xml:space="preserve">very well </w:t>
      </w:r>
      <w:r w:rsidR="00927516" w:rsidRPr="00DD65C2">
        <w:rPr>
          <w:rFonts w:ascii="Calibri" w:hAnsi="Calibri" w:cs="Calibri"/>
          <w:lang w:val="en-GB"/>
        </w:rPr>
        <w:t xml:space="preserve">accommodate applicants’ </w:t>
      </w:r>
      <w:r w:rsidR="00253E82" w:rsidRPr="00DD65C2">
        <w:rPr>
          <w:rFonts w:ascii="Calibri" w:hAnsi="Calibri" w:cs="Calibri"/>
          <w:lang w:val="en-GB"/>
        </w:rPr>
        <w:t xml:space="preserve">speech-based challenges to refusals of registration on </w:t>
      </w:r>
      <w:r w:rsidR="000B73A1" w:rsidRPr="00DD65C2">
        <w:rPr>
          <w:rFonts w:ascii="Calibri" w:hAnsi="Calibri" w:cs="Calibri"/>
          <w:lang w:val="en-GB"/>
        </w:rPr>
        <w:t>grounds</w:t>
      </w:r>
      <w:r w:rsidR="00253E82" w:rsidRPr="00DD65C2">
        <w:rPr>
          <w:rFonts w:ascii="Calibri" w:hAnsi="Calibri" w:cs="Calibri"/>
          <w:lang w:val="en-GB"/>
        </w:rPr>
        <w:t xml:space="preserve"> that they prevent them from effective engagement in processes of reclaim in meaning of signs. </w:t>
      </w:r>
      <w:r w:rsidR="00772A44" w:rsidRPr="00DD65C2">
        <w:rPr>
          <w:rFonts w:ascii="Calibri" w:hAnsi="Calibri" w:cs="Calibri"/>
          <w:lang w:val="en-GB"/>
        </w:rPr>
        <w:t>Judging from the prevailing case law, however, i</w:t>
      </w:r>
      <w:r w:rsidRPr="00DD65C2">
        <w:rPr>
          <w:rFonts w:ascii="Calibri" w:hAnsi="Calibri" w:cs="Calibri"/>
          <w:lang w:val="en-GB"/>
        </w:rPr>
        <w:t xml:space="preserve">t is unlikely that this approach will take hold in Europe, at least for the time being. </w:t>
      </w:r>
    </w:p>
    <w:p w14:paraId="3C59997E" w14:textId="77777777" w:rsidR="00CF5D3B" w:rsidRPr="00DD65C2" w:rsidRDefault="00CF5D3B" w:rsidP="00CF5D3B">
      <w:pPr>
        <w:jc w:val="both"/>
        <w:rPr>
          <w:rFonts w:ascii="Calibri" w:hAnsi="Calibri" w:cs="Calibri"/>
          <w:lang w:val="en-GB"/>
        </w:rPr>
      </w:pPr>
    </w:p>
    <w:p w14:paraId="4AAE5578" w14:textId="017088C8" w:rsidR="00CF5D3B" w:rsidRPr="00DD65C2" w:rsidRDefault="00CF5D3B" w:rsidP="00CF5D3B">
      <w:pPr>
        <w:jc w:val="both"/>
        <w:rPr>
          <w:rFonts w:ascii="Calibri" w:hAnsi="Calibri" w:cs="Calibri"/>
          <w:lang w:val="en-GB"/>
        </w:rPr>
      </w:pPr>
      <w:r w:rsidRPr="00DD65C2">
        <w:rPr>
          <w:rFonts w:ascii="Calibri" w:hAnsi="Calibri" w:cs="Calibri"/>
          <w:lang w:val="en-GB"/>
        </w:rPr>
        <w:t xml:space="preserve">But even in instances where </w:t>
      </w:r>
      <w:r w:rsidR="00CA4514" w:rsidRPr="00DD65C2">
        <w:rPr>
          <w:rFonts w:ascii="Calibri" w:hAnsi="Calibri" w:cs="Calibri"/>
          <w:lang w:val="en-GB"/>
        </w:rPr>
        <w:t>decision-maker</w:t>
      </w:r>
      <w:r w:rsidRPr="00DD65C2">
        <w:rPr>
          <w:rFonts w:ascii="Calibri" w:hAnsi="Calibri" w:cs="Calibri"/>
          <w:lang w:val="en-GB"/>
        </w:rPr>
        <w:t>s are unwilling to factor in the identity and the intended use of the applied-for sign, processes of reclaim in meaning may still prosper where the applied-for sign is deserving of reinforced protection under Article 10 ECHR as a form of mixed expression</w:t>
      </w:r>
      <w:r w:rsidR="00400F4A" w:rsidRPr="00DD65C2">
        <w:rPr>
          <w:rFonts w:ascii="Calibri" w:hAnsi="Calibri" w:cs="Calibri"/>
          <w:lang w:val="en-GB"/>
        </w:rPr>
        <w:t>. Even</w:t>
      </w:r>
      <w:r w:rsidR="00A154B1" w:rsidRPr="00DD65C2">
        <w:rPr>
          <w:rFonts w:ascii="Calibri" w:hAnsi="Calibri" w:cs="Calibri"/>
          <w:lang w:val="en-GB"/>
        </w:rPr>
        <w:t xml:space="preserve"> though </w:t>
      </w:r>
      <w:r w:rsidR="007138FC" w:rsidRPr="00DD65C2">
        <w:rPr>
          <w:rFonts w:ascii="Calibri" w:hAnsi="Calibri" w:cs="Calibri"/>
          <w:lang w:val="en-GB"/>
        </w:rPr>
        <w:t xml:space="preserve">this </w:t>
      </w:r>
      <w:r w:rsidRPr="00DD65C2">
        <w:rPr>
          <w:rFonts w:ascii="Calibri" w:hAnsi="Calibri" w:cs="Calibri"/>
          <w:lang w:val="en-GB"/>
        </w:rPr>
        <w:t>may seem like a long shot judging from the very limited number of precedents to this effect</w:t>
      </w:r>
      <w:r w:rsidR="00A154B1" w:rsidRPr="00DD65C2">
        <w:rPr>
          <w:rFonts w:ascii="Calibri" w:hAnsi="Calibri" w:cs="Calibri"/>
          <w:lang w:val="en-GB"/>
        </w:rPr>
        <w:t>,</w:t>
      </w:r>
      <w:r w:rsidRPr="00DD65C2">
        <w:rPr>
          <w:rFonts w:ascii="Calibri" w:hAnsi="Calibri" w:cs="Calibri"/>
          <w:lang w:val="en-GB"/>
        </w:rPr>
        <w:t xml:space="preserve"> it is certainly worth the try.</w:t>
      </w:r>
      <w:r w:rsidR="00A154B1" w:rsidRPr="00DD65C2">
        <w:rPr>
          <w:rStyle w:val="FootnoteReference"/>
          <w:rFonts w:ascii="Calibri" w:hAnsi="Calibri" w:cs="Calibri"/>
        </w:rPr>
        <w:footnoteReference w:id="113"/>
      </w:r>
      <w:r w:rsidRPr="00DD65C2">
        <w:rPr>
          <w:rFonts w:ascii="Calibri" w:hAnsi="Calibri" w:cs="Calibri"/>
          <w:lang w:val="en-GB"/>
        </w:rPr>
        <w:t xml:space="preserve"> Naturally, this argument can only be persuasive where the sign is clearly expressive, in the sense of seeking to own and reclaim terms that convey political ideas that are socially relevant, as in the case of ‘</w:t>
      </w:r>
      <w:r w:rsidR="003F0B4C" w:rsidRPr="00DD65C2">
        <w:rPr>
          <w:rFonts w:ascii="Calibri" w:hAnsi="Calibri" w:cs="Calibri"/>
          <w:lang w:val="en-GB"/>
        </w:rPr>
        <w:t>(</w:t>
      </w:r>
      <w:r w:rsidRPr="00DD65C2">
        <w:rPr>
          <w:rFonts w:ascii="Calibri" w:hAnsi="Calibri" w:cs="Calibri"/>
          <w:lang w:val="en-GB"/>
        </w:rPr>
        <w:t>M</w:t>
      </w:r>
      <w:r w:rsidR="000C6B11">
        <w:rPr>
          <w:rFonts w:ascii="Calibri" w:hAnsi="Calibri" w:cs="Calibri"/>
          <w:lang w:val="en-GB"/>
        </w:rPr>
        <w:t>echanical</w:t>
      </w:r>
      <w:r w:rsidR="003F0B4C" w:rsidRPr="00DD65C2">
        <w:rPr>
          <w:rFonts w:ascii="Calibri" w:hAnsi="Calibri" w:cs="Calibri"/>
          <w:lang w:val="en-GB"/>
        </w:rPr>
        <w:t>)</w:t>
      </w:r>
      <w:r w:rsidRPr="00DD65C2">
        <w:rPr>
          <w:rFonts w:ascii="Calibri" w:hAnsi="Calibri" w:cs="Calibri"/>
          <w:lang w:val="en-GB"/>
        </w:rPr>
        <w:t xml:space="preserve"> A</w:t>
      </w:r>
      <w:r w:rsidR="000C6B11">
        <w:rPr>
          <w:rFonts w:ascii="Calibri" w:hAnsi="Calibri" w:cs="Calibri"/>
          <w:lang w:val="en-GB"/>
        </w:rPr>
        <w:t>partheid</w:t>
      </w:r>
      <w:r w:rsidRPr="00DD65C2">
        <w:rPr>
          <w:rFonts w:ascii="Calibri" w:hAnsi="Calibri" w:cs="Calibri"/>
          <w:lang w:val="en-GB"/>
        </w:rPr>
        <w:t>’ or ‘</w:t>
      </w:r>
      <w:r w:rsidR="000C6B11">
        <w:rPr>
          <w:rFonts w:ascii="Calibri" w:hAnsi="Calibri" w:cs="Calibri"/>
          <w:lang w:val="en-GB"/>
        </w:rPr>
        <w:t>Jewish</w:t>
      </w:r>
      <w:r w:rsidRPr="00DD65C2">
        <w:rPr>
          <w:rFonts w:ascii="Calibri" w:hAnsi="Calibri" w:cs="Calibri"/>
          <w:lang w:val="en-GB"/>
        </w:rPr>
        <w:t xml:space="preserve"> M</w:t>
      </w:r>
      <w:r w:rsidR="000C6B11">
        <w:rPr>
          <w:rFonts w:ascii="Calibri" w:hAnsi="Calibri" w:cs="Calibri"/>
          <w:lang w:val="en-GB"/>
        </w:rPr>
        <w:t>onkeys</w:t>
      </w:r>
      <w:r w:rsidRPr="00DD65C2">
        <w:rPr>
          <w:rFonts w:ascii="Calibri" w:hAnsi="Calibri" w:cs="Calibri"/>
          <w:lang w:val="en-GB"/>
        </w:rPr>
        <w:t xml:space="preserve">’. Because such terms ought to be afforded heightened protection as </w:t>
      </w:r>
      <w:r w:rsidR="00400F4A" w:rsidRPr="00DD65C2">
        <w:rPr>
          <w:rFonts w:ascii="Calibri" w:hAnsi="Calibri" w:cs="Calibri"/>
          <w:lang w:val="en-GB"/>
        </w:rPr>
        <w:t>mixed</w:t>
      </w:r>
      <w:r w:rsidRPr="00DD65C2">
        <w:rPr>
          <w:rFonts w:ascii="Calibri" w:hAnsi="Calibri" w:cs="Calibri"/>
          <w:lang w:val="en-GB"/>
        </w:rPr>
        <w:t xml:space="preserve"> expression, it is arguably the case that refusals to grant them registration might not meet the stricter test of proportionality provided for under Article 10 ECHR.</w:t>
      </w:r>
      <w:r w:rsidR="00A66E2D" w:rsidRPr="00DD65C2">
        <w:rPr>
          <w:rStyle w:val="FootnoteReference"/>
          <w:rFonts w:ascii="Calibri" w:hAnsi="Calibri" w:cs="Calibri"/>
        </w:rPr>
        <w:footnoteReference w:id="114"/>
      </w:r>
      <w:r w:rsidRPr="00DD65C2">
        <w:rPr>
          <w:rFonts w:ascii="Calibri" w:hAnsi="Calibri" w:cs="Calibri"/>
          <w:lang w:val="en-GB"/>
        </w:rPr>
        <w:t xml:space="preserve"> It would</w:t>
      </w:r>
      <w:r w:rsidR="000A4FE9" w:rsidRPr="00DD65C2">
        <w:rPr>
          <w:rFonts w:ascii="Calibri" w:hAnsi="Calibri" w:cs="Calibri"/>
          <w:lang w:val="en-GB"/>
        </w:rPr>
        <w:t>, thus,</w:t>
      </w:r>
      <w:r w:rsidRPr="00DD65C2">
        <w:rPr>
          <w:rFonts w:ascii="Calibri" w:hAnsi="Calibri" w:cs="Calibri"/>
          <w:lang w:val="en-GB"/>
        </w:rPr>
        <w:t xml:space="preserve"> be interesting to see what </w:t>
      </w:r>
      <w:r w:rsidR="00F80A2F" w:rsidRPr="00DD65C2">
        <w:rPr>
          <w:rFonts w:ascii="Calibri" w:hAnsi="Calibri" w:cs="Calibri"/>
          <w:lang w:val="en-GB"/>
        </w:rPr>
        <w:t>European decision</w:t>
      </w:r>
      <w:r w:rsidR="00A76E83">
        <w:rPr>
          <w:rFonts w:ascii="Calibri" w:hAnsi="Calibri" w:cs="Calibri"/>
          <w:lang w:val="en-GB"/>
        </w:rPr>
        <w:t>-</w:t>
      </w:r>
      <w:r w:rsidR="00F80A2F" w:rsidRPr="00DD65C2">
        <w:rPr>
          <w:rFonts w:ascii="Calibri" w:hAnsi="Calibri" w:cs="Calibri"/>
          <w:lang w:val="en-GB"/>
        </w:rPr>
        <w:t>makers</w:t>
      </w:r>
      <w:r w:rsidRPr="00DD65C2">
        <w:rPr>
          <w:rFonts w:ascii="Calibri" w:hAnsi="Calibri" w:cs="Calibri"/>
          <w:lang w:val="en-GB"/>
        </w:rPr>
        <w:t xml:space="preserve"> would make of this argument if they were to address it in the future.  </w:t>
      </w:r>
    </w:p>
    <w:p w14:paraId="38274D5B" w14:textId="56CF7047" w:rsidR="00B57E91" w:rsidRPr="00DD65C2" w:rsidRDefault="00B57E91" w:rsidP="00504F94">
      <w:pPr>
        <w:jc w:val="both"/>
        <w:rPr>
          <w:rFonts w:ascii="Calibri" w:hAnsi="Calibri" w:cs="Calibri"/>
          <w:lang w:val="en-GB" w:eastAsia="en-US"/>
        </w:rPr>
      </w:pPr>
    </w:p>
    <w:p w14:paraId="4410A6CF" w14:textId="3EB9C50C" w:rsidR="000D22C4" w:rsidRPr="00DD65C2" w:rsidRDefault="000D22C4" w:rsidP="003833A7">
      <w:pPr>
        <w:pStyle w:val="ListParagraph"/>
        <w:numPr>
          <w:ilvl w:val="1"/>
          <w:numId w:val="13"/>
        </w:numPr>
        <w:jc w:val="both"/>
        <w:rPr>
          <w:rFonts w:ascii="Calibri" w:hAnsi="Calibri" w:cs="Calibri"/>
          <w:b/>
          <w:bCs/>
        </w:rPr>
      </w:pPr>
      <w:r w:rsidRPr="00DD65C2">
        <w:rPr>
          <w:rFonts w:ascii="Calibri" w:hAnsi="Calibri" w:cs="Calibri"/>
          <w:b/>
          <w:bCs/>
        </w:rPr>
        <w:t xml:space="preserve">On the Definition of Relevant Public </w:t>
      </w:r>
    </w:p>
    <w:p w14:paraId="40E6FFBF" w14:textId="61874DA4" w:rsidR="000D22C4" w:rsidRPr="00DD65C2" w:rsidRDefault="000D22C4" w:rsidP="000D22C4">
      <w:pPr>
        <w:jc w:val="both"/>
        <w:rPr>
          <w:rFonts w:ascii="Calibri" w:hAnsi="Calibri" w:cs="Calibri"/>
          <w:b/>
          <w:bCs/>
          <w:lang w:val="en-GB"/>
        </w:rPr>
      </w:pPr>
    </w:p>
    <w:p w14:paraId="710A2C77" w14:textId="6F88BD80" w:rsidR="002E6FFA" w:rsidRPr="00DD65C2" w:rsidRDefault="00C65C63" w:rsidP="00A265CE">
      <w:pPr>
        <w:jc w:val="both"/>
        <w:rPr>
          <w:rFonts w:ascii="Calibri" w:hAnsi="Calibri" w:cs="Calibri"/>
          <w:lang w:val="en-GB" w:eastAsia="en-US"/>
        </w:rPr>
      </w:pPr>
      <w:r w:rsidRPr="00DD65C2">
        <w:rPr>
          <w:rFonts w:ascii="Calibri" w:hAnsi="Calibri" w:cs="Calibri"/>
          <w:lang w:val="en-GB" w:eastAsia="en-US"/>
        </w:rPr>
        <w:t xml:space="preserve">Unfortunately, the decision of the CJEU fails to </w:t>
      </w:r>
      <w:r w:rsidR="0065616E" w:rsidRPr="00DD65C2">
        <w:rPr>
          <w:rFonts w:ascii="Calibri" w:hAnsi="Calibri" w:cs="Calibri"/>
          <w:lang w:val="en-GB" w:eastAsia="en-US"/>
        </w:rPr>
        <w:t>engage with</w:t>
      </w:r>
      <w:r w:rsidRPr="00DD65C2">
        <w:rPr>
          <w:rFonts w:ascii="Calibri" w:hAnsi="Calibri" w:cs="Calibri"/>
          <w:lang w:val="en-GB" w:eastAsia="en-US"/>
        </w:rPr>
        <w:t xml:space="preserve"> </w:t>
      </w:r>
      <w:r w:rsidR="00BA160C" w:rsidRPr="00DD65C2">
        <w:rPr>
          <w:rFonts w:ascii="Calibri" w:hAnsi="Calibri" w:cs="Calibri"/>
          <w:lang w:val="en-GB" w:eastAsia="en-US"/>
        </w:rPr>
        <w:t xml:space="preserve">the </w:t>
      </w:r>
      <w:r w:rsidRPr="00DD65C2">
        <w:rPr>
          <w:rFonts w:ascii="Calibri" w:hAnsi="Calibri" w:cs="Calibri"/>
          <w:lang w:val="en-GB" w:eastAsia="en-US"/>
        </w:rPr>
        <w:t xml:space="preserve">definition of relevant public </w:t>
      </w:r>
      <w:r w:rsidR="00BA160C" w:rsidRPr="00DD65C2">
        <w:rPr>
          <w:rFonts w:ascii="Calibri" w:hAnsi="Calibri" w:cs="Calibri"/>
          <w:lang w:val="en-GB" w:eastAsia="en-US"/>
        </w:rPr>
        <w:t xml:space="preserve">put forth by the GC </w:t>
      </w:r>
      <w:r w:rsidRPr="00DD65C2">
        <w:rPr>
          <w:rFonts w:ascii="Calibri" w:hAnsi="Calibri" w:cs="Calibri"/>
          <w:lang w:val="en-GB" w:eastAsia="en-US"/>
        </w:rPr>
        <w:t xml:space="preserve">to any meaningful extent. As we saw earlier, neither appellant nor the EUIPO had challenged the finding that the relevant public in this case consists solely of German-speaking consumers. </w:t>
      </w:r>
      <w:r w:rsidR="006C0424" w:rsidRPr="00DD65C2">
        <w:rPr>
          <w:rFonts w:ascii="Calibri" w:hAnsi="Calibri" w:cs="Calibri"/>
          <w:lang w:val="en-GB" w:eastAsia="en-US"/>
        </w:rPr>
        <w:t>The Court thus limits itself to reiterating th</w:t>
      </w:r>
      <w:r w:rsidR="00BA160C" w:rsidRPr="00DD65C2">
        <w:rPr>
          <w:rFonts w:ascii="Calibri" w:hAnsi="Calibri" w:cs="Calibri"/>
          <w:lang w:val="en-GB" w:eastAsia="en-US"/>
        </w:rPr>
        <w:t>e</w:t>
      </w:r>
      <w:r w:rsidR="006C0424" w:rsidRPr="00DD65C2">
        <w:rPr>
          <w:rFonts w:ascii="Calibri" w:hAnsi="Calibri" w:cs="Calibri"/>
          <w:lang w:val="en-GB" w:eastAsia="en-US"/>
        </w:rPr>
        <w:t xml:space="preserve"> definition</w:t>
      </w:r>
      <w:r w:rsidR="00BA160C" w:rsidRPr="00DD65C2">
        <w:rPr>
          <w:rFonts w:ascii="Calibri" w:hAnsi="Calibri" w:cs="Calibri"/>
          <w:lang w:val="en-GB" w:eastAsia="en-US"/>
        </w:rPr>
        <w:t xml:space="preserve"> provided by the GC</w:t>
      </w:r>
      <w:r w:rsidR="006C0424" w:rsidRPr="00DD65C2">
        <w:rPr>
          <w:rFonts w:ascii="Calibri" w:hAnsi="Calibri" w:cs="Calibri"/>
          <w:lang w:val="en-GB" w:eastAsia="en-US"/>
        </w:rPr>
        <w:t>, acknowledging that ‘it is not disputed’.</w:t>
      </w:r>
      <w:r w:rsidR="006C0424" w:rsidRPr="00DD65C2">
        <w:rPr>
          <w:rStyle w:val="FootnoteReference"/>
          <w:rFonts w:ascii="Calibri" w:hAnsi="Calibri" w:cs="Calibri"/>
        </w:rPr>
        <w:footnoteReference w:id="115"/>
      </w:r>
      <w:r w:rsidR="006C0424" w:rsidRPr="00DD65C2">
        <w:rPr>
          <w:rFonts w:ascii="Calibri" w:hAnsi="Calibri" w:cs="Calibri"/>
          <w:lang w:val="en-GB" w:eastAsia="en-US"/>
        </w:rPr>
        <w:t xml:space="preserve"> </w:t>
      </w:r>
    </w:p>
    <w:p w14:paraId="1D6223F0" w14:textId="77777777" w:rsidR="002E6FFA" w:rsidRPr="00DD65C2" w:rsidRDefault="002E6FFA" w:rsidP="00A265CE">
      <w:pPr>
        <w:jc w:val="both"/>
        <w:rPr>
          <w:rFonts w:ascii="Calibri" w:hAnsi="Calibri" w:cs="Calibri"/>
          <w:lang w:val="en-GB" w:eastAsia="en-US"/>
        </w:rPr>
      </w:pPr>
    </w:p>
    <w:p w14:paraId="1E3C0E3E" w14:textId="01A2BDAD" w:rsidR="002641D6" w:rsidRPr="00DD65C2" w:rsidRDefault="00C240B9" w:rsidP="00A265CE">
      <w:pPr>
        <w:jc w:val="both"/>
        <w:rPr>
          <w:rFonts w:ascii="Calibri" w:hAnsi="Calibri" w:cs="Calibri"/>
          <w:lang w:val="en-GB" w:eastAsia="en-US"/>
        </w:rPr>
      </w:pPr>
      <w:r w:rsidRPr="00DD65C2">
        <w:rPr>
          <w:rFonts w:ascii="Calibri" w:hAnsi="Calibri" w:cs="Calibri"/>
          <w:lang w:val="en-GB" w:eastAsia="en-US"/>
        </w:rPr>
        <w:t>However, the implications of this finding in terms of advancing appellant’s case</w:t>
      </w:r>
      <w:r w:rsidR="002641D6" w:rsidRPr="00DD65C2">
        <w:rPr>
          <w:rFonts w:ascii="Calibri" w:hAnsi="Calibri" w:cs="Calibri"/>
          <w:lang w:val="en-GB" w:eastAsia="en-US"/>
        </w:rPr>
        <w:t xml:space="preserve"> do not go unnoticed by the Court</w:t>
      </w:r>
      <w:r w:rsidR="002E6FFA" w:rsidRPr="00DD65C2">
        <w:rPr>
          <w:rFonts w:ascii="Calibri" w:hAnsi="Calibri" w:cs="Calibri"/>
          <w:lang w:val="en-GB" w:eastAsia="en-US"/>
        </w:rPr>
        <w:t>:</w:t>
      </w:r>
      <w:r w:rsidR="002641D6" w:rsidRPr="00DD65C2">
        <w:rPr>
          <w:rFonts w:ascii="Calibri" w:hAnsi="Calibri" w:cs="Calibri"/>
          <w:lang w:val="en-GB" w:eastAsia="en-US"/>
        </w:rPr>
        <w:t xml:space="preserve"> </w:t>
      </w:r>
    </w:p>
    <w:p w14:paraId="02E5F0AC" w14:textId="4A4E9C53" w:rsidR="00BA160C" w:rsidRPr="00DD65C2" w:rsidRDefault="00BA160C" w:rsidP="00A265CE">
      <w:pPr>
        <w:jc w:val="both"/>
        <w:rPr>
          <w:rFonts w:ascii="Calibri" w:hAnsi="Calibri" w:cs="Calibri"/>
          <w:lang w:val="en-GB" w:eastAsia="en-US"/>
        </w:rPr>
      </w:pPr>
    </w:p>
    <w:p w14:paraId="42C6E9E3" w14:textId="3A3AF9D9" w:rsidR="00BA160C" w:rsidRPr="00DD65C2" w:rsidRDefault="003313F8" w:rsidP="00BA160C">
      <w:pPr>
        <w:ind w:left="720"/>
        <w:jc w:val="both"/>
        <w:rPr>
          <w:rFonts w:ascii="Calibri" w:hAnsi="Calibri" w:cs="Calibri"/>
          <w:lang w:val="en-GB" w:eastAsia="en-US"/>
        </w:rPr>
      </w:pPr>
      <w:r w:rsidRPr="00DD65C2">
        <w:rPr>
          <w:rFonts w:ascii="Calibri" w:hAnsi="Calibri" w:cs="Calibri"/>
          <w:lang w:val="en-GB" w:eastAsia="en-US"/>
        </w:rPr>
        <w:t>[T]</w:t>
      </w:r>
      <w:r w:rsidR="00BA160C" w:rsidRPr="00DD65C2">
        <w:rPr>
          <w:rFonts w:ascii="Calibri" w:hAnsi="Calibri" w:cs="Calibri"/>
          <w:lang w:val="en-GB" w:eastAsia="en-US"/>
        </w:rPr>
        <w:t xml:space="preserve">he perception of that English phrase </w:t>
      </w:r>
      <w:r w:rsidR="002E6FFA" w:rsidRPr="00DD65C2">
        <w:rPr>
          <w:rFonts w:ascii="Calibri" w:hAnsi="Calibri" w:cs="Calibri"/>
          <w:lang w:val="en-GB" w:eastAsia="en-US"/>
        </w:rPr>
        <w:t>[‘</w:t>
      </w:r>
      <w:r w:rsidR="00083E5E" w:rsidRPr="00DD65C2">
        <w:rPr>
          <w:rFonts w:ascii="Calibri" w:hAnsi="Calibri" w:cs="Calibri"/>
          <w:lang w:val="en-GB" w:eastAsia="en-US"/>
        </w:rPr>
        <w:t>F</w:t>
      </w:r>
      <w:r w:rsidR="00FC17AF">
        <w:rPr>
          <w:rFonts w:ascii="Calibri" w:hAnsi="Calibri" w:cs="Calibri"/>
          <w:lang w:val="en-GB" w:eastAsia="en-US"/>
        </w:rPr>
        <w:t>ack Ju Göhte</w:t>
      </w:r>
      <w:r w:rsidR="00083E5E" w:rsidRPr="00DD65C2">
        <w:rPr>
          <w:rFonts w:ascii="Calibri" w:hAnsi="Calibri" w:cs="Calibri"/>
          <w:lang w:val="en-GB" w:eastAsia="en-US"/>
        </w:rPr>
        <w:t>’</w:t>
      </w:r>
      <w:r w:rsidR="002E6FFA" w:rsidRPr="00DD65C2">
        <w:rPr>
          <w:rFonts w:ascii="Calibri" w:hAnsi="Calibri" w:cs="Calibri"/>
          <w:lang w:val="en-GB" w:eastAsia="en-US"/>
        </w:rPr>
        <w:t xml:space="preserve">] </w:t>
      </w:r>
      <w:r w:rsidR="00BA160C" w:rsidRPr="00DD65C2">
        <w:rPr>
          <w:rFonts w:ascii="Calibri" w:hAnsi="Calibri" w:cs="Calibri"/>
          <w:lang w:val="en-GB" w:eastAsia="en-US"/>
        </w:rPr>
        <w:t>by the German-speaking public is not necessarily the same as the perception thereof by the English-speaking public, even if it is well known to the German-speaking public and the latter knows its meaning, since sensitivity in the mother tongue may be greater than in a foreign language.</w:t>
      </w:r>
      <w:r w:rsidR="00BA160C" w:rsidRPr="00DD65C2">
        <w:rPr>
          <w:rStyle w:val="FootnoteReference"/>
          <w:rFonts w:ascii="Calibri" w:hAnsi="Calibri" w:cs="Calibri"/>
        </w:rPr>
        <w:footnoteReference w:id="116"/>
      </w:r>
    </w:p>
    <w:p w14:paraId="3B10489F" w14:textId="5B534859" w:rsidR="00BA160C" w:rsidRPr="00DD65C2" w:rsidRDefault="00BA160C" w:rsidP="00BA160C">
      <w:pPr>
        <w:jc w:val="both"/>
        <w:rPr>
          <w:rFonts w:ascii="Calibri" w:hAnsi="Calibri" w:cs="Calibri"/>
          <w:lang w:val="en-GB" w:eastAsia="en-US"/>
        </w:rPr>
      </w:pPr>
    </w:p>
    <w:p w14:paraId="6B8770D3" w14:textId="36111044" w:rsidR="005F2008" w:rsidRPr="00DD65C2" w:rsidRDefault="002E6FFA" w:rsidP="002E6FFA">
      <w:pPr>
        <w:jc w:val="both"/>
        <w:rPr>
          <w:rFonts w:ascii="Calibri" w:hAnsi="Calibri" w:cs="Calibri"/>
          <w:lang w:val="en-GB" w:eastAsia="en-US"/>
        </w:rPr>
      </w:pPr>
      <w:r w:rsidRPr="00DD65C2">
        <w:rPr>
          <w:rFonts w:ascii="Calibri" w:hAnsi="Calibri" w:cs="Calibri"/>
          <w:lang w:val="en-GB" w:eastAsia="en-US"/>
        </w:rPr>
        <w:t>This is one of several factors that lead the Court to find in favour of the trade mark applicant. The Court’s assessment of morality is</w:t>
      </w:r>
      <w:r w:rsidR="00FD75B1" w:rsidRPr="00DD65C2">
        <w:rPr>
          <w:rFonts w:ascii="Calibri" w:hAnsi="Calibri" w:cs="Calibri"/>
          <w:lang w:val="en-GB" w:eastAsia="en-US"/>
        </w:rPr>
        <w:t>,</w:t>
      </w:r>
      <w:r w:rsidRPr="00DD65C2">
        <w:rPr>
          <w:rFonts w:ascii="Calibri" w:hAnsi="Calibri" w:cs="Calibri"/>
          <w:lang w:val="en-GB" w:eastAsia="en-US"/>
        </w:rPr>
        <w:t xml:space="preserve"> thus</w:t>
      </w:r>
      <w:r w:rsidR="00FD75B1" w:rsidRPr="00DD65C2">
        <w:rPr>
          <w:rFonts w:ascii="Calibri" w:hAnsi="Calibri" w:cs="Calibri"/>
          <w:lang w:val="en-GB" w:eastAsia="en-US"/>
        </w:rPr>
        <w:t>,</w:t>
      </w:r>
      <w:r w:rsidRPr="00DD65C2">
        <w:rPr>
          <w:rFonts w:ascii="Calibri" w:hAnsi="Calibri" w:cs="Calibri"/>
          <w:lang w:val="en-GB" w:eastAsia="en-US"/>
        </w:rPr>
        <w:t xml:space="preserve"> greatly influenced by the GC’s (mis)definition of relevant public. Failure to include </w:t>
      </w:r>
      <w:r w:rsidR="00054E7F" w:rsidRPr="00DD65C2">
        <w:rPr>
          <w:rFonts w:ascii="Calibri" w:hAnsi="Calibri" w:cs="Calibri"/>
          <w:lang w:val="en-GB" w:eastAsia="en-US"/>
        </w:rPr>
        <w:t xml:space="preserve">the </w:t>
      </w:r>
      <w:r w:rsidRPr="00DD65C2">
        <w:rPr>
          <w:rFonts w:ascii="Calibri" w:hAnsi="Calibri" w:cs="Calibri"/>
          <w:lang w:val="en-GB" w:eastAsia="en-US"/>
        </w:rPr>
        <w:t xml:space="preserve">English-speaking </w:t>
      </w:r>
      <w:r w:rsidR="00054E7F" w:rsidRPr="00DD65C2">
        <w:rPr>
          <w:rFonts w:ascii="Calibri" w:hAnsi="Calibri" w:cs="Calibri"/>
          <w:lang w:val="en-GB" w:eastAsia="en-US"/>
        </w:rPr>
        <w:t>section of the EU public</w:t>
      </w:r>
      <w:r w:rsidRPr="00DD65C2">
        <w:rPr>
          <w:rFonts w:ascii="Calibri" w:hAnsi="Calibri" w:cs="Calibri"/>
          <w:lang w:val="en-GB" w:eastAsia="en-US"/>
        </w:rPr>
        <w:t xml:space="preserve"> within </w:t>
      </w:r>
      <w:r w:rsidR="00097CA0" w:rsidRPr="00DD65C2">
        <w:rPr>
          <w:rFonts w:ascii="Calibri" w:hAnsi="Calibri" w:cs="Calibri"/>
          <w:lang w:val="en-GB" w:eastAsia="en-US"/>
        </w:rPr>
        <w:t>the</w:t>
      </w:r>
      <w:r w:rsidRPr="00DD65C2">
        <w:rPr>
          <w:rFonts w:ascii="Calibri" w:hAnsi="Calibri" w:cs="Calibri"/>
          <w:lang w:val="en-GB" w:eastAsia="en-US"/>
        </w:rPr>
        <w:t xml:space="preserve"> definition </w:t>
      </w:r>
      <w:r w:rsidR="00097CA0" w:rsidRPr="00DD65C2">
        <w:rPr>
          <w:rFonts w:ascii="Calibri" w:hAnsi="Calibri" w:cs="Calibri"/>
          <w:lang w:val="en-GB" w:eastAsia="en-US"/>
        </w:rPr>
        <w:t xml:space="preserve">undeservedly </w:t>
      </w:r>
      <w:r w:rsidRPr="00DD65C2">
        <w:rPr>
          <w:rFonts w:ascii="Calibri" w:hAnsi="Calibri" w:cs="Calibri"/>
          <w:lang w:val="en-GB" w:eastAsia="en-US"/>
        </w:rPr>
        <w:t>tilt</w:t>
      </w:r>
      <w:r w:rsidR="003313F8" w:rsidRPr="00DD65C2">
        <w:rPr>
          <w:rFonts w:ascii="Calibri" w:hAnsi="Calibri" w:cs="Calibri"/>
          <w:lang w:val="en-GB" w:eastAsia="en-US"/>
        </w:rPr>
        <w:t>s</w:t>
      </w:r>
      <w:r w:rsidRPr="00DD65C2">
        <w:rPr>
          <w:rFonts w:ascii="Calibri" w:hAnsi="Calibri" w:cs="Calibri"/>
          <w:lang w:val="en-GB" w:eastAsia="en-US"/>
        </w:rPr>
        <w:t xml:space="preserve"> the scales </w:t>
      </w:r>
      <w:r w:rsidR="00097CA0" w:rsidRPr="00DD65C2">
        <w:rPr>
          <w:rFonts w:ascii="Calibri" w:hAnsi="Calibri" w:cs="Calibri"/>
          <w:lang w:val="en-GB" w:eastAsia="en-US"/>
        </w:rPr>
        <w:t xml:space="preserve">in favour of the trade mark applicant. </w:t>
      </w:r>
      <w:r w:rsidRPr="00DD65C2">
        <w:rPr>
          <w:rFonts w:ascii="Calibri" w:hAnsi="Calibri" w:cs="Calibri"/>
          <w:lang w:val="en-GB" w:eastAsia="en-US"/>
        </w:rPr>
        <w:t xml:space="preserve">This is very problematic. Quite apart from setting a dubious precedent for future </w:t>
      </w:r>
      <w:r w:rsidR="00CA4514" w:rsidRPr="00DD65C2">
        <w:rPr>
          <w:rFonts w:ascii="Calibri" w:hAnsi="Calibri" w:cs="Calibri"/>
          <w:lang w:val="en-GB" w:eastAsia="en-US"/>
        </w:rPr>
        <w:t>decision-maker</w:t>
      </w:r>
      <w:r w:rsidRPr="00DD65C2">
        <w:rPr>
          <w:rFonts w:ascii="Calibri" w:hAnsi="Calibri" w:cs="Calibri"/>
          <w:lang w:val="en-GB" w:eastAsia="en-US"/>
        </w:rPr>
        <w:t>s to follow on the correct interpretation of Article 7(2) EUTMR, th</w:t>
      </w:r>
      <w:r w:rsidR="00097CA0" w:rsidRPr="00DD65C2">
        <w:rPr>
          <w:rFonts w:ascii="Calibri" w:hAnsi="Calibri" w:cs="Calibri"/>
          <w:lang w:val="en-GB" w:eastAsia="en-US"/>
        </w:rPr>
        <w:t xml:space="preserve">e definition of relevant public </w:t>
      </w:r>
      <w:r w:rsidR="00AD384B" w:rsidRPr="00DD65C2">
        <w:rPr>
          <w:rFonts w:ascii="Calibri" w:hAnsi="Calibri" w:cs="Calibri"/>
          <w:lang w:val="en-GB" w:eastAsia="en-US"/>
        </w:rPr>
        <w:t>put forth</w:t>
      </w:r>
      <w:r w:rsidR="00097CA0" w:rsidRPr="00DD65C2">
        <w:rPr>
          <w:rFonts w:ascii="Calibri" w:hAnsi="Calibri" w:cs="Calibri"/>
          <w:lang w:val="en-GB" w:eastAsia="en-US"/>
        </w:rPr>
        <w:t xml:space="preserve"> in </w:t>
      </w:r>
      <w:r w:rsidR="00097CA0" w:rsidRPr="00DD65C2">
        <w:rPr>
          <w:rFonts w:ascii="Calibri" w:hAnsi="Calibri" w:cs="Calibri"/>
          <w:i/>
          <w:iCs/>
          <w:lang w:val="en-GB" w:eastAsia="en-US"/>
        </w:rPr>
        <w:t>Constantin Film Produktion</w:t>
      </w:r>
      <w:r w:rsidR="00097CA0" w:rsidRPr="00DD65C2">
        <w:rPr>
          <w:rFonts w:ascii="Calibri" w:hAnsi="Calibri" w:cs="Calibri"/>
          <w:lang w:val="en-GB" w:eastAsia="en-US"/>
        </w:rPr>
        <w:t xml:space="preserve"> </w:t>
      </w:r>
      <w:r w:rsidR="00AD384B" w:rsidRPr="00DD65C2">
        <w:rPr>
          <w:rFonts w:ascii="Calibri" w:hAnsi="Calibri" w:cs="Calibri"/>
          <w:lang w:val="en-GB" w:eastAsia="en-US"/>
        </w:rPr>
        <w:t xml:space="preserve">fails to honour the policy objectives underpinning the morality exclusion. </w:t>
      </w:r>
      <w:r w:rsidR="005F2008" w:rsidRPr="00DD65C2">
        <w:rPr>
          <w:rFonts w:ascii="Calibri" w:hAnsi="Calibri" w:cs="Calibri"/>
          <w:lang w:val="en-GB" w:eastAsia="en-US"/>
        </w:rPr>
        <w:t>After all,</w:t>
      </w:r>
      <w:r w:rsidR="000A53E9" w:rsidRPr="00DD65C2">
        <w:rPr>
          <w:rFonts w:ascii="Calibri" w:hAnsi="Calibri" w:cs="Calibri"/>
          <w:lang w:val="en-GB" w:eastAsia="en-US"/>
        </w:rPr>
        <w:t xml:space="preserve"> </w:t>
      </w:r>
      <w:r w:rsidR="00054E7F" w:rsidRPr="00DD65C2">
        <w:rPr>
          <w:rFonts w:ascii="Calibri" w:hAnsi="Calibri" w:cs="Calibri"/>
          <w:lang w:val="en-GB" w:eastAsia="en-US"/>
        </w:rPr>
        <w:t xml:space="preserve">the </w:t>
      </w:r>
      <w:r w:rsidR="00AD384B" w:rsidRPr="00DD65C2">
        <w:rPr>
          <w:rFonts w:ascii="Calibri" w:hAnsi="Calibri" w:cs="Calibri"/>
          <w:lang w:val="en-GB" w:eastAsia="en-US"/>
        </w:rPr>
        <w:t xml:space="preserve">English-speaking </w:t>
      </w:r>
      <w:r w:rsidR="00054E7F" w:rsidRPr="00DD65C2">
        <w:rPr>
          <w:rFonts w:ascii="Calibri" w:hAnsi="Calibri" w:cs="Calibri"/>
          <w:lang w:val="en-GB" w:eastAsia="en-US"/>
        </w:rPr>
        <w:lastRenderedPageBreak/>
        <w:t xml:space="preserve">section of the EU public is </w:t>
      </w:r>
      <w:r w:rsidR="008107CC" w:rsidRPr="00DD65C2">
        <w:rPr>
          <w:rFonts w:ascii="Calibri" w:hAnsi="Calibri" w:cs="Calibri"/>
          <w:lang w:val="en-GB" w:eastAsia="en-US"/>
        </w:rPr>
        <w:t>also bound</w:t>
      </w:r>
      <w:r w:rsidR="000A53E9" w:rsidRPr="00DD65C2">
        <w:rPr>
          <w:rFonts w:ascii="Calibri" w:hAnsi="Calibri" w:cs="Calibri"/>
          <w:lang w:val="en-GB" w:eastAsia="en-US"/>
        </w:rPr>
        <w:t xml:space="preserve"> to </w:t>
      </w:r>
      <w:r w:rsidR="00AD384B" w:rsidRPr="00DD65C2">
        <w:rPr>
          <w:rFonts w:ascii="Calibri" w:hAnsi="Calibri" w:cs="Calibri"/>
          <w:lang w:val="en-GB" w:eastAsia="en-US"/>
        </w:rPr>
        <w:t>come across the sign ‘F</w:t>
      </w:r>
      <w:r w:rsidR="00CA1315">
        <w:rPr>
          <w:rFonts w:ascii="Calibri" w:hAnsi="Calibri" w:cs="Calibri"/>
          <w:lang w:val="en-GB" w:eastAsia="en-US"/>
        </w:rPr>
        <w:t>ack Ju Göhte</w:t>
      </w:r>
      <w:r w:rsidR="00083E5E" w:rsidRPr="00DD65C2">
        <w:rPr>
          <w:rFonts w:ascii="Calibri" w:hAnsi="Calibri" w:cs="Calibri"/>
          <w:lang w:val="en-GB" w:eastAsia="en-US"/>
        </w:rPr>
        <w:t xml:space="preserve">’ </w:t>
      </w:r>
      <w:r w:rsidR="00AD384B" w:rsidRPr="00DD65C2">
        <w:rPr>
          <w:rFonts w:ascii="Calibri" w:hAnsi="Calibri" w:cs="Calibri"/>
          <w:lang w:val="en-GB" w:eastAsia="en-US"/>
        </w:rPr>
        <w:t>once it is registered as an EU mark</w:t>
      </w:r>
      <w:r w:rsidR="005F2008" w:rsidRPr="00DD65C2">
        <w:rPr>
          <w:rFonts w:ascii="Calibri" w:hAnsi="Calibri" w:cs="Calibri"/>
          <w:lang w:val="en-GB" w:eastAsia="en-US"/>
        </w:rPr>
        <w:t xml:space="preserve"> despite their interest</w:t>
      </w:r>
      <w:r w:rsidR="00BF472C" w:rsidRPr="00DD65C2">
        <w:rPr>
          <w:rFonts w:ascii="Calibri" w:hAnsi="Calibri" w:cs="Calibri"/>
          <w:lang w:val="en-GB" w:eastAsia="en-US"/>
        </w:rPr>
        <w:t xml:space="preserve"> –i.e. in having their moral values safeguarded– </w:t>
      </w:r>
      <w:r w:rsidR="005F2008" w:rsidRPr="00DD65C2">
        <w:rPr>
          <w:rFonts w:ascii="Calibri" w:hAnsi="Calibri" w:cs="Calibri"/>
          <w:lang w:val="en-GB" w:eastAsia="en-US"/>
        </w:rPr>
        <w:t>having been disregarded by the CJEU.</w:t>
      </w:r>
    </w:p>
    <w:p w14:paraId="3EF04DE7" w14:textId="77777777" w:rsidR="000D22C4" w:rsidRPr="00DD65C2" w:rsidRDefault="000D22C4" w:rsidP="00354C36">
      <w:pPr>
        <w:jc w:val="both"/>
        <w:rPr>
          <w:rFonts w:ascii="Calibri" w:hAnsi="Calibri" w:cs="Calibri"/>
          <w:b/>
          <w:bCs/>
          <w:lang w:val="en-GB"/>
        </w:rPr>
      </w:pPr>
    </w:p>
    <w:p w14:paraId="46C9C08A" w14:textId="250ED213" w:rsidR="00B57E91" w:rsidRPr="00DD65C2" w:rsidRDefault="000D22C4" w:rsidP="003833A7">
      <w:pPr>
        <w:pStyle w:val="ListParagraph"/>
        <w:numPr>
          <w:ilvl w:val="1"/>
          <w:numId w:val="13"/>
        </w:numPr>
        <w:jc w:val="both"/>
        <w:rPr>
          <w:rFonts w:ascii="Calibri" w:hAnsi="Calibri" w:cs="Calibri"/>
          <w:b/>
          <w:bCs/>
        </w:rPr>
      </w:pPr>
      <w:r w:rsidRPr="00DD65C2">
        <w:rPr>
          <w:rFonts w:ascii="Calibri" w:hAnsi="Calibri" w:cs="Calibri"/>
          <w:b/>
          <w:bCs/>
        </w:rPr>
        <w:t>On t</w:t>
      </w:r>
      <w:r w:rsidR="00B57E91" w:rsidRPr="00DD65C2">
        <w:rPr>
          <w:rFonts w:ascii="Calibri" w:hAnsi="Calibri" w:cs="Calibri"/>
          <w:b/>
          <w:bCs/>
        </w:rPr>
        <w:t>he Applicable Test to the Morality Exclusion</w:t>
      </w:r>
    </w:p>
    <w:p w14:paraId="198CBA0A" w14:textId="77777777" w:rsidR="00B57E91" w:rsidRPr="00DD65C2" w:rsidRDefault="00B57E91" w:rsidP="00504F94">
      <w:pPr>
        <w:jc w:val="both"/>
        <w:rPr>
          <w:rFonts w:ascii="Calibri" w:hAnsi="Calibri" w:cs="Calibri"/>
          <w:lang w:val="en-GB" w:eastAsia="en-US"/>
        </w:rPr>
      </w:pPr>
    </w:p>
    <w:p w14:paraId="21100010" w14:textId="4114B3C4" w:rsidR="00BA7601" w:rsidRPr="00DD65C2" w:rsidRDefault="006C73B7" w:rsidP="008B66C9">
      <w:pPr>
        <w:jc w:val="both"/>
        <w:rPr>
          <w:rFonts w:ascii="Calibri" w:hAnsi="Calibri" w:cs="Calibri"/>
          <w:lang w:val="en-GB" w:eastAsia="en-US"/>
        </w:rPr>
      </w:pPr>
      <w:r w:rsidRPr="00DD65C2">
        <w:rPr>
          <w:rFonts w:ascii="Calibri" w:hAnsi="Calibri" w:cs="Calibri"/>
          <w:lang w:val="en-GB" w:eastAsia="en-US"/>
        </w:rPr>
        <w:t xml:space="preserve">The decision of the CJEU in </w:t>
      </w:r>
      <w:r w:rsidRPr="00DD65C2">
        <w:rPr>
          <w:rFonts w:ascii="Calibri" w:hAnsi="Calibri" w:cs="Calibri"/>
          <w:i/>
          <w:iCs/>
          <w:lang w:val="en-GB" w:eastAsia="en-US"/>
        </w:rPr>
        <w:t>Constantin Film Produktion</w:t>
      </w:r>
      <w:r w:rsidRPr="00DD65C2">
        <w:rPr>
          <w:rFonts w:ascii="Calibri" w:hAnsi="Calibri" w:cs="Calibri"/>
          <w:lang w:val="en-GB" w:eastAsia="en-US"/>
        </w:rPr>
        <w:t xml:space="preserve"> is bound to drastically change </w:t>
      </w:r>
      <w:r w:rsidR="00CA4514" w:rsidRPr="00DD65C2">
        <w:rPr>
          <w:rFonts w:ascii="Calibri" w:hAnsi="Calibri" w:cs="Calibri"/>
          <w:lang w:val="en-GB" w:eastAsia="en-US"/>
        </w:rPr>
        <w:t>decision-maker</w:t>
      </w:r>
      <w:r w:rsidRPr="00DD65C2">
        <w:rPr>
          <w:rFonts w:ascii="Calibri" w:hAnsi="Calibri" w:cs="Calibri"/>
          <w:lang w:val="en-GB" w:eastAsia="en-US"/>
        </w:rPr>
        <w:t xml:space="preserve">s’ interpretation of the morality exclusion moving forward. </w:t>
      </w:r>
      <w:r w:rsidR="008B66C9" w:rsidRPr="00DD65C2">
        <w:rPr>
          <w:rFonts w:ascii="Calibri" w:hAnsi="Calibri" w:cs="Calibri"/>
          <w:lang w:val="en-GB" w:eastAsia="en-US"/>
        </w:rPr>
        <w:t>In a rather bold move, the Court overturn</w:t>
      </w:r>
      <w:r w:rsidRPr="00DD65C2">
        <w:rPr>
          <w:rFonts w:ascii="Calibri" w:hAnsi="Calibri" w:cs="Calibri"/>
          <w:lang w:val="en-GB" w:eastAsia="en-US"/>
        </w:rPr>
        <w:t>s</w:t>
      </w:r>
      <w:r w:rsidR="008B66C9" w:rsidRPr="00DD65C2">
        <w:rPr>
          <w:rFonts w:ascii="Calibri" w:hAnsi="Calibri" w:cs="Calibri"/>
          <w:lang w:val="en-GB" w:eastAsia="en-US"/>
        </w:rPr>
        <w:t xml:space="preserve"> the appealed decision on grounds that </w:t>
      </w:r>
      <w:r w:rsidR="00AD5826" w:rsidRPr="00DD65C2">
        <w:rPr>
          <w:rFonts w:ascii="Calibri" w:hAnsi="Calibri" w:cs="Calibri"/>
          <w:lang w:val="en-GB" w:eastAsia="en-US"/>
        </w:rPr>
        <w:t>‘</w:t>
      </w:r>
      <w:r w:rsidR="008B66C9" w:rsidRPr="00DD65C2">
        <w:rPr>
          <w:rFonts w:ascii="Calibri" w:hAnsi="Calibri" w:cs="Calibri"/>
          <w:lang w:val="en-GB" w:eastAsia="en-US"/>
        </w:rPr>
        <w:t>the General Court […] could not confine itself to an abstract assessment of […] [the applied-for] mark and of the English expression to which the first part of it is assimilated by that public.</w:t>
      </w:r>
      <w:r w:rsidR="00AD5826" w:rsidRPr="00DD65C2">
        <w:rPr>
          <w:rFonts w:ascii="Calibri" w:hAnsi="Calibri" w:cs="Calibri"/>
          <w:lang w:val="en-GB" w:eastAsia="en-US"/>
        </w:rPr>
        <w:t>’</w:t>
      </w:r>
      <w:r w:rsidR="004F569D" w:rsidRPr="00DD65C2">
        <w:rPr>
          <w:rStyle w:val="FootnoteReference"/>
          <w:rFonts w:ascii="Calibri" w:hAnsi="Calibri" w:cs="Calibri"/>
        </w:rPr>
        <w:footnoteReference w:id="117"/>
      </w:r>
      <w:r w:rsidR="008B66C9" w:rsidRPr="00DD65C2">
        <w:rPr>
          <w:rFonts w:ascii="Calibri" w:hAnsi="Calibri" w:cs="Calibri"/>
          <w:lang w:val="en-GB" w:eastAsia="en-US"/>
        </w:rPr>
        <w:t xml:space="preserve"> In so doing, the </w:t>
      </w:r>
      <w:r w:rsidR="00685F55" w:rsidRPr="00DD65C2">
        <w:rPr>
          <w:rFonts w:ascii="Calibri" w:hAnsi="Calibri" w:cs="Calibri"/>
          <w:lang w:val="en-GB" w:eastAsia="en-US"/>
        </w:rPr>
        <w:t>CJEU</w:t>
      </w:r>
      <w:r w:rsidR="008B66C9" w:rsidRPr="00DD65C2">
        <w:rPr>
          <w:rFonts w:ascii="Calibri" w:hAnsi="Calibri" w:cs="Calibri"/>
          <w:lang w:val="en-GB" w:eastAsia="en-US"/>
        </w:rPr>
        <w:t xml:space="preserve"> </w:t>
      </w:r>
      <w:r w:rsidR="007B3768" w:rsidRPr="00DD65C2">
        <w:rPr>
          <w:rFonts w:ascii="Calibri" w:hAnsi="Calibri" w:cs="Calibri"/>
          <w:lang w:val="en-GB" w:eastAsia="en-US"/>
        </w:rPr>
        <w:t xml:space="preserve">quashes the </w:t>
      </w:r>
      <w:r w:rsidR="00125B5F" w:rsidRPr="00DD65C2">
        <w:rPr>
          <w:rFonts w:ascii="Calibri" w:hAnsi="Calibri" w:cs="Calibri"/>
          <w:lang w:val="en-GB" w:eastAsia="en-US"/>
        </w:rPr>
        <w:t xml:space="preserve">objective </w:t>
      </w:r>
      <w:r w:rsidR="007B3768" w:rsidRPr="00DD65C2">
        <w:rPr>
          <w:rFonts w:ascii="Calibri" w:hAnsi="Calibri" w:cs="Calibri"/>
          <w:lang w:val="en-GB" w:eastAsia="en-US"/>
        </w:rPr>
        <w:t>legal test that ha</w:t>
      </w:r>
      <w:r w:rsidR="00D55273" w:rsidRPr="00DD65C2">
        <w:rPr>
          <w:rFonts w:ascii="Calibri" w:hAnsi="Calibri" w:cs="Calibri"/>
          <w:lang w:val="en-GB" w:eastAsia="en-US"/>
        </w:rPr>
        <w:t>s</w:t>
      </w:r>
      <w:r w:rsidR="001253A2" w:rsidRPr="00DD65C2">
        <w:rPr>
          <w:rFonts w:ascii="Calibri" w:hAnsi="Calibri" w:cs="Calibri"/>
          <w:lang w:val="en-GB" w:eastAsia="en-US"/>
        </w:rPr>
        <w:t xml:space="preserve"> </w:t>
      </w:r>
      <w:r w:rsidR="007B3768" w:rsidRPr="00DD65C2">
        <w:rPr>
          <w:rFonts w:ascii="Calibri" w:hAnsi="Calibri" w:cs="Calibri"/>
          <w:lang w:val="en-GB" w:eastAsia="en-US"/>
        </w:rPr>
        <w:t xml:space="preserve">been </w:t>
      </w:r>
      <w:r w:rsidR="001253A2" w:rsidRPr="00DD65C2">
        <w:rPr>
          <w:rFonts w:ascii="Calibri" w:hAnsi="Calibri" w:cs="Calibri"/>
          <w:lang w:val="en-GB" w:eastAsia="en-US"/>
        </w:rPr>
        <w:t>applied</w:t>
      </w:r>
      <w:r w:rsidR="00BF4B56" w:rsidRPr="00DD65C2">
        <w:rPr>
          <w:rFonts w:ascii="Calibri" w:hAnsi="Calibri" w:cs="Calibri"/>
          <w:lang w:val="en-GB" w:eastAsia="en-US"/>
        </w:rPr>
        <w:t xml:space="preserve"> </w:t>
      </w:r>
      <w:r w:rsidR="007B3768" w:rsidRPr="00DD65C2">
        <w:rPr>
          <w:rFonts w:ascii="Calibri" w:hAnsi="Calibri" w:cs="Calibri"/>
          <w:lang w:val="en-GB" w:eastAsia="en-US"/>
        </w:rPr>
        <w:t xml:space="preserve">by the vast majority of </w:t>
      </w:r>
      <w:r w:rsidR="00CA4514" w:rsidRPr="00DD65C2">
        <w:rPr>
          <w:rFonts w:ascii="Calibri" w:hAnsi="Calibri" w:cs="Calibri"/>
          <w:lang w:val="en-GB" w:eastAsia="en-US"/>
        </w:rPr>
        <w:t>decision-maker</w:t>
      </w:r>
      <w:r w:rsidR="007B3768" w:rsidRPr="00DD65C2">
        <w:rPr>
          <w:rFonts w:ascii="Calibri" w:hAnsi="Calibri" w:cs="Calibri"/>
          <w:lang w:val="en-GB" w:eastAsia="en-US"/>
        </w:rPr>
        <w:t>s</w:t>
      </w:r>
      <w:r w:rsidR="00D55273" w:rsidRPr="00DD65C2">
        <w:rPr>
          <w:rFonts w:ascii="Calibri" w:hAnsi="Calibri" w:cs="Calibri"/>
          <w:lang w:val="en-GB" w:eastAsia="en-US"/>
        </w:rPr>
        <w:t xml:space="preserve"> to date</w:t>
      </w:r>
      <w:r w:rsidR="007B3768" w:rsidRPr="00DD65C2">
        <w:rPr>
          <w:rFonts w:ascii="Calibri" w:hAnsi="Calibri" w:cs="Calibri"/>
          <w:lang w:val="en-GB" w:eastAsia="en-US"/>
        </w:rPr>
        <w:t xml:space="preserve">. </w:t>
      </w:r>
      <w:r w:rsidR="00BA7601" w:rsidRPr="00DD65C2">
        <w:rPr>
          <w:rFonts w:ascii="Calibri" w:hAnsi="Calibri" w:cs="Calibri"/>
          <w:lang w:val="en-GB" w:eastAsia="en-US"/>
        </w:rPr>
        <w:t>Instead, they must</w:t>
      </w:r>
      <w:r w:rsidR="00A50A2F" w:rsidRPr="00DD65C2">
        <w:rPr>
          <w:rFonts w:ascii="Calibri" w:hAnsi="Calibri" w:cs="Calibri"/>
          <w:lang w:val="en-GB" w:eastAsia="en-US"/>
        </w:rPr>
        <w:t xml:space="preserve"> now</w:t>
      </w:r>
      <w:r w:rsidR="00BA7601" w:rsidRPr="00DD65C2">
        <w:rPr>
          <w:rFonts w:ascii="Calibri" w:hAnsi="Calibri" w:cs="Calibri"/>
          <w:lang w:val="en-GB" w:eastAsia="en-US"/>
        </w:rPr>
        <w:t xml:space="preserve"> look for contextual evidence that the applied-for sign is/is not morally</w:t>
      </w:r>
      <w:r w:rsidR="003C18D3">
        <w:rPr>
          <w:rFonts w:ascii="Calibri" w:hAnsi="Calibri" w:cs="Calibri"/>
          <w:lang w:val="en-GB" w:eastAsia="en-US"/>
        </w:rPr>
        <w:t xml:space="preserve"> </w:t>
      </w:r>
      <w:r w:rsidR="00BA7601" w:rsidRPr="00DD65C2">
        <w:rPr>
          <w:rFonts w:ascii="Calibri" w:hAnsi="Calibri" w:cs="Calibri"/>
          <w:lang w:val="en-GB" w:eastAsia="en-US"/>
        </w:rPr>
        <w:t xml:space="preserve">objectionable before reaching a </w:t>
      </w:r>
      <w:r w:rsidR="00A81624" w:rsidRPr="00DD65C2">
        <w:rPr>
          <w:rFonts w:ascii="Calibri" w:hAnsi="Calibri" w:cs="Calibri"/>
          <w:lang w:val="en-GB" w:eastAsia="en-US"/>
        </w:rPr>
        <w:t>conclusion</w:t>
      </w:r>
      <w:r w:rsidR="00BA7601" w:rsidRPr="00DD65C2">
        <w:rPr>
          <w:rFonts w:ascii="Calibri" w:hAnsi="Calibri" w:cs="Calibri"/>
          <w:lang w:val="en-GB" w:eastAsia="en-US"/>
        </w:rPr>
        <w:t xml:space="preserve"> as to whether it ought to be denied registration. Given the numerous implications of this finding, it is worth quoting the CJEU in full:</w:t>
      </w:r>
    </w:p>
    <w:p w14:paraId="055F1A12" w14:textId="5BA56D9E" w:rsidR="005D4DCD" w:rsidRPr="00DD65C2" w:rsidRDefault="005D4DCD" w:rsidP="00504F94">
      <w:pPr>
        <w:jc w:val="both"/>
        <w:rPr>
          <w:rFonts w:ascii="Calibri" w:hAnsi="Calibri" w:cs="Calibri"/>
          <w:lang w:val="en-GB" w:eastAsia="en-US"/>
        </w:rPr>
      </w:pPr>
    </w:p>
    <w:p w14:paraId="50CB6746" w14:textId="4A3BF705" w:rsidR="00BA7601" w:rsidRPr="00DD65C2" w:rsidRDefault="00BA7601" w:rsidP="00BA7601">
      <w:pPr>
        <w:autoSpaceDE w:val="0"/>
        <w:autoSpaceDN w:val="0"/>
        <w:adjustRightInd w:val="0"/>
        <w:ind w:left="720"/>
        <w:jc w:val="both"/>
        <w:rPr>
          <w:rFonts w:ascii="Calibri" w:eastAsiaTheme="minorHAnsi" w:hAnsi="Calibri" w:cs="Calibri"/>
          <w:lang w:val="en-GB" w:eastAsia="en-US"/>
        </w:rPr>
      </w:pPr>
      <w:r w:rsidRPr="00DD65C2">
        <w:rPr>
          <w:rFonts w:ascii="Calibri" w:eastAsiaTheme="minorHAnsi" w:hAnsi="Calibri" w:cs="Calibri"/>
          <w:lang w:val="en-GB" w:eastAsia="en-US"/>
        </w:rPr>
        <w:t>The examination to be carried out cannot be confined to an abstract assessment of the mark applied for […], but it must be established, in particular where an applicant has relied on factors that are liable to cast doubt on the fact that that mark is perceived by the relevant public as contrary to accepted principles of morality, that the use of that mark in the concrete and current social context would indeed be perceived by that public as being contrary to the fundamental moral values and standards of society.</w:t>
      </w:r>
      <w:r w:rsidR="007B0527" w:rsidRPr="00DD65C2">
        <w:rPr>
          <w:rStyle w:val="FootnoteReference"/>
          <w:rFonts w:ascii="Calibri" w:eastAsiaTheme="minorHAnsi" w:hAnsi="Calibri" w:cs="Calibri"/>
        </w:rPr>
        <w:footnoteReference w:id="118"/>
      </w:r>
    </w:p>
    <w:p w14:paraId="746B3B35" w14:textId="75358C0F" w:rsidR="00BA7601" w:rsidRPr="00DD65C2" w:rsidRDefault="00BA7601" w:rsidP="00504F94">
      <w:pPr>
        <w:jc w:val="both"/>
        <w:rPr>
          <w:rFonts w:ascii="Calibri" w:hAnsi="Calibri" w:cs="Calibri"/>
          <w:lang w:val="en-GB" w:eastAsia="en-US"/>
        </w:rPr>
      </w:pPr>
    </w:p>
    <w:p w14:paraId="0DE1C4D1" w14:textId="2DA727A2" w:rsidR="009C65E6" w:rsidRPr="00DD65C2" w:rsidRDefault="006C73B7" w:rsidP="009C65E6">
      <w:pPr>
        <w:jc w:val="both"/>
        <w:rPr>
          <w:rFonts w:ascii="Calibri" w:hAnsi="Calibri" w:cs="Calibri"/>
          <w:lang w:val="en-GB" w:eastAsia="en-US"/>
        </w:rPr>
      </w:pPr>
      <w:r w:rsidRPr="00DD65C2">
        <w:rPr>
          <w:rFonts w:ascii="Calibri" w:hAnsi="Calibri" w:cs="Calibri"/>
          <w:lang w:val="en-GB" w:eastAsia="en-US"/>
        </w:rPr>
        <w:t xml:space="preserve">Reviewing the appealed decision through the lens of this fact-sensitive test, the Court concludes that </w:t>
      </w:r>
      <w:r w:rsidR="00B552F5" w:rsidRPr="00DD65C2">
        <w:rPr>
          <w:rFonts w:ascii="Calibri" w:hAnsi="Calibri" w:cs="Calibri"/>
          <w:lang w:val="en-GB" w:eastAsia="en-US"/>
        </w:rPr>
        <w:t xml:space="preserve">the </w:t>
      </w:r>
      <w:r w:rsidR="00072401" w:rsidRPr="00DD65C2">
        <w:rPr>
          <w:rFonts w:ascii="Calibri" w:hAnsi="Calibri" w:cs="Calibri"/>
          <w:lang w:val="en-GB" w:eastAsia="en-US"/>
        </w:rPr>
        <w:t>GC</w:t>
      </w:r>
      <w:r w:rsidR="00B552F5" w:rsidRPr="00DD65C2">
        <w:rPr>
          <w:rFonts w:ascii="Calibri" w:hAnsi="Calibri" w:cs="Calibri"/>
          <w:lang w:val="en-GB" w:eastAsia="en-US"/>
        </w:rPr>
        <w:t xml:space="preserve"> had failed to give proper consideration to the various factors put </w:t>
      </w:r>
      <w:r w:rsidR="00072401" w:rsidRPr="00DD65C2">
        <w:rPr>
          <w:rFonts w:ascii="Calibri" w:hAnsi="Calibri" w:cs="Calibri"/>
          <w:lang w:val="en-GB" w:eastAsia="en-US"/>
        </w:rPr>
        <w:t>forth</w:t>
      </w:r>
      <w:r w:rsidR="00B552F5" w:rsidRPr="00DD65C2">
        <w:rPr>
          <w:rFonts w:ascii="Calibri" w:hAnsi="Calibri" w:cs="Calibri"/>
          <w:lang w:val="en-GB" w:eastAsia="en-US"/>
        </w:rPr>
        <w:t xml:space="preserve"> by the applicant as contextual evidence of the applied-for sign being morally</w:t>
      </w:r>
      <w:r w:rsidR="003C18D3">
        <w:rPr>
          <w:rFonts w:ascii="Calibri" w:hAnsi="Calibri" w:cs="Calibri"/>
          <w:lang w:val="en-GB" w:eastAsia="en-US"/>
        </w:rPr>
        <w:t xml:space="preserve"> </w:t>
      </w:r>
      <w:r w:rsidR="00B552F5" w:rsidRPr="00DD65C2">
        <w:rPr>
          <w:rFonts w:ascii="Calibri" w:hAnsi="Calibri" w:cs="Calibri"/>
          <w:lang w:val="en-GB" w:eastAsia="en-US"/>
        </w:rPr>
        <w:t>acceptable</w:t>
      </w:r>
      <w:r w:rsidR="00072401" w:rsidRPr="00DD65C2">
        <w:rPr>
          <w:rFonts w:ascii="Calibri" w:hAnsi="Calibri" w:cs="Calibri"/>
          <w:lang w:val="en-GB" w:eastAsia="en-US"/>
        </w:rPr>
        <w:t xml:space="preserve"> in German</w:t>
      </w:r>
      <w:r w:rsidR="007B0527" w:rsidRPr="00DD65C2">
        <w:rPr>
          <w:rFonts w:ascii="Calibri" w:hAnsi="Calibri" w:cs="Calibri"/>
          <w:lang w:val="en-GB" w:eastAsia="en-US"/>
        </w:rPr>
        <w:t>-speaking circles</w:t>
      </w:r>
      <w:r w:rsidR="009C65E6" w:rsidRPr="00DD65C2">
        <w:rPr>
          <w:rFonts w:ascii="Calibri" w:hAnsi="Calibri" w:cs="Calibri"/>
          <w:lang w:val="en-GB" w:eastAsia="en-US"/>
        </w:rPr>
        <w:t>. According to the Court:</w:t>
      </w:r>
    </w:p>
    <w:p w14:paraId="6C5A68B7" w14:textId="77777777" w:rsidR="009C65E6" w:rsidRPr="00DD65C2" w:rsidRDefault="009C65E6" w:rsidP="009C65E6">
      <w:pPr>
        <w:jc w:val="both"/>
        <w:rPr>
          <w:rFonts w:ascii="Calibri" w:hAnsi="Calibri" w:cs="Calibri"/>
          <w:lang w:val="en-GB" w:eastAsia="en-US"/>
        </w:rPr>
      </w:pPr>
    </w:p>
    <w:p w14:paraId="4C19A018" w14:textId="71787F71" w:rsidR="009C65E6" w:rsidRPr="00DD65C2" w:rsidRDefault="004F1E89" w:rsidP="009C65E6">
      <w:pPr>
        <w:ind w:left="720"/>
        <w:jc w:val="both"/>
        <w:rPr>
          <w:rFonts w:ascii="Calibri" w:hAnsi="Calibri" w:cs="Calibri"/>
          <w:lang w:val="en-GB" w:eastAsia="en-US"/>
        </w:rPr>
      </w:pPr>
      <w:r w:rsidRPr="00DD65C2">
        <w:rPr>
          <w:rFonts w:ascii="Calibri" w:hAnsi="Calibri" w:cs="Calibri"/>
          <w:lang w:val="en-GB" w:eastAsia="en-US"/>
        </w:rPr>
        <w:t>[T]</w:t>
      </w:r>
      <w:r w:rsidR="009C65E6" w:rsidRPr="00DD65C2">
        <w:rPr>
          <w:rFonts w:ascii="Calibri" w:hAnsi="Calibri" w:cs="Calibri"/>
          <w:lang w:val="en-GB" w:eastAsia="en-US"/>
        </w:rPr>
        <w:t>he General Court […] could not rely solely on the intrinsically vulgar character of that English phrase without examining those factors or setting out conclusively the reasons why it considered, despite those factors, that the German-speaking public at large perceives that sign as running counter to the fundamental moral values and standards of society when it is used as a trade mark.</w:t>
      </w:r>
      <w:r w:rsidR="007B0527" w:rsidRPr="00DD65C2">
        <w:rPr>
          <w:rStyle w:val="FootnoteReference"/>
          <w:rFonts w:ascii="Calibri" w:hAnsi="Calibri" w:cs="Calibri"/>
        </w:rPr>
        <w:footnoteReference w:id="119"/>
      </w:r>
    </w:p>
    <w:p w14:paraId="50CB8B63" w14:textId="77777777" w:rsidR="009C65E6" w:rsidRPr="00DD65C2" w:rsidRDefault="009C65E6" w:rsidP="009C65E6">
      <w:pPr>
        <w:jc w:val="both"/>
        <w:rPr>
          <w:rFonts w:ascii="Calibri" w:hAnsi="Calibri" w:cs="Calibri"/>
          <w:lang w:val="en-GB" w:eastAsia="en-US"/>
        </w:rPr>
      </w:pPr>
    </w:p>
    <w:p w14:paraId="45982485" w14:textId="4469CD0E" w:rsidR="00F82258" w:rsidRPr="00DD65C2" w:rsidRDefault="009C65E6" w:rsidP="009C65E6">
      <w:pPr>
        <w:jc w:val="both"/>
        <w:rPr>
          <w:rFonts w:ascii="Calibri" w:hAnsi="Calibri" w:cs="Calibri"/>
          <w:lang w:val="en-GB" w:eastAsia="en-US"/>
        </w:rPr>
      </w:pPr>
      <w:r w:rsidRPr="00DD65C2">
        <w:rPr>
          <w:rFonts w:ascii="Calibri" w:hAnsi="Calibri" w:cs="Calibri"/>
          <w:lang w:val="en-GB" w:eastAsia="en-US"/>
        </w:rPr>
        <w:t xml:space="preserve">The factors on which the applicant had grounded its claim that the sign </w:t>
      </w:r>
      <w:r w:rsidR="00B45CAD" w:rsidRPr="00DD65C2">
        <w:rPr>
          <w:rFonts w:ascii="Calibri" w:hAnsi="Calibri" w:cs="Calibri"/>
          <w:lang w:val="en-GB" w:eastAsia="en-US"/>
        </w:rPr>
        <w:t>‘F</w:t>
      </w:r>
      <w:r w:rsidR="003C18D3">
        <w:rPr>
          <w:rFonts w:ascii="Calibri" w:hAnsi="Calibri" w:cs="Calibri"/>
          <w:lang w:val="en-GB" w:eastAsia="en-US"/>
        </w:rPr>
        <w:t>ack Ju Göhte</w:t>
      </w:r>
      <w:r w:rsidR="00B45CAD" w:rsidRPr="00DD65C2">
        <w:rPr>
          <w:rFonts w:ascii="Calibri" w:hAnsi="Calibri" w:cs="Calibri"/>
          <w:lang w:val="en-GB" w:eastAsia="en-US"/>
        </w:rPr>
        <w:t xml:space="preserve">’ </w:t>
      </w:r>
      <w:r w:rsidRPr="00DD65C2">
        <w:rPr>
          <w:rFonts w:ascii="Calibri" w:hAnsi="Calibri" w:cs="Calibri"/>
          <w:lang w:val="en-GB" w:eastAsia="en-US"/>
        </w:rPr>
        <w:t>was not morally</w:t>
      </w:r>
      <w:r w:rsidR="003C18D3">
        <w:rPr>
          <w:rFonts w:ascii="Calibri" w:hAnsi="Calibri" w:cs="Calibri"/>
          <w:lang w:val="en-GB" w:eastAsia="en-US"/>
        </w:rPr>
        <w:t xml:space="preserve"> </w:t>
      </w:r>
      <w:r w:rsidRPr="00DD65C2">
        <w:rPr>
          <w:rFonts w:ascii="Calibri" w:hAnsi="Calibri" w:cs="Calibri"/>
          <w:lang w:val="en-GB" w:eastAsia="en-US"/>
        </w:rPr>
        <w:t xml:space="preserve">objectionable were as follows. First, there was no evidence that the </w:t>
      </w:r>
      <w:r w:rsidR="00B45CAD" w:rsidRPr="00DD65C2">
        <w:rPr>
          <w:rFonts w:ascii="Calibri" w:hAnsi="Calibri" w:cs="Calibri"/>
          <w:lang w:val="en-GB" w:eastAsia="en-US"/>
        </w:rPr>
        <w:t xml:space="preserve">applied-for </w:t>
      </w:r>
      <w:r w:rsidRPr="00DD65C2">
        <w:rPr>
          <w:rFonts w:ascii="Calibri" w:hAnsi="Calibri" w:cs="Calibri"/>
          <w:lang w:val="en-GB" w:eastAsia="en-US"/>
        </w:rPr>
        <w:t>sign, used extensively in the titles of its movies</w:t>
      </w:r>
      <w:r w:rsidR="00255F36" w:rsidRPr="00DD65C2">
        <w:rPr>
          <w:rFonts w:ascii="Calibri" w:hAnsi="Calibri" w:cs="Calibri"/>
          <w:lang w:val="en-GB" w:eastAsia="en-US"/>
        </w:rPr>
        <w:t xml:space="preserve"> prior to filing for registration</w:t>
      </w:r>
      <w:r w:rsidRPr="00DD65C2">
        <w:rPr>
          <w:rFonts w:ascii="Calibri" w:hAnsi="Calibri" w:cs="Calibri"/>
          <w:lang w:val="en-GB" w:eastAsia="en-US"/>
        </w:rPr>
        <w:t>, had caused any outrage amongst the public who had encountered the sign and/or watched the movie</w:t>
      </w:r>
      <w:r w:rsidR="00A71276" w:rsidRPr="00DD65C2">
        <w:rPr>
          <w:rFonts w:ascii="Calibri" w:hAnsi="Calibri" w:cs="Calibri"/>
          <w:lang w:val="en-GB" w:eastAsia="en-US"/>
        </w:rPr>
        <w:t>s</w:t>
      </w:r>
      <w:r w:rsidRPr="00DD65C2">
        <w:rPr>
          <w:rFonts w:ascii="Calibri" w:hAnsi="Calibri" w:cs="Calibri"/>
          <w:lang w:val="en-GB" w:eastAsia="en-US"/>
        </w:rPr>
        <w:t>. Second, young people had been authorised to watch the movie</w:t>
      </w:r>
      <w:r w:rsidR="00DB0A7F" w:rsidRPr="00DD65C2">
        <w:rPr>
          <w:rFonts w:ascii="Calibri" w:hAnsi="Calibri" w:cs="Calibri"/>
          <w:lang w:val="en-GB" w:eastAsia="en-US"/>
        </w:rPr>
        <w:t>s</w:t>
      </w:r>
      <w:r w:rsidRPr="00DD65C2">
        <w:rPr>
          <w:rFonts w:ascii="Calibri" w:hAnsi="Calibri" w:cs="Calibri"/>
          <w:lang w:val="en-GB" w:eastAsia="en-US"/>
        </w:rPr>
        <w:t xml:space="preserve"> in Germany, including in schools, despite </w:t>
      </w:r>
      <w:r w:rsidR="00DB0A7F" w:rsidRPr="00DD65C2">
        <w:rPr>
          <w:rFonts w:ascii="Calibri" w:hAnsi="Calibri" w:cs="Calibri"/>
          <w:lang w:val="en-GB" w:eastAsia="en-US"/>
        </w:rPr>
        <w:t>their</w:t>
      </w:r>
      <w:r w:rsidRPr="00DD65C2">
        <w:rPr>
          <w:rFonts w:ascii="Calibri" w:hAnsi="Calibri" w:cs="Calibri"/>
          <w:lang w:val="en-GB" w:eastAsia="en-US"/>
        </w:rPr>
        <w:t xml:space="preserve"> title</w:t>
      </w:r>
      <w:r w:rsidR="00DB0A7F" w:rsidRPr="00DD65C2">
        <w:rPr>
          <w:rFonts w:ascii="Calibri" w:hAnsi="Calibri" w:cs="Calibri"/>
          <w:lang w:val="en-GB" w:eastAsia="en-US"/>
        </w:rPr>
        <w:t>s</w:t>
      </w:r>
      <w:r w:rsidRPr="00DD65C2">
        <w:rPr>
          <w:rFonts w:ascii="Calibri" w:hAnsi="Calibri" w:cs="Calibri"/>
          <w:lang w:val="en-GB" w:eastAsia="en-US"/>
        </w:rPr>
        <w:t xml:space="preserve"> containing the applied-for sign. And, third, the Goethe Institut (i.e. Germany’s cultural institute) had been using the movie</w:t>
      </w:r>
      <w:r w:rsidR="00DB0A7F" w:rsidRPr="00DD65C2">
        <w:rPr>
          <w:rFonts w:ascii="Calibri" w:hAnsi="Calibri" w:cs="Calibri"/>
          <w:lang w:val="en-GB" w:eastAsia="en-US"/>
        </w:rPr>
        <w:t>s</w:t>
      </w:r>
      <w:r w:rsidRPr="00DD65C2">
        <w:rPr>
          <w:rFonts w:ascii="Calibri" w:hAnsi="Calibri" w:cs="Calibri"/>
          <w:lang w:val="en-GB" w:eastAsia="en-US"/>
        </w:rPr>
        <w:t xml:space="preserve"> </w:t>
      </w:r>
      <w:r w:rsidRPr="00DD65C2">
        <w:rPr>
          <w:rFonts w:ascii="Calibri" w:hAnsi="Calibri" w:cs="Calibri"/>
          <w:lang w:val="en-GB" w:eastAsia="en-US"/>
        </w:rPr>
        <w:lastRenderedPageBreak/>
        <w:t xml:space="preserve">(including </w:t>
      </w:r>
      <w:r w:rsidR="00DB0A7F" w:rsidRPr="00DD65C2">
        <w:rPr>
          <w:rFonts w:ascii="Calibri" w:hAnsi="Calibri" w:cs="Calibri"/>
          <w:lang w:val="en-GB" w:eastAsia="en-US"/>
        </w:rPr>
        <w:t>their</w:t>
      </w:r>
      <w:r w:rsidRPr="00DD65C2">
        <w:rPr>
          <w:rFonts w:ascii="Calibri" w:hAnsi="Calibri" w:cs="Calibri"/>
          <w:lang w:val="en-GB" w:eastAsia="en-US"/>
        </w:rPr>
        <w:t xml:space="preserve"> title</w:t>
      </w:r>
      <w:r w:rsidR="00DB0A7F" w:rsidRPr="00DD65C2">
        <w:rPr>
          <w:rFonts w:ascii="Calibri" w:hAnsi="Calibri" w:cs="Calibri"/>
          <w:lang w:val="en-GB" w:eastAsia="en-US"/>
        </w:rPr>
        <w:t>s</w:t>
      </w:r>
      <w:r w:rsidRPr="00DD65C2">
        <w:rPr>
          <w:rFonts w:ascii="Calibri" w:hAnsi="Calibri" w:cs="Calibri"/>
          <w:lang w:val="en-GB" w:eastAsia="en-US"/>
        </w:rPr>
        <w:t xml:space="preserve">) for educational purposes. </w:t>
      </w:r>
      <w:r w:rsidR="005447CA" w:rsidRPr="00DD65C2">
        <w:rPr>
          <w:rFonts w:ascii="Calibri" w:hAnsi="Calibri" w:cs="Calibri"/>
          <w:lang w:val="en-GB" w:eastAsia="en-US"/>
        </w:rPr>
        <w:t xml:space="preserve">These factors carry much weight in the Court’s analysis. </w:t>
      </w:r>
      <w:r w:rsidR="00A71276" w:rsidRPr="00DD65C2">
        <w:rPr>
          <w:rFonts w:ascii="Calibri" w:hAnsi="Calibri" w:cs="Calibri"/>
          <w:lang w:val="en-GB" w:eastAsia="en-US"/>
        </w:rPr>
        <w:t>B</w:t>
      </w:r>
      <w:r w:rsidR="005447CA" w:rsidRPr="00DD65C2">
        <w:rPr>
          <w:rFonts w:ascii="Calibri" w:hAnsi="Calibri" w:cs="Calibri"/>
          <w:lang w:val="en-GB" w:eastAsia="en-US"/>
        </w:rPr>
        <w:t>ecause they provide contextual evidence that ‘F</w:t>
      </w:r>
      <w:r w:rsidR="0095113B">
        <w:rPr>
          <w:rFonts w:ascii="Calibri" w:hAnsi="Calibri" w:cs="Calibri"/>
          <w:lang w:val="en-GB" w:eastAsia="en-US"/>
        </w:rPr>
        <w:t>ack Ju Göhte</w:t>
      </w:r>
      <w:r w:rsidR="005447CA" w:rsidRPr="00DD65C2">
        <w:rPr>
          <w:rFonts w:ascii="Calibri" w:hAnsi="Calibri" w:cs="Calibri"/>
          <w:lang w:val="en-GB" w:eastAsia="en-US"/>
        </w:rPr>
        <w:t xml:space="preserve">’ is not liable to cause outrage amongst the </w:t>
      </w:r>
      <w:r w:rsidR="00667A0A" w:rsidRPr="00DD65C2">
        <w:rPr>
          <w:rFonts w:ascii="Calibri" w:hAnsi="Calibri" w:cs="Calibri"/>
          <w:lang w:val="en-GB" w:eastAsia="en-US"/>
        </w:rPr>
        <w:t xml:space="preserve">relevant </w:t>
      </w:r>
      <w:r w:rsidR="005447CA" w:rsidRPr="00DD65C2">
        <w:rPr>
          <w:rFonts w:ascii="Calibri" w:hAnsi="Calibri" w:cs="Calibri"/>
          <w:lang w:val="en-GB" w:eastAsia="en-US"/>
        </w:rPr>
        <w:t xml:space="preserve">public, and there is no evidence to the contrary effect, applicant’s request for registration ought to be granted. </w:t>
      </w:r>
    </w:p>
    <w:p w14:paraId="24079AFC" w14:textId="77777777" w:rsidR="00F82258" w:rsidRPr="00DD65C2" w:rsidRDefault="00F82258" w:rsidP="009C65E6">
      <w:pPr>
        <w:jc w:val="both"/>
        <w:rPr>
          <w:rFonts w:ascii="Calibri" w:hAnsi="Calibri" w:cs="Calibri"/>
          <w:lang w:val="en-GB" w:eastAsia="en-US"/>
        </w:rPr>
      </w:pPr>
    </w:p>
    <w:p w14:paraId="37BB9D12" w14:textId="6AB66000" w:rsidR="00F82258" w:rsidRPr="00DD65C2" w:rsidRDefault="00F82258" w:rsidP="00F82258">
      <w:pPr>
        <w:jc w:val="both"/>
        <w:rPr>
          <w:rFonts w:ascii="Calibri" w:hAnsi="Calibri" w:cs="Calibri"/>
          <w:lang w:val="en-GB" w:eastAsia="en-US"/>
        </w:rPr>
      </w:pPr>
      <w:r w:rsidRPr="00DD65C2">
        <w:rPr>
          <w:rFonts w:ascii="Calibri" w:hAnsi="Calibri" w:cs="Calibri"/>
          <w:lang w:val="en-GB" w:eastAsia="en-US"/>
        </w:rPr>
        <w:t xml:space="preserve">In </w:t>
      </w:r>
      <w:r w:rsidR="005447CA" w:rsidRPr="00DD65C2">
        <w:rPr>
          <w:rFonts w:ascii="Calibri" w:hAnsi="Calibri" w:cs="Calibri"/>
          <w:lang w:val="en-GB" w:eastAsia="en-US"/>
        </w:rPr>
        <w:t xml:space="preserve">siding with appellant, the Court </w:t>
      </w:r>
      <w:r w:rsidR="006C73B7" w:rsidRPr="00DD65C2">
        <w:rPr>
          <w:rFonts w:ascii="Calibri" w:hAnsi="Calibri" w:cs="Calibri"/>
          <w:lang w:val="en-GB" w:eastAsia="en-US"/>
        </w:rPr>
        <w:t>takes into consideration</w:t>
      </w:r>
      <w:r w:rsidR="005447CA" w:rsidRPr="00DD65C2">
        <w:rPr>
          <w:rFonts w:ascii="Calibri" w:hAnsi="Calibri" w:cs="Calibri"/>
          <w:lang w:val="en-GB" w:eastAsia="en-US"/>
        </w:rPr>
        <w:t xml:space="preserve"> three </w:t>
      </w:r>
      <w:r w:rsidR="006C73B7" w:rsidRPr="00DD65C2">
        <w:rPr>
          <w:rFonts w:ascii="Calibri" w:hAnsi="Calibri" w:cs="Calibri"/>
          <w:lang w:val="en-GB" w:eastAsia="en-US"/>
        </w:rPr>
        <w:t>additional</w:t>
      </w:r>
      <w:r w:rsidR="005447CA" w:rsidRPr="00DD65C2">
        <w:rPr>
          <w:rFonts w:ascii="Calibri" w:hAnsi="Calibri" w:cs="Calibri"/>
          <w:lang w:val="en-GB" w:eastAsia="en-US"/>
        </w:rPr>
        <w:t xml:space="preserve"> factors</w:t>
      </w:r>
      <w:r w:rsidRPr="00DD65C2">
        <w:rPr>
          <w:rFonts w:ascii="Calibri" w:hAnsi="Calibri" w:cs="Calibri"/>
          <w:lang w:val="en-GB" w:eastAsia="en-US"/>
        </w:rPr>
        <w:t xml:space="preserve"> that mitigate the applied-for sign’s ability to cause outrage amongst the relevant public</w:t>
      </w:r>
      <w:r w:rsidR="005447CA" w:rsidRPr="00DD65C2">
        <w:rPr>
          <w:rFonts w:ascii="Calibri" w:hAnsi="Calibri" w:cs="Calibri"/>
          <w:lang w:val="en-GB" w:eastAsia="en-US"/>
        </w:rPr>
        <w:t>.</w:t>
      </w:r>
      <w:r w:rsidR="005447CA" w:rsidRPr="00DD65C2">
        <w:rPr>
          <w:rStyle w:val="FootnoteReference"/>
          <w:rFonts w:ascii="Calibri" w:hAnsi="Calibri" w:cs="Calibri"/>
        </w:rPr>
        <w:footnoteReference w:id="120"/>
      </w:r>
      <w:r w:rsidRPr="00DD65C2">
        <w:rPr>
          <w:rFonts w:ascii="Calibri" w:hAnsi="Calibri" w:cs="Calibri"/>
          <w:lang w:val="en-GB" w:eastAsia="en-US"/>
        </w:rPr>
        <w:t xml:space="preserve"> </w:t>
      </w:r>
      <w:r w:rsidR="005447CA" w:rsidRPr="00DD65C2">
        <w:rPr>
          <w:rFonts w:ascii="Calibri" w:hAnsi="Calibri" w:cs="Calibri"/>
          <w:lang w:val="en-GB" w:eastAsia="en-US"/>
        </w:rPr>
        <w:t xml:space="preserve">First, the applied-for sign contains an element that </w:t>
      </w:r>
      <w:r w:rsidR="00A71276" w:rsidRPr="00DD65C2">
        <w:rPr>
          <w:rFonts w:ascii="Calibri" w:hAnsi="Calibri" w:cs="Calibri"/>
          <w:lang w:val="en-GB" w:eastAsia="en-US"/>
        </w:rPr>
        <w:t>is not</w:t>
      </w:r>
      <w:r w:rsidR="005447CA" w:rsidRPr="00DD65C2">
        <w:rPr>
          <w:rFonts w:ascii="Calibri" w:hAnsi="Calibri" w:cs="Calibri"/>
          <w:lang w:val="en-GB" w:eastAsia="en-US"/>
        </w:rPr>
        <w:t xml:space="preserve"> vulgar, i.e. the word ‘Göhte’ at the end. Second, the applied-for sign does not consist of the English expression ‘Fuck You’, but rather of its phonetic transcription in German ‘Fack Ju’. And, third, as we saw earlier, the definition of the relevant public as German-speaking reduces the emotional resonance of the curse word ‘Fuck You’ and, consequently, its ability to cause outrage. </w:t>
      </w:r>
      <w:r w:rsidRPr="00DD65C2">
        <w:rPr>
          <w:rFonts w:ascii="Calibri" w:hAnsi="Calibri" w:cs="Calibri"/>
          <w:lang w:val="en-GB"/>
        </w:rPr>
        <w:t xml:space="preserve">Although difficult to determine with any certainty, these considerations are unlikely to carry much weight in the Court’s assessment –and could, presumably, be easily overcome by a showing that the applied-for sign causes outrage amongst the public. After all, these factors do not constitute evidence </w:t>
      </w:r>
      <w:r w:rsidR="00554A0B" w:rsidRPr="00DD65C2">
        <w:rPr>
          <w:rFonts w:ascii="Calibri" w:hAnsi="Calibri" w:cs="Calibri"/>
          <w:lang w:val="en-GB"/>
        </w:rPr>
        <w:t>of the public’s reaction to the applied-for sign, but rather form part of an abstract assessment of the sign’s vulgarit</w:t>
      </w:r>
      <w:r w:rsidR="005B1A83" w:rsidRPr="00DD65C2">
        <w:rPr>
          <w:rFonts w:ascii="Calibri" w:hAnsi="Calibri" w:cs="Calibri"/>
          <w:lang w:val="en-GB"/>
        </w:rPr>
        <w:t xml:space="preserve">y </w:t>
      </w:r>
      <w:r w:rsidR="00554A0B" w:rsidRPr="00DD65C2">
        <w:rPr>
          <w:rFonts w:ascii="Calibri" w:hAnsi="Calibri" w:cs="Calibri"/>
          <w:lang w:val="en-GB"/>
        </w:rPr>
        <w:t>in light of</w:t>
      </w:r>
      <w:r w:rsidR="00A71276" w:rsidRPr="00DD65C2">
        <w:rPr>
          <w:rFonts w:ascii="Calibri" w:hAnsi="Calibri" w:cs="Calibri"/>
          <w:lang w:val="en-GB"/>
        </w:rPr>
        <w:t xml:space="preserve"> </w:t>
      </w:r>
      <w:r w:rsidR="00554A0B" w:rsidRPr="00DD65C2">
        <w:rPr>
          <w:rFonts w:ascii="Calibri" w:hAnsi="Calibri" w:cs="Calibri"/>
          <w:lang w:val="en-GB"/>
        </w:rPr>
        <w:t xml:space="preserve">its signifier, its meaning and the linguistic </w:t>
      </w:r>
      <w:r w:rsidR="00202B0E" w:rsidRPr="00DD65C2">
        <w:rPr>
          <w:rFonts w:ascii="Calibri" w:hAnsi="Calibri" w:cs="Calibri"/>
          <w:lang w:val="en-GB"/>
        </w:rPr>
        <w:t>characteristics</w:t>
      </w:r>
      <w:r w:rsidR="00554A0B" w:rsidRPr="00DD65C2">
        <w:rPr>
          <w:rFonts w:ascii="Calibri" w:hAnsi="Calibri" w:cs="Calibri"/>
          <w:lang w:val="en-GB"/>
        </w:rPr>
        <w:t xml:space="preserve"> of the relevant public. </w:t>
      </w:r>
    </w:p>
    <w:p w14:paraId="266E7FD7" w14:textId="77777777" w:rsidR="007B0527" w:rsidRPr="00DD65C2" w:rsidRDefault="007B0527" w:rsidP="007B0527">
      <w:pPr>
        <w:jc w:val="both"/>
        <w:rPr>
          <w:rFonts w:ascii="Calibri" w:hAnsi="Calibri" w:cs="Calibri"/>
          <w:lang w:val="en-GB" w:eastAsia="en-US"/>
        </w:rPr>
      </w:pPr>
    </w:p>
    <w:p w14:paraId="7443EAF2" w14:textId="715FD1E4" w:rsidR="0070025A" w:rsidRPr="00DD65C2" w:rsidRDefault="008F4525" w:rsidP="0070025A">
      <w:pPr>
        <w:jc w:val="both"/>
        <w:rPr>
          <w:rFonts w:ascii="Calibri" w:hAnsi="Calibri" w:cs="Calibri"/>
          <w:lang w:val="en-GB" w:eastAsia="en-US"/>
        </w:rPr>
      </w:pPr>
      <w:r w:rsidRPr="00DD65C2">
        <w:rPr>
          <w:rFonts w:ascii="Calibri" w:hAnsi="Calibri" w:cs="Calibri"/>
          <w:lang w:val="en-GB" w:eastAsia="en-US"/>
        </w:rPr>
        <w:t xml:space="preserve">In weighing the available evidence, the CJEU shows a fair degree of sophistication. </w:t>
      </w:r>
      <w:r w:rsidR="00772F3D" w:rsidRPr="00DD65C2">
        <w:rPr>
          <w:rFonts w:ascii="Calibri" w:hAnsi="Calibri" w:cs="Calibri"/>
          <w:lang w:val="en-GB" w:eastAsia="en-US"/>
        </w:rPr>
        <w:t>I</w:t>
      </w:r>
      <w:r w:rsidR="007A7194" w:rsidRPr="00DD65C2">
        <w:rPr>
          <w:rFonts w:ascii="Calibri" w:hAnsi="Calibri" w:cs="Calibri"/>
          <w:lang w:val="en-GB" w:eastAsia="en-US"/>
        </w:rPr>
        <w:t>t</w:t>
      </w:r>
      <w:r w:rsidR="00354CCA" w:rsidRPr="00DD65C2">
        <w:rPr>
          <w:rFonts w:ascii="Calibri" w:hAnsi="Calibri" w:cs="Calibri"/>
          <w:lang w:val="en-GB" w:eastAsia="en-US"/>
        </w:rPr>
        <w:t xml:space="preserve"> </w:t>
      </w:r>
      <w:r w:rsidR="00926365" w:rsidRPr="00DD65C2">
        <w:rPr>
          <w:rFonts w:ascii="Calibri" w:hAnsi="Calibri" w:cs="Calibri"/>
          <w:lang w:val="en-GB" w:eastAsia="en-US"/>
        </w:rPr>
        <w:t>distinguishes</w:t>
      </w:r>
      <w:r w:rsidR="00485887" w:rsidRPr="00DD65C2">
        <w:rPr>
          <w:rFonts w:ascii="Calibri" w:hAnsi="Calibri" w:cs="Calibri"/>
          <w:lang w:val="en-GB" w:eastAsia="en-US"/>
        </w:rPr>
        <w:t xml:space="preserve"> between, on the one hand, the global assessment of morality of the applied-for sign that ought to be undertaken in the registration context, and, on the other, the specific use to which such sign had been subjected by the applicant prior to filing for registration. This is a very relevant</w:t>
      </w:r>
      <w:r w:rsidR="00912EFD" w:rsidRPr="00DD65C2">
        <w:rPr>
          <w:rFonts w:ascii="Calibri" w:hAnsi="Calibri" w:cs="Calibri"/>
          <w:lang w:val="en-GB" w:eastAsia="en-US"/>
        </w:rPr>
        <w:t>, and pertinent,</w:t>
      </w:r>
      <w:r w:rsidR="00485887" w:rsidRPr="00DD65C2">
        <w:rPr>
          <w:rFonts w:ascii="Calibri" w:hAnsi="Calibri" w:cs="Calibri"/>
          <w:lang w:val="en-GB" w:eastAsia="en-US"/>
        </w:rPr>
        <w:t xml:space="preserve"> distinction</w:t>
      </w:r>
      <w:r w:rsidR="00912EFD" w:rsidRPr="00DD65C2">
        <w:rPr>
          <w:rFonts w:ascii="Calibri" w:hAnsi="Calibri" w:cs="Calibri"/>
          <w:lang w:val="en-GB" w:eastAsia="en-US"/>
        </w:rPr>
        <w:t xml:space="preserve">. Determining whether the expression ‘Fack Ju’ is </w:t>
      </w:r>
      <w:r w:rsidR="00F120A5" w:rsidRPr="00DD65C2">
        <w:rPr>
          <w:rFonts w:ascii="Calibri" w:hAnsi="Calibri" w:cs="Calibri"/>
          <w:lang w:val="en-GB" w:eastAsia="en-US"/>
        </w:rPr>
        <w:t>contrary to accepted principles of morality i</w:t>
      </w:r>
      <w:r w:rsidR="005D4DCD" w:rsidRPr="00DD65C2">
        <w:rPr>
          <w:rFonts w:ascii="Calibri" w:hAnsi="Calibri" w:cs="Calibri"/>
          <w:lang w:val="en-GB" w:eastAsia="en-US"/>
        </w:rPr>
        <w:t xml:space="preserve">n global terms –that is, in all </w:t>
      </w:r>
      <w:r w:rsidR="00864337" w:rsidRPr="00DD65C2">
        <w:rPr>
          <w:rFonts w:ascii="Calibri" w:hAnsi="Calibri" w:cs="Calibri"/>
          <w:lang w:val="en-GB" w:eastAsia="en-US"/>
        </w:rPr>
        <w:t xml:space="preserve">potential </w:t>
      </w:r>
      <w:r w:rsidR="005D4DCD" w:rsidRPr="00DD65C2">
        <w:rPr>
          <w:rFonts w:ascii="Calibri" w:hAnsi="Calibri" w:cs="Calibri"/>
          <w:lang w:val="en-GB" w:eastAsia="en-US"/>
        </w:rPr>
        <w:t xml:space="preserve">instances </w:t>
      </w:r>
      <w:r w:rsidR="00864337" w:rsidRPr="00DD65C2">
        <w:rPr>
          <w:rFonts w:ascii="Calibri" w:hAnsi="Calibri" w:cs="Calibri"/>
          <w:lang w:val="en-GB" w:eastAsia="en-US"/>
        </w:rPr>
        <w:t xml:space="preserve">of trade mark use </w:t>
      </w:r>
      <w:r w:rsidR="005D4DCD" w:rsidRPr="00DD65C2">
        <w:rPr>
          <w:rFonts w:ascii="Calibri" w:hAnsi="Calibri" w:cs="Calibri"/>
          <w:lang w:val="en-GB" w:eastAsia="en-US"/>
        </w:rPr>
        <w:t>an</w:t>
      </w:r>
      <w:r w:rsidR="00846FBE" w:rsidRPr="00DD65C2">
        <w:rPr>
          <w:rFonts w:ascii="Calibri" w:hAnsi="Calibri" w:cs="Calibri"/>
          <w:lang w:val="en-GB" w:eastAsia="en-US"/>
        </w:rPr>
        <w:t>d</w:t>
      </w:r>
      <w:r w:rsidR="005D4DCD" w:rsidRPr="00DD65C2">
        <w:rPr>
          <w:rFonts w:ascii="Calibri" w:hAnsi="Calibri" w:cs="Calibri"/>
          <w:lang w:val="en-GB" w:eastAsia="en-US"/>
        </w:rPr>
        <w:t xml:space="preserve"> in relation to all members of </w:t>
      </w:r>
      <w:r w:rsidR="00864337" w:rsidRPr="00DD65C2">
        <w:rPr>
          <w:rFonts w:ascii="Calibri" w:hAnsi="Calibri" w:cs="Calibri"/>
          <w:lang w:val="en-GB" w:eastAsia="en-US"/>
        </w:rPr>
        <w:t>the relevant public</w:t>
      </w:r>
      <w:r w:rsidR="005D4DCD" w:rsidRPr="00DD65C2">
        <w:rPr>
          <w:rFonts w:ascii="Calibri" w:hAnsi="Calibri" w:cs="Calibri"/>
          <w:lang w:val="en-GB" w:eastAsia="en-US"/>
        </w:rPr>
        <w:t xml:space="preserve">– is not a realistic endeavour. </w:t>
      </w:r>
      <w:r w:rsidR="00A60E27" w:rsidRPr="00DD65C2">
        <w:rPr>
          <w:rFonts w:ascii="Calibri" w:hAnsi="Calibri" w:cs="Calibri"/>
          <w:lang w:val="en-GB" w:eastAsia="en-US"/>
        </w:rPr>
        <w:t>This likely explains</w:t>
      </w:r>
      <w:r w:rsidR="005D4DCD" w:rsidRPr="00DD65C2">
        <w:rPr>
          <w:rFonts w:ascii="Calibri" w:hAnsi="Calibri" w:cs="Calibri"/>
          <w:lang w:val="en-GB" w:eastAsia="en-US"/>
        </w:rPr>
        <w:t xml:space="preserve"> why most </w:t>
      </w:r>
      <w:r w:rsidR="00CA4514" w:rsidRPr="00DD65C2">
        <w:rPr>
          <w:rFonts w:ascii="Calibri" w:hAnsi="Calibri" w:cs="Calibri"/>
          <w:lang w:val="en-GB" w:eastAsia="en-US"/>
        </w:rPr>
        <w:t>decision-maker</w:t>
      </w:r>
      <w:r w:rsidR="005D4DCD" w:rsidRPr="00DD65C2">
        <w:rPr>
          <w:rFonts w:ascii="Calibri" w:hAnsi="Calibri" w:cs="Calibri"/>
          <w:lang w:val="en-GB" w:eastAsia="en-US"/>
        </w:rPr>
        <w:t xml:space="preserve">s </w:t>
      </w:r>
      <w:r w:rsidR="00A60E27" w:rsidRPr="00DD65C2">
        <w:rPr>
          <w:rFonts w:ascii="Calibri" w:hAnsi="Calibri" w:cs="Calibri"/>
          <w:lang w:val="en-GB" w:eastAsia="en-US"/>
        </w:rPr>
        <w:t>had</w:t>
      </w:r>
      <w:r w:rsidR="005D4DCD" w:rsidRPr="00DD65C2">
        <w:rPr>
          <w:rFonts w:ascii="Calibri" w:hAnsi="Calibri" w:cs="Calibri"/>
          <w:lang w:val="en-GB" w:eastAsia="en-US"/>
        </w:rPr>
        <w:t xml:space="preserve"> </w:t>
      </w:r>
      <w:r w:rsidR="00DB5030" w:rsidRPr="00DD65C2">
        <w:rPr>
          <w:rFonts w:ascii="Calibri" w:hAnsi="Calibri" w:cs="Calibri"/>
          <w:lang w:val="en-GB" w:eastAsia="en-US"/>
        </w:rPr>
        <w:t xml:space="preserve">hitherto </w:t>
      </w:r>
      <w:r w:rsidR="005D4DCD" w:rsidRPr="00DD65C2">
        <w:rPr>
          <w:rFonts w:ascii="Calibri" w:hAnsi="Calibri" w:cs="Calibri"/>
          <w:lang w:val="en-GB" w:eastAsia="en-US"/>
        </w:rPr>
        <w:t xml:space="preserve">opted </w:t>
      </w:r>
      <w:r w:rsidR="00A60E27" w:rsidRPr="00DD65C2">
        <w:rPr>
          <w:rFonts w:ascii="Calibri" w:hAnsi="Calibri" w:cs="Calibri"/>
          <w:lang w:val="en-GB" w:eastAsia="en-US"/>
        </w:rPr>
        <w:t>to undertake</w:t>
      </w:r>
      <w:r w:rsidR="005D4DCD" w:rsidRPr="00DD65C2">
        <w:rPr>
          <w:rFonts w:ascii="Calibri" w:hAnsi="Calibri" w:cs="Calibri"/>
          <w:lang w:val="en-GB" w:eastAsia="en-US"/>
        </w:rPr>
        <w:t xml:space="preserve"> an abstract assessment of an applied-for sign’s compatibility with society’s moral values. But the CJEU has now </w:t>
      </w:r>
      <w:r w:rsidR="0076681E" w:rsidRPr="00DD65C2">
        <w:rPr>
          <w:rFonts w:ascii="Calibri" w:hAnsi="Calibri" w:cs="Calibri"/>
          <w:lang w:val="en-GB" w:eastAsia="en-US"/>
        </w:rPr>
        <w:t>rejected this possibility. To bridge this gap, the Court relies on contextual evidence that the applied-for sign is/is not morally</w:t>
      </w:r>
      <w:r w:rsidR="0095113B">
        <w:rPr>
          <w:rFonts w:ascii="Calibri" w:hAnsi="Calibri" w:cs="Calibri"/>
          <w:lang w:val="en-GB" w:eastAsia="en-US"/>
        </w:rPr>
        <w:t xml:space="preserve"> </w:t>
      </w:r>
      <w:r w:rsidR="0076681E" w:rsidRPr="00DD65C2">
        <w:rPr>
          <w:rFonts w:ascii="Calibri" w:hAnsi="Calibri" w:cs="Calibri"/>
          <w:lang w:val="en-GB" w:eastAsia="en-US"/>
        </w:rPr>
        <w:t xml:space="preserve">objectionable. </w:t>
      </w:r>
      <w:r w:rsidR="00A73562" w:rsidRPr="00DD65C2">
        <w:rPr>
          <w:rFonts w:ascii="Calibri" w:hAnsi="Calibri" w:cs="Calibri"/>
          <w:lang w:val="en-GB" w:eastAsia="en-US"/>
        </w:rPr>
        <w:t xml:space="preserve">According to the Court, </w:t>
      </w:r>
      <w:r w:rsidR="00AD5826" w:rsidRPr="00DD65C2">
        <w:rPr>
          <w:rFonts w:ascii="Calibri" w:hAnsi="Calibri" w:cs="Calibri"/>
          <w:lang w:val="en-GB" w:eastAsia="en-US"/>
        </w:rPr>
        <w:t>‘</w:t>
      </w:r>
      <w:r w:rsidR="00A73562" w:rsidRPr="00DD65C2">
        <w:rPr>
          <w:rFonts w:ascii="Calibri" w:hAnsi="Calibri" w:cs="Calibri"/>
          <w:lang w:val="en-GB" w:eastAsia="en-US"/>
        </w:rPr>
        <w:t>the fact that it is […] [the applied-for] mark itself which is to be examined does not mean that […] contextual elements capable of shedding light on how the relevant public perceives that mark could be disregarded.</w:t>
      </w:r>
      <w:r w:rsidR="00AD5826" w:rsidRPr="00DD65C2">
        <w:rPr>
          <w:rFonts w:ascii="Calibri" w:hAnsi="Calibri" w:cs="Calibri"/>
          <w:lang w:val="en-GB" w:eastAsia="en-US"/>
        </w:rPr>
        <w:t>’</w:t>
      </w:r>
      <w:r w:rsidR="00A73562" w:rsidRPr="00DD65C2">
        <w:rPr>
          <w:rStyle w:val="FootnoteReference"/>
          <w:rFonts w:ascii="Calibri" w:hAnsi="Calibri" w:cs="Calibri"/>
        </w:rPr>
        <w:footnoteReference w:id="121"/>
      </w:r>
      <w:r w:rsidR="00A73562" w:rsidRPr="00DD65C2">
        <w:rPr>
          <w:rFonts w:ascii="Calibri" w:hAnsi="Calibri" w:cs="Calibri"/>
          <w:lang w:val="en-GB" w:eastAsia="en-US"/>
        </w:rPr>
        <w:t xml:space="preserve"> </w:t>
      </w:r>
      <w:r w:rsidR="0076681E" w:rsidRPr="00DD65C2">
        <w:rPr>
          <w:rFonts w:ascii="Calibri" w:hAnsi="Calibri" w:cs="Calibri"/>
          <w:lang w:val="en-GB" w:eastAsia="en-US"/>
        </w:rPr>
        <w:t xml:space="preserve">But </w:t>
      </w:r>
      <w:r w:rsidR="00A73562" w:rsidRPr="00DD65C2">
        <w:rPr>
          <w:rFonts w:ascii="Calibri" w:hAnsi="Calibri" w:cs="Calibri"/>
          <w:lang w:val="en-GB" w:eastAsia="en-US"/>
        </w:rPr>
        <w:t>contextual</w:t>
      </w:r>
      <w:r w:rsidR="0076681E" w:rsidRPr="00DD65C2">
        <w:rPr>
          <w:rFonts w:ascii="Calibri" w:hAnsi="Calibri" w:cs="Calibri"/>
          <w:lang w:val="en-GB" w:eastAsia="en-US"/>
        </w:rPr>
        <w:t xml:space="preserve"> evidence is necessarily limited in scope, in the sense that it cannot possibly capture all instances where the applied-for sign will be deemed morally</w:t>
      </w:r>
      <w:r w:rsidR="0095113B">
        <w:rPr>
          <w:rFonts w:ascii="Calibri" w:hAnsi="Calibri" w:cs="Calibri"/>
          <w:lang w:val="en-GB" w:eastAsia="en-US"/>
        </w:rPr>
        <w:t xml:space="preserve"> </w:t>
      </w:r>
      <w:r w:rsidR="0076681E" w:rsidRPr="00DD65C2">
        <w:rPr>
          <w:rFonts w:ascii="Calibri" w:hAnsi="Calibri" w:cs="Calibri"/>
          <w:lang w:val="en-GB" w:eastAsia="en-US"/>
        </w:rPr>
        <w:t xml:space="preserve">objectionable or </w:t>
      </w:r>
      <w:r w:rsidR="00CC54F4" w:rsidRPr="00DD65C2">
        <w:rPr>
          <w:rFonts w:ascii="Calibri" w:hAnsi="Calibri" w:cs="Calibri"/>
          <w:lang w:val="en-GB" w:eastAsia="en-US"/>
        </w:rPr>
        <w:t>morally</w:t>
      </w:r>
      <w:r w:rsidR="0095113B">
        <w:rPr>
          <w:rFonts w:ascii="Calibri" w:hAnsi="Calibri" w:cs="Calibri"/>
          <w:lang w:val="en-GB" w:eastAsia="en-US"/>
        </w:rPr>
        <w:t xml:space="preserve"> </w:t>
      </w:r>
      <w:r w:rsidR="00CC54F4" w:rsidRPr="00DD65C2">
        <w:rPr>
          <w:rFonts w:ascii="Calibri" w:hAnsi="Calibri" w:cs="Calibri"/>
          <w:lang w:val="en-GB" w:eastAsia="en-US"/>
        </w:rPr>
        <w:t>acceptable</w:t>
      </w:r>
      <w:r w:rsidR="00DB5030" w:rsidRPr="00DD65C2">
        <w:rPr>
          <w:rFonts w:ascii="Calibri" w:hAnsi="Calibri" w:cs="Calibri"/>
          <w:lang w:val="en-GB" w:eastAsia="en-US"/>
        </w:rPr>
        <w:t xml:space="preserve"> by the relevant public</w:t>
      </w:r>
      <w:r w:rsidR="0076681E" w:rsidRPr="00DD65C2">
        <w:rPr>
          <w:rFonts w:ascii="Calibri" w:hAnsi="Calibri" w:cs="Calibri"/>
          <w:lang w:val="en-GB" w:eastAsia="en-US"/>
        </w:rPr>
        <w:t xml:space="preserve">. </w:t>
      </w:r>
      <w:r w:rsidR="00CC54F4" w:rsidRPr="00DD65C2">
        <w:rPr>
          <w:rFonts w:ascii="Calibri" w:hAnsi="Calibri" w:cs="Calibri"/>
          <w:lang w:val="en-GB" w:eastAsia="en-US"/>
        </w:rPr>
        <w:t>The</w:t>
      </w:r>
      <w:r w:rsidR="0076681E" w:rsidRPr="00DD65C2">
        <w:rPr>
          <w:rFonts w:ascii="Calibri" w:hAnsi="Calibri" w:cs="Calibri"/>
          <w:lang w:val="en-GB" w:eastAsia="en-US"/>
        </w:rPr>
        <w:t xml:space="preserve"> Court acknowledges </w:t>
      </w:r>
      <w:r w:rsidR="00CC54F4" w:rsidRPr="00DD65C2">
        <w:rPr>
          <w:rFonts w:ascii="Calibri" w:hAnsi="Calibri" w:cs="Calibri"/>
          <w:lang w:val="en-GB" w:eastAsia="en-US"/>
        </w:rPr>
        <w:t xml:space="preserve">as much when it holds </w:t>
      </w:r>
      <w:r w:rsidR="0076681E" w:rsidRPr="00DD65C2">
        <w:rPr>
          <w:rFonts w:ascii="Calibri" w:hAnsi="Calibri" w:cs="Calibri"/>
          <w:lang w:val="en-GB" w:eastAsia="en-US"/>
        </w:rPr>
        <w:t xml:space="preserve">that </w:t>
      </w:r>
      <w:r w:rsidR="00AD5826" w:rsidRPr="00DD65C2">
        <w:rPr>
          <w:rFonts w:ascii="Calibri" w:hAnsi="Calibri" w:cs="Calibri"/>
          <w:lang w:val="en-GB" w:eastAsia="en-US"/>
        </w:rPr>
        <w:t>‘</w:t>
      </w:r>
      <w:r w:rsidR="0076681E" w:rsidRPr="00DD65C2">
        <w:rPr>
          <w:rFonts w:ascii="Calibri" w:hAnsi="Calibri" w:cs="Calibri"/>
          <w:lang w:val="en-GB" w:eastAsia="en-US"/>
        </w:rPr>
        <w:t>although the success of a film does not automatically prove the social acceptance of</w:t>
      </w:r>
      <w:r w:rsidR="006C1593" w:rsidRPr="00DD65C2">
        <w:rPr>
          <w:rFonts w:ascii="Calibri" w:hAnsi="Calibri" w:cs="Calibri"/>
          <w:lang w:val="en-GB" w:eastAsia="en-US"/>
        </w:rPr>
        <w:t xml:space="preserve"> </w:t>
      </w:r>
      <w:r w:rsidR="0076681E" w:rsidRPr="00DD65C2">
        <w:rPr>
          <w:rFonts w:ascii="Calibri" w:hAnsi="Calibri" w:cs="Calibri"/>
          <w:lang w:val="en-GB" w:eastAsia="en-US"/>
        </w:rPr>
        <w:t>its title and of a word sign of the same name, it is at least an indication of such acceptance</w:t>
      </w:r>
      <w:r w:rsidR="00AD5826" w:rsidRPr="00DD65C2">
        <w:rPr>
          <w:rFonts w:ascii="Calibri" w:hAnsi="Calibri" w:cs="Calibri"/>
          <w:lang w:val="en-GB" w:eastAsia="en-US"/>
        </w:rPr>
        <w:t>’</w:t>
      </w:r>
      <w:r w:rsidR="0076681E" w:rsidRPr="00DD65C2">
        <w:rPr>
          <w:rFonts w:ascii="Calibri" w:hAnsi="Calibri" w:cs="Calibri"/>
          <w:lang w:val="en-GB" w:eastAsia="en-US"/>
        </w:rPr>
        <w:t>.</w:t>
      </w:r>
      <w:r w:rsidR="006C1593" w:rsidRPr="00DD65C2">
        <w:rPr>
          <w:rStyle w:val="FootnoteReference"/>
          <w:rFonts w:ascii="Calibri" w:hAnsi="Calibri" w:cs="Calibri"/>
        </w:rPr>
        <w:footnoteReference w:id="122"/>
      </w:r>
      <w:r w:rsidR="0076681E" w:rsidRPr="00DD65C2">
        <w:rPr>
          <w:rFonts w:ascii="Calibri" w:hAnsi="Calibri" w:cs="Calibri"/>
          <w:lang w:val="en-GB" w:eastAsia="en-US"/>
        </w:rPr>
        <w:t xml:space="preserve"> </w:t>
      </w:r>
      <w:r w:rsidR="006C1593" w:rsidRPr="00DD65C2">
        <w:rPr>
          <w:rFonts w:ascii="Calibri" w:hAnsi="Calibri" w:cs="Calibri"/>
          <w:lang w:val="en-GB" w:eastAsia="en-US"/>
        </w:rPr>
        <w:t xml:space="preserve">By the same token, the CJEU is willing to concede that contextual evidence to the opposite </w:t>
      </w:r>
      <w:r w:rsidR="00CC54F4" w:rsidRPr="00DD65C2">
        <w:rPr>
          <w:rFonts w:ascii="Calibri" w:hAnsi="Calibri" w:cs="Calibri"/>
          <w:lang w:val="en-GB" w:eastAsia="en-US"/>
        </w:rPr>
        <w:t>effect may well exist</w:t>
      </w:r>
      <w:r w:rsidR="006C1593" w:rsidRPr="00DD65C2">
        <w:rPr>
          <w:rFonts w:ascii="Calibri" w:hAnsi="Calibri" w:cs="Calibri"/>
          <w:lang w:val="en-GB" w:eastAsia="en-US"/>
        </w:rPr>
        <w:t xml:space="preserve"> and could, potentially, frustrate applicant’s efforts to have the sign registered as a mark.</w:t>
      </w:r>
      <w:r w:rsidR="0070025A" w:rsidRPr="00DD65C2">
        <w:rPr>
          <w:rFonts w:ascii="Calibri" w:hAnsi="Calibri" w:cs="Calibri"/>
          <w:lang w:val="en-GB" w:eastAsia="en-US"/>
        </w:rPr>
        <w:t xml:space="preserve"> In the case at hand, however, the lack of any </w:t>
      </w:r>
      <w:r w:rsidR="00354CCA" w:rsidRPr="00DD65C2">
        <w:rPr>
          <w:rFonts w:ascii="Calibri" w:hAnsi="Calibri" w:cs="Calibri"/>
          <w:lang w:val="en-GB" w:eastAsia="en-US"/>
        </w:rPr>
        <w:t xml:space="preserve">such </w:t>
      </w:r>
      <w:r w:rsidR="0070025A" w:rsidRPr="00DD65C2">
        <w:rPr>
          <w:rFonts w:ascii="Calibri" w:hAnsi="Calibri" w:cs="Calibri"/>
          <w:lang w:val="en-GB" w:eastAsia="en-US"/>
        </w:rPr>
        <w:t xml:space="preserve">evidence serves the Court to easily find in favour of the applicant. In </w:t>
      </w:r>
      <w:r w:rsidR="00DC680D" w:rsidRPr="00DD65C2">
        <w:rPr>
          <w:rFonts w:ascii="Calibri" w:hAnsi="Calibri" w:cs="Calibri"/>
          <w:lang w:val="en-GB" w:eastAsia="en-US"/>
        </w:rPr>
        <w:t>its own words</w:t>
      </w:r>
      <w:r w:rsidR="0070025A" w:rsidRPr="00DD65C2">
        <w:rPr>
          <w:rFonts w:ascii="Calibri" w:hAnsi="Calibri" w:cs="Calibri"/>
          <w:lang w:val="en-GB" w:eastAsia="en-US"/>
        </w:rPr>
        <w:t>:</w:t>
      </w:r>
    </w:p>
    <w:p w14:paraId="4B2861AB" w14:textId="6C994211" w:rsidR="00A73562" w:rsidRPr="00DD65C2" w:rsidRDefault="00A73562" w:rsidP="0076681E">
      <w:pPr>
        <w:jc w:val="both"/>
        <w:rPr>
          <w:rFonts w:ascii="Calibri" w:hAnsi="Calibri" w:cs="Calibri"/>
          <w:lang w:val="en-GB" w:eastAsia="en-US"/>
        </w:rPr>
      </w:pPr>
    </w:p>
    <w:p w14:paraId="76D8D228" w14:textId="1A7BCD27" w:rsidR="0070025A" w:rsidRPr="00DD65C2" w:rsidRDefault="00427AA7" w:rsidP="0070025A">
      <w:pPr>
        <w:ind w:left="720"/>
        <w:jc w:val="both"/>
        <w:rPr>
          <w:rFonts w:ascii="Calibri" w:hAnsi="Calibri" w:cs="Calibri"/>
          <w:lang w:val="en-GB" w:eastAsia="en-US"/>
        </w:rPr>
      </w:pPr>
      <w:r w:rsidRPr="00DD65C2">
        <w:rPr>
          <w:rFonts w:ascii="Calibri" w:hAnsi="Calibri" w:cs="Calibri"/>
          <w:lang w:val="en-GB" w:eastAsia="en-US"/>
        </w:rPr>
        <w:lastRenderedPageBreak/>
        <w:t>[I]</w:t>
      </w:r>
      <w:r w:rsidR="0070025A" w:rsidRPr="00DD65C2">
        <w:rPr>
          <w:rFonts w:ascii="Calibri" w:hAnsi="Calibri" w:cs="Calibri"/>
          <w:lang w:val="en-GB" w:eastAsia="en-US"/>
        </w:rPr>
        <w:t>n view of the fact that no concrete evidence has been put forward plausibly to explain why the German-speaking public at large will perceive the word sign ‘Fack Ju Göhte’ as going against the fundamental moral values and standards of society when it is used as a trade mark, even though that same public does not appear to have considered the title of the eponymous comedies to be contrary to accepted principles of morality, it must be held that the EUIPO [was wrong to deny registration to the applied-for mark].</w:t>
      </w:r>
      <w:r w:rsidR="0070025A" w:rsidRPr="00DD65C2">
        <w:rPr>
          <w:rStyle w:val="FootnoteReference"/>
          <w:rFonts w:ascii="Calibri" w:hAnsi="Calibri" w:cs="Calibri"/>
        </w:rPr>
        <w:footnoteReference w:id="123"/>
      </w:r>
    </w:p>
    <w:p w14:paraId="78EE2469" w14:textId="425B7FA0" w:rsidR="00485887" w:rsidRPr="00DD65C2" w:rsidRDefault="00485887" w:rsidP="00504F94">
      <w:pPr>
        <w:jc w:val="both"/>
        <w:rPr>
          <w:rFonts w:ascii="Calibri" w:hAnsi="Calibri" w:cs="Calibri"/>
          <w:lang w:val="en-GB" w:eastAsia="en-US"/>
        </w:rPr>
      </w:pPr>
    </w:p>
    <w:p w14:paraId="7F2C5685" w14:textId="3E88BBA6" w:rsidR="005B23EE" w:rsidRPr="00DD65C2" w:rsidRDefault="005B23EE" w:rsidP="005B23EE">
      <w:pPr>
        <w:jc w:val="both"/>
        <w:rPr>
          <w:rFonts w:ascii="Calibri" w:hAnsi="Calibri" w:cs="Calibri"/>
          <w:lang w:val="en-GB"/>
        </w:rPr>
      </w:pPr>
      <w:r w:rsidRPr="00DD65C2">
        <w:rPr>
          <w:rFonts w:ascii="Calibri" w:hAnsi="Calibri" w:cs="Calibri"/>
          <w:lang w:val="en-GB" w:eastAsia="en-US"/>
        </w:rPr>
        <w:t xml:space="preserve">The adoption, by the CJEU, of an empirical test of morality in </w:t>
      </w:r>
      <w:r w:rsidRPr="00DD65C2">
        <w:rPr>
          <w:rFonts w:ascii="Calibri" w:hAnsi="Calibri" w:cs="Calibri"/>
          <w:i/>
          <w:iCs/>
          <w:lang w:val="en-GB" w:eastAsia="en-US"/>
        </w:rPr>
        <w:t>Constantin Film Produktion</w:t>
      </w:r>
      <w:r w:rsidRPr="00DD65C2">
        <w:rPr>
          <w:rFonts w:ascii="Calibri" w:hAnsi="Calibri" w:cs="Calibri"/>
          <w:lang w:val="en-GB" w:eastAsia="en-US"/>
        </w:rPr>
        <w:t xml:space="preserve"> will arguably broaden the range of marks that can be registered under the exclusion. After all, the lack of evidence of an applied-for sign’s ability to cause outrage amongst the relevant public will lead the trade mark office to grant it registration. More importantly, by harmonising the applicable legal test to the morality exclusion, this decision is </w:t>
      </w:r>
      <w:r w:rsidRPr="00DD65C2">
        <w:rPr>
          <w:rFonts w:ascii="Calibri" w:hAnsi="Calibri" w:cs="Calibri"/>
          <w:lang w:val="en-GB"/>
        </w:rPr>
        <w:t xml:space="preserve">bound to bring clarity and consistency to the interpretation of Article 7(1)(f) EUTMR in Europe. </w:t>
      </w:r>
    </w:p>
    <w:p w14:paraId="4B3C0427" w14:textId="63002D31" w:rsidR="005B23EE" w:rsidRPr="00DD65C2" w:rsidRDefault="005B23EE" w:rsidP="00504F94">
      <w:pPr>
        <w:jc w:val="both"/>
        <w:rPr>
          <w:rFonts w:ascii="Calibri" w:hAnsi="Calibri" w:cs="Calibri"/>
          <w:lang w:val="en-GB" w:eastAsia="en-US"/>
        </w:rPr>
      </w:pPr>
    </w:p>
    <w:p w14:paraId="35D77109" w14:textId="4101128C" w:rsidR="00146A96" w:rsidRPr="00DD65C2" w:rsidRDefault="008D4003" w:rsidP="00504F94">
      <w:pPr>
        <w:jc w:val="both"/>
        <w:rPr>
          <w:rFonts w:ascii="Calibri" w:hAnsi="Calibri" w:cs="Calibri"/>
          <w:lang w:val="en-GB" w:eastAsia="en-US"/>
        </w:rPr>
      </w:pPr>
      <w:r w:rsidRPr="00DD65C2">
        <w:rPr>
          <w:rFonts w:ascii="Calibri" w:hAnsi="Calibri" w:cs="Calibri"/>
          <w:lang w:val="en-GB"/>
        </w:rPr>
        <w:t xml:space="preserve">There </w:t>
      </w:r>
      <w:r w:rsidR="0028417A" w:rsidRPr="00DD65C2">
        <w:rPr>
          <w:rFonts w:ascii="Calibri" w:hAnsi="Calibri" w:cs="Calibri"/>
          <w:lang w:val="en-GB"/>
        </w:rPr>
        <w:t>is</w:t>
      </w:r>
      <w:r w:rsidRPr="00DD65C2">
        <w:rPr>
          <w:rFonts w:ascii="Calibri" w:hAnsi="Calibri" w:cs="Calibri"/>
          <w:lang w:val="en-GB"/>
        </w:rPr>
        <w:t xml:space="preserve">, however, </w:t>
      </w:r>
      <w:r w:rsidR="0028417A" w:rsidRPr="00DD65C2">
        <w:rPr>
          <w:rFonts w:ascii="Calibri" w:hAnsi="Calibri" w:cs="Calibri"/>
          <w:lang w:val="en-GB"/>
        </w:rPr>
        <w:t>one</w:t>
      </w:r>
      <w:r w:rsidRPr="00DD65C2">
        <w:rPr>
          <w:rFonts w:ascii="Calibri" w:hAnsi="Calibri" w:cs="Calibri"/>
          <w:lang w:val="en-GB"/>
        </w:rPr>
        <w:t xml:space="preserve"> </w:t>
      </w:r>
      <w:r w:rsidR="002B3C0C" w:rsidRPr="00DD65C2">
        <w:rPr>
          <w:rFonts w:ascii="Calibri" w:hAnsi="Calibri" w:cs="Calibri"/>
          <w:lang w:val="en-GB"/>
        </w:rPr>
        <w:t xml:space="preserve">aspect of the proposed test that </w:t>
      </w:r>
      <w:r w:rsidR="001E6C6B" w:rsidRPr="00DD65C2">
        <w:rPr>
          <w:rFonts w:ascii="Calibri" w:hAnsi="Calibri" w:cs="Calibri"/>
          <w:lang w:val="en-GB"/>
        </w:rPr>
        <w:t xml:space="preserve">can prove problematic for future </w:t>
      </w:r>
      <w:r w:rsidR="00CA4514" w:rsidRPr="00DD65C2">
        <w:rPr>
          <w:rFonts w:ascii="Calibri" w:hAnsi="Calibri" w:cs="Calibri"/>
          <w:lang w:val="en-GB"/>
        </w:rPr>
        <w:t>decision-maker</w:t>
      </w:r>
      <w:r w:rsidR="001E6C6B" w:rsidRPr="00DD65C2">
        <w:rPr>
          <w:rFonts w:ascii="Calibri" w:hAnsi="Calibri" w:cs="Calibri"/>
          <w:lang w:val="en-GB"/>
        </w:rPr>
        <w:t xml:space="preserve">s. </w:t>
      </w:r>
      <w:r w:rsidR="0028417A" w:rsidRPr="00DD65C2">
        <w:rPr>
          <w:rFonts w:ascii="Calibri" w:hAnsi="Calibri" w:cs="Calibri"/>
          <w:lang w:val="en-GB" w:eastAsia="en-US"/>
        </w:rPr>
        <w:t>T</w:t>
      </w:r>
      <w:r w:rsidR="00FB09BB" w:rsidRPr="00DD65C2">
        <w:rPr>
          <w:rFonts w:ascii="Calibri" w:hAnsi="Calibri" w:cs="Calibri"/>
          <w:lang w:val="en-GB" w:eastAsia="en-US"/>
        </w:rPr>
        <w:t xml:space="preserve">he fact pattern </w:t>
      </w:r>
      <w:r w:rsidR="00D91D12" w:rsidRPr="00DD65C2">
        <w:rPr>
          <w:rFonts w:ascii="Calibri" w:hAnsi="Calibri" w:cs="Calibri"/>
          <w:lang w:val="en-GB" w:eastAsia="en-US"/>
        </w:rPr>
        <w:t>in</w:t>
      </w:r>
      <w:r w:rsidR="00FB09BB" w:rsidRPr="00DD65C2">
        <w:rPr>
          <w:rFonts w:ascii="Calibri" w:hAnsi="Calibri" w:cs="Calibri"/>
          <w:lang w:val="en-GB" w:eastAsia="en-US"/>
        </w:rPr>
        <w:t xml:space="preserve"> </w:t>
      </w:r>
      <w:r w:rsidR="00420B24" w:rsidRPr="00DD65C2">
        <w:rPr>
          <w:rFonts w:ascii="Calibri" w:hAnsi="Calibri" w:cs="Calibri"/>
          <w:i/>
          <w:iCs/>
          <w:lang w:val="en-GB" w:eastAsia="en-US"/>
        </w:rPr>
        <w:t>Constantin Film Produktion</w:t>
      </w:r>
      <w:r w:rsidR="00420B24" w:rsidRPr="00DD65C2">
        <w:rPr>
          <w:rFonts w:ascii="Calibri" w:hAnsi="Calibri" w:cs="Calibri"/>
          <w:lang w:val="en-GB" w:eastAsia="en-US"/>
        </w:rPr>
        <w:t xml:space="preserve"> appears to be</w:t>
      </w:r>
      <w:r w:rsidR="00E50A5E" w:rsidRPr="00DD65C2">
        <w:rPr>
          <w:rFonts w:ascii="Calibri" w:hAnsi="Calibri" w:cs="Calibri"/>
          <w:lang w:val="en-GB" w:eastAsia="en-US"/>
        </w:rPr>
        <w:t xml:space="preserve"> ideally suited for </w:t>
      </w:r>
      <w:r w:rsidR="00FB09BB" w:rsidRPr="00DD65C2">
        <w:rPr>
          <w:rFonts w:ascii="Calibri" w:hAnsi="Calibri" w:cs="Calibri"/>
          <w:lang w:val="en-GB" w:eastAsia="en-US"/>
        </w:rPr>
        <w:t>the sort of</w:t>
      </w:r>
      <w:r w:rsidR="00E50A5E" w:rsidRPr="00DD65C2">
        <w:rPr>
          <w:rFonts w:ascii="Calibri" w:hAnsi="Calibri" w:cs="Calibri"/>
          <w:lang w:val="en-GB" w:eastAsia="en-US"/>
        </w:rPr>
        <w:t xml:space="preserve"> fact-sensitive</w:t>
      </w:r>
      <w:r w:rsidR="00FB09BB" w:rsidRPr="00DD65C2">
        <w:rPr>
          <w:rFonts w:ascii="Calibri" w:hAnsi="Calibri" w:cs="Calibri"/>
          <w:lang w:val="en-GB" w:eastAsia="en-US"/>
        </w:rPr>
        <w:t xml:space="preserve">, </w:t>
      </w:r>
      <w:r w:rsidR="00E50A5E" w:rsidRPr="00DD65C2">
        <w:rPr>
          <w:rFonts w:ascii="Calibri" w:hAnsi="Calibri" w:cs="Calibri"/>
          <w:lang w:val="en-GB" w:eastAsia="en-US"/>
        </w:rPr>
        <w:t xml:space="preserve">contextual approach to the moral implications </w:t>
      </w:r>
      <w:r w:rsidR="00F66702" w:rsidRPr="00DD65C2">
        <w:rPr>
          <w:rFonts w:ascii="Calibri" w:hAnsi="Calibri" w:cs="Calibri"/>
          <w:lang w:val="en-GB" w:eastAsia="en-US"/>
        </w:rPr>
        <w:t>of</w:t>
      </w:r>
      <w:r w:rsidR="00E50A5E" w:rsidRPr="00DD65C2">
        <w:rPr>
          <w:rFonts w:ascii="Calibri" w:hAnsi="Calibri" w:cs="Calibri"/>
          <w:lang w:val="en-GB" w:eastAsia="en-US"/>
        </w:rPr>
        <w:t xml:space="preserve"> </w:t>
      </w:r>
      <w:r w:rsidR="00E147C5" w:rsidRPr="00DD65C2">
        <w:rPr>
          <w:rFonts w:ascii="Calibri" w:hAnsi="Calibri" w:cs="Calibri"/>
          <w:lang w:val="en-GB" w:eastAsia="en-US"/>
        </w:rPr>
        <w:t>an</w:t>
      </w:r>
      <w:r w:rsidR="00E50A5E" w:rsidRPr="00DD65C2">
        <w:rPr>
          <w:rFonts w:ascii="Calibri" w:hAnsi="Calibri" w:cs="Calibri"/>
          <w:lang w:val="en-GB" w:eastAsia="en-US"/>
        </w:rPr>
        <w:t xml:space="preserve"> applied-for</w:t>
      </w:r>
      <w:r w:rsidR="00FB09BB" w:rsidRPr="00DD65C2">
        <w:rPr>
          <w:rFonts w:ascii="Calibri" w:hAnsi="Calibri" w:cs="Calibri"/>
          <w:lang w:val="en-GB" w:eastAsia="en-US"/>
        </w:rPr>
        <w:t xml:space="preserve"> </w:t>
      </w:r>
      <w:r w:rsidR="00E50A5E" w:rsidRPr="00DD65C2">
        <w:rPr>
          <w:rFonts w:ascii="Calibri" w:hAnsi="Calibri" w:cs="Calibri"/>
          <w:lang w:val="en-GB" w:eastAsia="en-US"/>
        </w:rPr>
        <w:t>sign</w:t>
      </w:r>
      <w:r w:rsidR="00FB09BB" w:rsidRPr="00DD65C2">
        <w:rPr>
          <w:rFonts w:ascii="Calibri" w:hAnsi="Calibri" w:cs="Calibri"/>
          <w:lang w:val="en-GB" w:eastAsia="en-US"/>
        </w:rPr>
        <w:t xml:space="preserve"> </w:t>
      </w:r>
      <w:r w:rsidR="00F66702" w:rsidRPr="00DD65C2">
        <w:rPr>
          <w:rFonts w:ascii="Calibri" w:hAnsi="Calibri" w:cs="Calibri"/>
          <w:lang w:val="en-GB" w:eastAsia="en-US"/>
        </w:rPr>
        <w:t>developed</w:t>
      </w:r>
      <w:r w:rsidR="00FB09BB" w:rsidRPr="00DD65C2">
        <w:rPr>
          <w:rFonts w:ascii="Calibri" w:hAnsi="Calibri" w:cs="Calibri"/>
          <w:lang w:val="en-GB" w:eastAsia="en-US"/>
        </w:rPr>
        <w:t xml:space="preserve"> by the CJEU. </w:t>
      </w:r>
      <w:r w:rsidR="003F5ACD" w:rsidRPr="00DD65C2">
        <w:rPr>
          <w:rFonts w:ascii="Calibri" w:hAnsi="Calibri" w:cs="Calibri"/>
          <w:lang w:val="en-GB" w:eastAsia="en-US"/>
        </w:rPr>
        <w:t>T</w:t>
      </w:r>
      <w:r w:rsidR="00FB09BB" w:rsidRPr="00DD65C2">
        <w:rPr>
          <w:rFonts w:ascii="Calibri" w:hAnsi="Calibri" w:cs="Calibri"/>
          <w:lang w:val="en-GB" w:eastAsia="en-US"/>
        </w:rPr>
        <w:t>he sign</w:t>
      </w:r>
      <w:r w:rsidR="00E50A5E" w:rsidRPr="00DD65C2">
        <w:rPr>
          <w:rFonts w:ascii="Calibri" w:hAnsi="Calibri" w:cs="Calibri"/>
          <w:lang w:val="en-GB" w:eastAsia="en-US"/>
        </w:rPr>
        <w:t xml:space="preserve"> ha</w:t>
      </w:r>
      <w:r w:rsidR="00FB09BB" w:rsidRPr="00DD65C2">
        <w:rPr>
          <w:rFonts w:ascii="Calibri" w:hAnsi="Calibri" w:cs="Calibri"/>
          <w:lang w:val="en-GB" w:eastAsia="en-US"/>
        </w:rPr>
        <w:t>d</w:t>
      </w:r>
      <w:r w:rsidR="00E50A5E" w:rsidRPr="00DD65C2">
        <w:rPr>
          <w:rFonts w:ascii="Calibri" w:hAnsi="Calibri" w:cs="Calibri"/>
          <w:lang w:val="en-GB" w:eastAsia="en-US"/>
        </w:rPr>
        <w:t xml:space="preserve"> been used </w:t>
      </w:r>
      <w:r w:rsidR="00FB09BB" w:rsidRPr="00DD65C2">
        <w:rPr>
          <w:rFonts w:ascii="Calibri" w:hAnsi="Calibri" w:cs="Calibri"/>
          <w:lang w:val="en-GB" w:eastAsia="en-US"/>
        </w:rPr>
        <w:t xml:space="preserve">extensively </w:t>
      </w:r>
      <w:r w:rsidR="00F66702" w:rsidRPr="00DD65C2">
        <w:rPr>
          <w:rFonts w:ascii="Calibri" w:hAnsi="Calibri" w:cs="Calibri"/>
          <w:lang w:val="en-GB" w:eastAsia="en-US"/>
        </w:rPr>
        <w:t>since 2013</w:t>
      </w:r>
      <w:r w:rsidR="00420B24" w:rsidRPr="00DD65C2">
        <w:rPr>
          <w:rFonts w:ascii="Calibri" w:hAnsi="Calibri" w:cs="Calibri"/>
          <w:lang w:val="en-GB" w:eastAsia="en-US"/>
        </w:rPr>
        <w:t xml:space="preserve"> –</w:t>
      </w:r>
      <w:r w:rsidR="00F66702" w:rsidRPr="00DD65C2">
        <w:rPr>
          <w:rFonts w:ascii="Calibri" w:hAnsi="Calibri" w:cs="Calibri"/>
          <w:lang w:val="en-GB" w:eastAsia="en-US"/>
        </w:rPr>
        <w:t xml:space="preserve">in the title of the </w:t>
      </w:r>
      <w:r w:rsidR="00420B24" w:rsidRPr="00DD65C2">
        <w:rPr>
          <w:rFonts w:ascii="Calibri" w:hAnsi="Calibri" w:cs="Calibri"/>
          <w:lang w:val="en-GB" w:eastAsia="en-US"/>
        </w:rPr>
        <w:t xml:space="preserve">eponymous </w:t>
      </w:r>
      <w:r w:rsidR="00F66702" w:rsidRPr="00DD65C2">
        <w:rPr>
          <w:rFonts w:ascii="Calibri" w:hAnsi="Calibri" w:cs="Calibri"/>
          <w:lang w:val="en-GB" w:eastAsia="en-US"/>
        </w:rPr>
        <w:t>movi</w:t>
      </w:r>
      <w:r w:rsidR="00420B24" w:rsidRPr="00DD65C2">
        <w:rPr>
          <w:rFonts w:ascii="Calibri" w:hAnsi="Calibri" w:cs="Calibri"/>
          <w:lang w:val="en-GB" w:eastAsia="en-US"/>
        </w:rPr>
        <w:t>es</w:t>
      </w:r>
      <w:r w:rsidR="00F66702" w:rsidRPr="00DD65C2">
        <w:rPr>
          <w:rFonts w:ascii="Calibri" w:hAnsi="Calibri" w:cs="Calibri"/>
          <w:lang w:val="en-GB" w:eastAsia="en-US"/>
        </w:rPr>
        <w:t xml:space="preserve"> and, presumably, on related marketing campaigns, merchandising, etc.</w:t>
      </w:r>
      <w:r w:rsidR="00420B24" w:rsidRPr="00DD65C2">
        <w:rPr>
          <w:rFonts w:ascii="Calibri" w:hAnsi="Calibri" w:cs="Calibri"/>
          <w:lang w:val="en-GB" w:eastAsia="en-US"/>
        </w:rPr>
        <w:t xml:space="preserve">– </w:t>
      </w:r>
      <w:r w:rsidR="00F66702" w:rsidRPr="00DD65C2">
        <w:rPr>
          <w:rFonts w:ascii="Calibri" w:hAnsi="Calibri" w:cs="Calibri"/>
          <w:lang w:val="en-GB" w:eastAsia="en-US"/>
        </w:rPr>
        <w:t xml:space="preserve">and, thus, prior to the applicant’s </w:t>
      </w:r>
      <w:r w:rsidR="00FB09BB" w:rsidRPr="00DD65C2">
        <w:rPr>
          <w:rFonts w:ascii="Calibri" w:hAnsi="Calibri" w:cs="Calibri"/>
          <w:lang w:val="en-GB" w:eastAsia="en-US"/>
        </w:rPr>
        <w:t>filing</w:t>
      </w:r>
      <w:r w:rsidR="00F66702" w:rsidRPr="00DD65C2">
        <w:rPr>
          <w:rFonts w:ascii="Calibri" w:hAnsi="Calibri" w:cs="Calibri"/>
          <w:lang w:val="en-GB" w:eastAsia="en-US"/>
        </w:rPr>
        <w:t xml:space="preserve"> </w:t>
      </w:r>
      <w:r w:rsidR="00D91D12" w:rsidRPr="00DD65C2">
        <w:rPr>
          <w:rFonts w:ascii="Calibri" w:hAnsi="Calibri" w:cs="Calibri"/>
          <w:lang w:val="en-GB" w:eastAsia="en-US"/>
        </w:rPr>
        <w:t>for registration</w:t>
      </w:r>
      <w:r w:rsidR="00F66702" w:rsidRPr="00DD65C2">
        <w:rPr>
          <w:rFonts w:ascii="Calibri" w:hAnsi="Calibri" w:cs="Calibri"/>
          <w:lang w:val="en-GB" w:eastAsia="en-US"/>
        </w:rPr>
        <w:t xml:space="preserve">, in 2015. </w:t>
      </w:r>
      <w:r w:rsidR="00071CCB" w:rsidRPr="00DD65C2">
        <w:rPr>
          <w:rFonts w:ascii="Calibri" w:hAnsi="Calibri" w:cs="Calibri"/>
          <w:lang w:val="en-GB" w:eastAsia="en-US"/>
        </w:rPr>
        <w:t>This begs the question</w:t>
      </w:r>
      <w:r w:rsidR="00FD1168" w:rsidRPr="00DD65C2">
        <w:rPr>
          <w:rFonts w:ascii="Calibri" w:hAnsi="Calibri" w:cs="Calibri"/>
          <w:lang w:val="en-GB" w:eastAsia="en-US"/>
        </w:rPr>
        <w:t xml:space="preserve">: how are </w:t>
      </w:r>
      <w:r w:rsidR="006B2D0C" w:rsidRPr="00DD65C2">
        <w:rPr>
          <w:rFonts w:ascii="Calibri" w:hAnsi="Calibri" w:cs="Calibri"/>
          <w:lang w:val="en-GB" w:eastAsia="en-US"/>
        </w:rPr>
        <w:t xml:space="preserve">trade mark offices and appeal courts </w:t>
      </w:r>
      <w:r w:rsidR="00FD1168" w:rsidRPr="00DD65C2">
        <w:rPr>
          <w:rFonts w:ascii="Calibri" w:hAnsi="Calibri" w:cs="Calibri"/>
          <w:lang w:val="en-GB" w:eastAsia="en-US"/>
        </w:rPr>
        <w:t xml:space="preserve">expected to undertake this fact-sensitive, contextual analysis in instances of applied-for signs that have not yet been used, or only to a limited extent? </w:t>
      </w:r>
    </w:p>
    <w:p w14:paraId="2A2D3437" w14:textId="77777777" w:rsidR="00146A96" w:rsidRPr="00DD65C2" w:rsidRDefault="00146A96" w:rsidP="00504F94">
      <w:pPr>
        <w:jc w:val="both"/>
        <w:rPr>
          <w:rFonts w:ascii="Calibri" w:hAnsi="Calibri" w:cs="Calibri"/>
          <w:lang w:val="en-GB" w:eastAsia="en-US"/>
        </w:rPr>
      </w:pPr>
    </w:p>
    <w:p w14:paraId="3C11E310" w14:textId="38999CB5" w:rsidR="00B10523" w:rsidRPr="00DD65C2" w:rsidRDefault="00E865AC" w:rsidP="00B10523">
      <w:pPr>
        <w:jc w:val="both"/>
        <w:rPr>
          <w:rFonts w:ascii="Calibri" w:hAnsi="Calibri" w:cs="Calibri"/>
          <w:lang w:val="en-GB" w:eastAsia="en-US"/>
        </w:rPr>
      </w:pPr>
      <w:r w:rsidRPr="00DD65C2">
        <w:rPr>
          <w:rFonts w:ascii="Calibri" w:hAnsi="Calibri" w:cs="Calibri"/>
          <w:lang w:val="en-GB" w:eastAsia="en-US"/>
        </w:rPr>
        <w:t>Admittedly, t</w:t>
      </w:r>
      <w:r w:rsidR="00FD1168" w:rsidRPr="00DD65C2">
        <w:rPr>
          <w:rFonts w:ascii="Calibri" w:hAnsi="Calibri" w:cs="Calibri"/>
          <w:lang w:val="en-GB" w:eastAsia="en-US"/>
        </w:rPr>
        <w:t xml:space="preserve">he CJEU provides some guidance on potential sources of evidence that </w:t>
      </w:r>
      <w:r w:rsidR="00F73EEF" w:rsidRPr="00DD65C2">
        <w:rPr>
          <w:rFonts w:ascii="Calibri" w:hAnsi="Calibri" w:cs="Calibri"/>
          <w:lang w:val="en-GB" w:eastAsia="en-US"/>
        </w:rPr>
        <w:t>could</w:t>
      </w:r>
      <w:r w:rsidR="00FD1168" w:rsidRPr="00DD65C2">
        <w:rPr>
          <w:rFonts w:ascii="Calibri" w:hAnsi="Calibri" w:cs="Calibri"/>
          <w:lang w:val="en-GB" w:eastAsia="en-US"/>
        </w:rPr>
        <w:t xml:space="preserve"> be relied upon </w:t>
      </w:r>
      <w:r w:rsidR="006B2D0C" w:rsidRPr="00DD65C2">
        <w:rPr>
          <w:rFonts w:ascii="Calibri" w:hAnsi="Calibri" w:cs="Calibri"/>
          <w:lang w:val="en-GB" w:eastAsia="en-US"/>
        </w:rPr>
        <w:t xml:space="preserve">by decision-makers </w:t>
      </w:r>
      <w:r w:rsidR="00FD1168" w:rsidRPr="00DD65C2">
        <w:rPr>
          <w:rFonts w:ascii="Calibri" w:hAnsi="Calibri" w:cs="Calibri"/>
          <w:lang w:val="en-GB" w:eastAsia="en-US"/>
        </w:rPr>
        <w:t>to determine the public’s reaction to the morally</w:t>
      </w:r>
      <w:r w:rsidR="00354193">
        <w:rPr>
          <w:rFonts w:ascii="Calibri" w:hAnsi="Calibri" w:cs="Calibri"/>
          <w:lang w:val="en-GB" w:eastAsia="en-US"/>
        </w:rPr>
        <w:t xml:space="preserve"> </w:t>
      </w:r>
      <w:r w:rsidR="00FD1168" w:rsidRPr="00DD65C2">
        <w:rPr>
          <w:rFonts w:ascii="Calibri" w:hAnsi="Calibri" w:cs="Calibri"/>
          <w:lang w:val="en-GB" w:eastAsia="en-US"/>
        </w:rPr>
        <w:t>objectionable meaning conveyed by the applied-for sign, ‘such as legislation and administrative practices, public opinion and, where appropriate, the way in which the relevant public has reacted in the past to that sign or similar signs’.</w:t>
      </w:r>
      <w:r w:rsidR="00FD1168" w:rsidRPr="00DD65C2">
        <w:rPr>
          <w:rStyle w:val="FootnoteReference"/>
          <w:rFonts w:ascii="Calibri" w:hAnsi="Calibri" w:cs="Calibri"/>
        </w:rPr>
        <w:footnoteReference w:id="124"/>
      </w:r>
      <w:r w:rsidR="00AC0EB0" w:rsidRPr="00DD65C2">
        <w:rPr>
          <w:rFonts w:ascii="Calibri" w:hAnsi="Calibri" w:cs="Calibri"/>
          <w:lang w:val="en-GB" w:eastAsia="en-US"/>
        </w:rPr>
        <w:t xml:space="preserve"> I</w:t>
      </w:r>
      <w:r w:rsidR="00526ABC" w:rsidRPr="00DD65C2">
        <w:rPr>
          <w:rFonts w:ascii="Calibri" w:hAnsi="Calibri" w:cs="Calibri"/>
          <w:lang w:val="en-GB" w:eastAsia="en-US"/>
        </w:rPr>
        <w:t>t is unclear</w:t>
      </w:r>
      <w:r w:rsidRPr="00DD65C2">
        <w:rPr>
          <w:rFonts w:ascii="Calibri" w:hAnsi="Calibri" w:cs="Calibri"/>
          <w:lang w:val="en-GB" w:eastAsia="en-US"/>
        </w:rPr>
        <w:t>, however,</w:t>
      </w:r>
      <w:r w:rsidR="00526ABC" w:rsidRPr="00DD65C2">
        <w:rPr>
          <w:rFonts w:ascii="Calibri" w:hAnsi="Calibri" w:cs="Calibri"/>
          <w:lang w:val="en-GB" w:eastAsia="en-US"/>
        </w:rPr>
        <w:t xml:space="preserve"> how useful these sources will prove to be in everyday adjudication. </w:t>
      </w:r>
      <w:r w:rsidR="00CB7A4F" w:rsidRPr="00DD65C2">
        <w:rPr>
          <w:rFonts w:ascii="Calibri" w:hAnsi="Calibri" w:cs="Calibri"/>
          <w:lang w:val="en-GB" w:eastAsia="en-US"/>
        </w:rPr>
        <w:t>S</w:t>
      </w:r>
      <w:r w:rsidR="00D5453B" w:rsidRPr="00DD65C2">
        <w:rPr>
          <w:rFonts w:ascii="Calibri" w:hAnsi="Calibri" w:cs="Calibri"/>
          <w:lang w:val="en-GB" w:eastAsia="en-US"/>
        </w:rPr>
        <w:t xml:space="preserve">ome of them appear to be unfit for purpose. </w:t>
      </w:r>
      <w:r w:rsidR="00D41E19" w:rsidRPr="00DD65C2">
        <w:rPr>
          <w:rFonts w:ascii="Calibri" w:hAnsi="Calibri" w:cs="Calibri"/>
          <w:lang w:val="en-GB" w:eastAsia="en-US"/>
        </w:rPr>
        <w:t>In the unlikely event that legislation, or even administrative practices, were to deal with social perceptions on the morality of signs, these sources</w:t>
      </w:r>
      <w:r w:rsidR="00DF7284" w:rsidRPr="00DD65C2">
        <w:rPr>
          <w:rFonts w:ascii="Calibri" w:hAnsi="Calibri" w:cs="Calibri"/>
          <w:lang w:val="en-GB" w:eastAsia="en-US"/>
        </w:rPr>
        <w:t xml:space="preserve"> can put the </w:t>
      </w:r>
      <w:r w:rsidR="004600E6" w:rsidRPr="00DD65C2">
        <w:rPr>
          <w:rFonts w:ascii="Calibri" w:hAnsi="Calibri" w:cs="Calibri"/>
          <w:lang w:val="en-GB" w:eastAsia="en-US"/>
        </w:rPr>
        <w:t>empirical</w:t>
      </w:r>
      <w:r w:rsidR="00DF7284" w:rsidRPr="00DD65C2">
        <w:rPr>
          <w:rFonts w:ascii="Calibri" w:hAnsi="Calibri" w:cs="Calibri"/>
          <w:lang w:val="en-GB" w:eastAsia="en-US"/>
        </w:rPr>
        <w:t xml:space="preserve"> nature of the test developed by the Court at risk. </w:t>
      </w:r>
      <w:r w:rsidR="00651134" w:rsidRPr="00DD65C2">
        <w:rPr>
          <w:rFonts w:ascii="Calibri" w:hAnsi="Calibri" w:cs="Calibri"/>
          <w:lang w:val="en-GB" w:eastAsia="en-US"/>
        </w:rPr>
        <w:t>Insofar as they embody the opinions of legislatures and administrative personnel, l</w:t>
      </w:r>
      <w:r w:rsidR="00DF7284" w:rsidRPr="00DD65C2">
        <w:rPr>
          <w:rFonts w:ascii="Calibri" w:hAnsi="Calibri" w:cs="Calibri"/>
          <w:lang w:val="en-GB" w:eastAsia="en-US"/>
        </w:rPr>
        <w:t xml:space="preserve">egislation and administrative practices </w:t>
      </w:r>
      <w:r w:rsidR="00651134" w:rsidRPr="00DD65C2">
        <w:rPr>
          <w:rFonts w:ascii="Calibri" w:hAnsi="Calibri" w:cs="Calibri"/>
          <w:lang w:val="en-GB" w:eastAsia="en-US"/>
        </w:rPr>
        <w:t>are not necessarily reflective of the views on morality held at the time of registration by the relevant public, as defined for trade mark purposes</w:t>
      </w:r>
      <w:r w:rsidR="00D5453B" w:rsidRPr="00DD65C2">
        <w:rPr>
          <w:rFonts w:ascii="Calibri" w:hAnsi="Calibri" w:cs="Calibri"/>
          <w:lang w:val="en-GB" w:eastAsia="en-US"/>
        </w:rPr>
        <w:t>.</w:t>
      </w:r>
      <w:r w:rsidR="00DF7284" w:rsidRPr="00DD65C2">
        <w:rPr>
          <w:rFonts w:ascii="Calibri" w:hAnsi="Calibri" w:cs="Calibri"/>
          <w:lang w:val="en-GB" w:eastAsia="en-US"/>
        </w:rPr>
        <w:t xml:space="preserve"> </w:t>
      </w:r>
      <w:r w:rsidR="00277827" w:rsidRPr="00DD65C2">
        <w:rPr>
          <w:rFonts w:ascii="Calibri" w:hAnsi="Calibri" w:cs="Calibri"/>
          <w:lang w:val="en-GB" w:eastAsia="en-US"/>
        </w:rPr>
        <w:t xml:space="preserve">Judging from AG Bobek’s opinion, </w:t>
      </w:r>
      <w:r w:rsidR="00651134" w:rsidRPr="00DD65C2">
        <w:rPr>
          <w:rFonts w:ascii="Calibri" w:hAnsi="Calibri" w:cs="Calibri"/>
          <w:lang w:val="en-GB" w:eastAsia="en-US"/>
        </w:rPr>
        <w:t>such sources</w:t>
      </w:r>
      <w:r w:rsidR="00277827" w:rsidRPr="00DD65C2">
        <w:rPr>
          <w:rFonts w:ascii="Calibri" w:hAnsi="Calibri" w:cs="Calibri"/>
          <w:lang w:val="en-GB" w:eastAsia="en-US"/>
        </w:rPr>
        <w:t xml:space="preserve"> </w:t>
      </w:r>
      <w:r w:rsidR="00651134" w:rsidRPr="00DD65C2">
        <w:rPr>
          <w:rFonts w:ascii="Calibri" w:hAnsi="Calibri" w:cs="Calibri"/>
          <w:lang w:val="en-GB" w:eastAsia="en-US"/>
        </w:rPr>
        <w:t>are</w:t>
      </w:r>
      <w:r w:rsidR="00277827" w:rsidRPr="00DD65C2">
        <w:rPr>
          <w:rFonts w:ascii="Calibri" w:hAnsi="Calibri" w:cs="Calibri"/>
          <w:lang w:val="en-GB" w:eastAsia="en-US"/>
        </w:rPr>
        <w:t xml:space="preserve"> better suited to ascertaining what amounts to public policy, not morality. As part of his insightful discussion of the extent to which public policy and morality overlap, the AG considers that ‘[p]ublic policy can […] be studied […] in the offices of public authorities, by </w:t>
      </w:r>
      <w:r w:rsidR="00277827" w:rsidRPr="00DD65C2">
        <w:rPr>
          <w:rFonts w:ascii="Calibri" w:hAnsi="Calibri" w:cs="Calibri"/>
          <w:lang w:val="en-GB" w:eastAsia="en-US"/>
        </w:rPr>
        <w:lastRenderedPageBreak/>
        <w:t>reference to laws, policies, and official statements.’</w:t>
      </w:r>
      <w:r w:rsidR="003922FB" w:rsidRPr="00DD65C2">
        <w:rPr>
          <w:rStyle w:val="FootnoteReference"/>
          <w:rFonts w:ascii="Calibri" w:hAnsi="Calibri" w:cs="Calibri"/>
        </w:rPr>
        <w:footnoteReference w:id="125"/>
      </w:r>
      <w:r w:rsidR="00277827" w:rsidRPr="00DD65C2">
        <w:rPr>
          <w:rFonts w:ascii="Calibri" w:hAnsi="Calibri" w:cs="Calibri"/>
          <w:lang w:val="en-GB" w:eastAsia="en-US"/>
        </w:rPr>
        <w:t xml:space="preserve"> This is in contrast with accepted principles of morality, which ‘cannot be detected outside of social norms and context. Their identification requires at least some empirical assessment of what</w:t>
      </w:r>
      <w:r w:rsidR="002A4A56" w:rsidRPr="00DD65C2">
        <w:rPr>
          <w:rFonts w:ascii="Calibri" w:hAnsi="Calibri" w:cs="Calibri"/>
          <w:lang w:val="en-GB" w:eastAsia="en-US"/>
        </w:rPr>
        <w:t xml:space="preserve"> </w:t>
      </w:r>
      <w:r w:rsidR="00277827" w:rsidRPr="00DD65C2">
        <w:rPr>
          <w:rFonts w:ascii="Calibri" w:hAnsi="Calibri" w:cs="Calibri"/>
          <w:lang w:val="en-GB" w:eastAsia="en-US"/>
        </w:rPr>
        <w:t xml:space="preserve">the relevant society </w:t>
      </w:r>
      <w:r w:rsidR="002A4A56" w:rsidRPr="00DD65C2">
        <w:rPr>
          <w:rFonts w:ascii="Calibri" w:hAnsi="Calibri" w:cs="Calibri"/>
          <w:lang w:val="en-GB" w:eastAsia="en-US"/>
        </w:rPr>
        <w:t>[…] considers […] to be acceptable norms of conduct.’</w:t>
      </w:r>
      <w:r w:rsidR="003922FB" w:rsidRPr="00DD65C2">
        <w:rPr>
          <w:rStyle w:val="FootnoteReference"/>
          <w:rFonts w:ascii="Calibri" w:hAnsi="Calibri" w:cs="Calibri"/>
        </w:rPr>
        <w:footnoteReference w:id="126"/>
      </w:r>
    </w:p>
    <w:p w14:paraId="31BD233D" w14:textId="77777777" w:rsidR="00DF7284" w:rsidRPr="00DD65C2" w:rsidRDefault="00DF7284" w:rsidP="00504F94">
      <w:pPr>
        <w:jc w:val="both"/>
        <w:rPr>
          <w:rFonts w:ascii="Calibri" w:hAnsi="Calibri" w:cs="Calibri"/>
          <w:lang w:val="en-GB" w:eastAsia="en-US"/>
        </w:rPr>
      </w:pPr>
    </w:p>
    <w:p w14:paraId="6DA6C62E" w14:textId="445D3186" w:rsidR="00660BE2" w:rsidRPr="00DD65C2" w:rsidRDefault="00D5453B" w:rsidP="00660BE2">
      <w:pPr>
        <w:jc w:val="both"/>
        <w:rPr>
          <w:rFonts w:ascii="Calibri" w:hAnsi="Calibri" w:cs="Calibri"/>
          <w:lang w:val="en-GB" w:eastAsia="en-US"/>
        </w:rPr>
      </w:pPr>
      <w:r w:rsidRPr="00DD65C2">
        <w:rPr>
          <w:rFonts w:ascii="Calibri" w:hAnsi="Calibri" w:cs="Calibri"/>
          <w:lang w:val="en-GB" w:eastAsia="en-US"/>
        </w:rPr>
        <w:t xml:space="preserve">Moreover, </w:t>
      </w:r>
      <w:r w:rsidR="00195E0C" w:rsidRPr="00DD65C2">
        <w:rPr>
          <w:rFonts w:ascii="Calibri" w:hAnsi="Calibri" w:cs="Calibri"/>
          <w:lang w:val="en-GB" w:eastAsia="en-US"/>
        </w:rPr>
        <w:t>t</w:t>
      </w:r>
      <w:r w:rsidR="00526ABC" w:rsidRPr="00DD65C2">
        <w:rPr>
          <w:rFonts w:ascii="Calibri" w:hAnsi="Calibri" w:cs="Calibri"/>
          <w:lang w:val="en-GB" w:eastAsia="en-US"/>
        </w:rPr>
        <w:t xml:space="preserve">rade mark offices and appeal courts </w:t>
      </w:r>
      <w:r w:rsidR="001A27F7" w:rsidRPr="00DD65C2">
        <w:rPr>
          <w:rFonts w:ascii="Calibri" w:hAnsi="Calibri" w:cs="Calibri"/>
          <w:lang w:val="en-GB" w:eastAsia="en-US"/>
        </w:rPr>
        <w:t>are not</w:t>
      </w:r>
      <w:r w:rsidR="00526ABC" w:rsidRPr="00DD65C2">
        <w:rPr>
          <w:rFonts w:ascii="Calibri" w:hAnsi="Calibri" w:cs="Calibri"/>
          <w:lang w:val="en-GB" w:eastAsia="en-US"/>
        </w:rPr>
        <w:t xml:space="preserve"> </w:t>
      </w:r>
      <w:r w:rsidR="00CB7A4F" w:rsidRPr="00DD65C2">
        <w:rPr>
          <w:rFonts w:ascii="Calibri" w:hAnsi="Calibri" w:cs="Calibri"/>
          <w:lang w:val="en-GB" w:eastAsia="en-US"/>
        </w:rPr>
        <w:t>well</w:t>
      </w:r>
      <w:r w:rsidR="00526ABC" w:rsidRPr="00DD65C2">
        <w:rPr>
          <w:rFonts w:ascii="Calibri" w:hAnsi="Calibri" w:cs="Calibri"/>
          <w:lang w:val="en-GB" w:eastAsia="en-US"/>
        </w:rPr>
        <w:t xml:space="preserve"> suited to engage in the sort of fact-finding exercises that are required to extract </w:t>
      </w:r>
      <w:r w:rsidR="00195E0C" w:rsidRPr="00DD65C2">
        <w:rPr>
          <w:rFonts w:ascii="Calibri" w:hAnsi="Calibri" w:cs="Calibri"/>
          <w:lang w:val="en-GB" w:eastAsia="en-US"/>
        </w:rPr>
        <w:t xml:space="preserve">evidence from these sources. </w:t>
      </w:r>
      <w:r w:rsidR="00F268E3" w:rsidRPr="00DD65C2">
        <w:rPr>
          <w:rFonts w:ascii="Calibri" w:hAnsi="Calibri" w:cs="Calibri"/>
          <w:lang w:val="en-GB" w:eastAsia="en-US"/>
        </w:rPr>
        <w:t>This is especially true</w:t>
      </w:r>
      <w:r w:rsidR="00195E0C" w:rsidRPr="00DD65C2">
        <w:rPr>
          <w:rFonts w:ascii="Calibri" w:hAnsi="Calibri" w:cs="Calibri"/>
          <w:lang w:val="en-GB" w:eastAsia="en-US"/>
        </w:rPr>
        <w:t xml:space="preserve"> of data reflecting public opinion, as well as evidence of how the relevant public has reacted in the past to identical or similar signs.</w:t>
      </w:r>
      <w:r w:rsidR="00116F0A" w:rsidRPr="00DD65C2">
        <w:rPr>
          <w:rFonts w:ascii="Calibri" w:hAnsi="Calibri" w:cs="Calibri"/>
          <w:lang w:val="en-GB" w:eastAsia="en-US"/>
        </w:rPr>
        <w:t xml:space="preserve"> If the CJEU has market studies in mind here, they could very easily backfire. There is no consensus in Europe as to the role that surveys ought to play in trade mark </w:t>
      </w:r>
      <w:r w:rsidR="001A27F7" w:rsidRPr="00DD65C2">
        <w:rPr>
          <w:rFonts w:ascii="Calibri" w:hAnsi="Calibri" w:cs="Calibri"/>
          <w:lang w:val="en-GB" w:eastAsia="en-US"/>
        </w:rPr>
        <w:t>law</w:t>
      </w:r>
      <w:r w:rsidR="00116F0A" w:rsidRPr="00DD65C2">
        <w:rPr>
          <w:rFonts w:ascii="Calibri" w:hAnsi="Calibri" w:cs="Calibri"/>
          <w:lang w:val="en-GB" w:eastAsia="en-US"/>
        </w:rPr>
        <w:t>. Whereas EU and German courts are often willing to accept surveys as evidence of consumer perception in cases dealing with likelihood of confusion and distinctiveness, the courts of England and Wales have been increasingly reluctant to give considerable weight, and on occasions even admit</w:t>
      </w:r>
      <w:r w:rsidR="00A454E1" w:rsidRPr="00DD65C2">
        <w:rPr>
          <w:rFonts w:ascii="Calibri" w:hAnsi="Calibri" w:cs="Calibri"/>
          <w:lang w:val="en-GB" w:eastAsia="en-US"/>
        </w:rPr>
        <w:t>,</w:t>
      </w:r>
      <w:r w:rsidR="00116F0A" w:rsidRPr="00DD65C2">
        <w:rPr>
          <w:rFonts w:ascii="Calibri" w:hAnsi="Calibri" w:cs="Calibri"/>
          <w:lang w:val="en-GB" w:eastAsia="en-US"/>
        </w:rPr>
        <w:t xml:space="preserve"> </w:t>
      </w:r>
      <w:r w:rsidR="00A454E1" w:rsidRPr="00DD65C2">
        <w:rPr>
          <w:rFonts w:ascii="Calibri" w:hAnsi="Calibri" w:cs="Calibri"/>
          <w:lang w:val="en-GB" w:eastAsia="en-US"/>
        </w:rPr>
        <w:t>this form of evidence</w:t>
      </w:r>
      <w:r w:rsidR="00116F0A" w:rsidRPr="00DD65C2">
        <w:rPr>
          <w:rFonts w:ascii="Calibri" w:hAnsi="Calibri" w:cs="Calibri"/>
          <w:lang w:val="en-GB" w:eastAsia="en-US"/>
        </w:rPr>
        <w:t>.</w:t>
      </w:r>
      <w:r w:rsidR="00116F0A" w:rsidRPr="00DD65C2">
        <w:rPr>
          <w:rStyle w:val="FootnoteReference"/>
          <w:rFonts w:ascii="Calibri" w:hAnsi="Calibri" w:cs="Calibri"/>
        </w:rPr>
        <w:footnoteReference w:id="127"/>
      </w:r>
      <w:r w:rsidR="00116F0A" w:rsidRPr="00DD65C2">
        <w:rPr>
          <w:rFonts w:ascii="Calibri" w:hAnsi="Calibri" w:cs="Calibri"/>
          <w:lang w:val="en-GB" w:eastAsia="en-US"/>
        </w:rPr>
        <w:t xml:space="preserve"> Furthermore, </w:t>
      </w:r>
      <w:r w:rsidR="007D5EA2" w:rsidRPr="00DD65C2">
        <w:rPr>
          <w:rFonts w:ascii="Calibri" w:hAnsi="Calibri" w:cs="Calibri"/>
          <w:lang w:val="en-GB" w:eastAsia="en-US"/>
        </w:rPr>
        <w:t>trade mark offices cannot be realistically expected to be able to elaborate</w:t>
      </w:r>
      <w:r w:rsidR="00660BE2" w:rsidRPr="00DD65C2">
        <w:rPr>
          <w:rFonts w:ascii="Calibri" w:hAnsi="Calibri" w:cs="Calibri"/>
          <w:lang w:val="en-GB" w:eastAsia="en-US"/>
        </w:rPr>
        <w:t xml:space="preserve">, </w:t>
      </w:r>
      <w:r w:rsidR="007D5EA2" w:rsidRPr="00DD65C2">
        <w:rPr>
          <w:rFonts w:ascii="Calibri" w:hAnsi="Calibri" w:cs="Calibri"/>
          <w:lang w:val="en-GB" w:eastAsia="en-US"/>
        </w:rPr>
        <w:t>or even commission</w:t>
      </w:r>
      <w:r w:rsidR="00660BE2" w:rsidRPr="00DD65C2">
        <w:rPr>
          <w:rFonts w:ascii="Calibri" w:hAnsi="Calibri" w:cs="Calibri"/>
          <w:lang w:val="en-GB" w:eastAsia="en-US"/>
        </w:rPr>
        <w:t>,</w:t>
      </w:r>
      <w:r w:rsidR="007D5EA2" w:rsidRPr="00DD65C2">
        <w:rPr>
          <w:rFonts w:ascii="Calibri" w:hAnsi="Calibri" w:cs="Calibri"/>
          <w:lang w:val="en-GB" w:eastAsia="en-US"/>
        </w:rPr>
        <w:t xml:space="preserve"> the sorts of market studies that would be necessary to assess a mark’s ability to cause outrage amongst the relevant public. </w:t>
      </w:r>
    </w:p>
    <w:p w14:paraId="21C59B49" w14:textId="118A091D" w:rsidR="00B026AB" w:rsidRPr="00DD65C2" w:rsidRDefault="00660BE2" w:rsidP="00504F94">
      <w:pPr>
        <w:jc w:val="both"/>
        <w:rPr>
          <w:rFonts w:ascii="Calibri" w:hAnsi="Calibri" w:cs="Calibri"/>
          <w:lang w:val="en-GB" w:eastAsia="en-US"/>
        </w:rPr>
      </w:pPr>
      <w:r w:rsidRPr="00DD65C2">
        <w:rPr>
          <w:rFonts w:ascii="Calibri" w:hAnsi="Calibri" w:cs="Calibri"/>
          <w:lang w:val="en-GB" w:eastAsia="en-US"/>
        </w:rPr>
        <w:br/>
        <w:t xml:space="preserve">It </w:t>
      </w:r>
      <w:r w:rsidR="00FC2B13" w:rsidRPr="00DD65C2">
        <w:rPr>
          <w:rFonts w:ascii="Calibri" w:hAnsi="Calibri" w:cs="Calibri"/>
          <w:lang w:val="en-GB" w:eastAsia="en-US"/>
        </w:rPr>
        <w:t>will</w:t>
      </w:r>
      <w:r w:rsidRPr="00DD65C2">
        <w:rPr>
          <w:rFonts w:ascii="Calibri" w:hAnsi="Calibri" w:cs="Calibri"/>
          <w:lang w:val="en-GB" w:eastAsia="en-US"/>
        </w:rPr>
        <w:t>, thus,</w:t>
      </w:r>
      <w:r w:rsidR="00FC2B13" w:rsidRPr="00DD65C2">
        <w:rPr>
          <w:rFonts w:ascii="Calibri" w:hAnsi="Calibri" w:cs="Calibri"/>
          <w:lang w:val="en-GB" w:eastAsia="en-US"/>
        </w:rPr>
        <w:t xml:space="preserve"> be interesting to see what sources </w:t>
      </w:r>
      <w:r w:rsidRPr="00DD65C2">
        <w:rPr>
          <w:rFonts w:ascii="Calibri" w:hAnsi="Calibri" w:cs="Calibri"/>
          <w:lang w:val="en-GB" w:eastAsia="en-US"/>
        </w:rPr>
        <w:t>decision-makers</w:t>
      </w:r>
      <w:r w:rsidR="00FC2B13" w:rsidRPr="00DD65C2">
        <w:rPr>
          <w:rFonts w:ascii="Calibri" w:hAnsi="Calibri" w:cs="Calibri"/>
          <w:lang w:val="en-GB" w:eastAsia="en-US"/>
        </w:rPr>
        <w:t xml:space="preserve"> rely on to justify the immorality of an applied-for sign, and whether the fact-finding mechanisms they employ will be sophisticated enough to meet the </w:t>
      </w:r>
      <w:r w:rsidR="00265674" w:rsidRPr="00DD65C2">
        <w:rPr>
          <w:rFonts w:ascii="Calibri" w:hAnsi="Calibri" w:cs="Calibri"/>
          <w:lang w:val="en-GB" w:eastAsia="en-US"/>
        </w:rPr>
        <w:t>burden of proof</w:t>
      </w:r>
      <w:r w:rsidR="00FC2B13" w:rsidRPr="00DD65C2">
        <w:rPr>
          <w:rFonts w:ascii="Calibri" w:hAnsi="Calibri" w:cs="Calibri"/>
          <w:lang w:val="en-GB" w:eastAsia="en-US"/>
        </w:rPr>
        <w:t xml:space="preserve"> imposed by the CJEU </w:t>
      </w:r>
      <w:r w:rsidR="00265674" w:rsidRPr="00DD65C2">
        <w:rPr>
          <w:rFonts w:ascii="Calibri" w:hAnsi="Calibri" w:cs="Calibri"/>
          <w:lang w:val="en-GB" w:eastAsia="en-US"/>
        </w:rPr>
        <w:t xml:space="preserve">in </w:t>
      </w:r>
      <w:r w:rsidR="00265674" w:rsidRPr="00DD65C2">
        <w:rPr>
          <w:rFonts w:ascii="Calibri" w:hAnsi="Calibri" w:cs="Calibri"/>
          <w:i/>
          <w:iCs/>
          <w:lang w:val="en-GB" w:eastAsia="en-US"/>
        </w:rPr>
        <w:t>Constantin Film Produktion</w:t>
      </w:r>
      <w:r w:rsidR="00265674" w:rsidRPr="00DD65C2">
        <w:rPr>
          <w:rFonts w:ascii="Calibri" w:hAnsi="Calibri" w:cs="Calibri"/>
          <w:lang w:val="en-GB" w:eastAsia="en-US"/>
        </w:rPr>
        <w:t xml:space="preserve">. </w:t>
      </w:r>
      <w:r w:rsidR="00E8380C" w:rsidRPr="00DD65C2">
        <w:rPr>
          <w:rFonts w:ascii="Calibri" w:hAnsi="Calibri" w:cs="Calibri"/>
          <w:lang w:val="en-GB" w:eastAsia="en-US"/>
        </w:rPr>
        <w:t>A burden of proof that</w:t>
      </w:r>
      <w:r w:rsidR="00B026AB" w:rsidRPr="00DD65C2">
        <w:rPr>
          <w:rFonts w:ascii="Calibri" w:hAnsi="Calibri" w:cs="Calibri"/>
          <w:lang w:val="en-GB" w:eastAsia="en-US"/>
        </w:rPr>
        <w:t xml:space="preserve">, admittedly, </w:t>
      </w:r>
      <w:r w:rsidR="00E8380C" w:rsidRPr="00DD65C2">
        <w:rPr>
          <w:rFonts w:ascii="Calibri" w:hAnsi="Calibri" w:cs="Calibri"/>
          <w:lang w:val="en-GB" w:eastAsia="en-US"/>
        </w:rPr>
        <w:t xml:space="preserve">is not clear from the decision. </w:t>
      </w:r>
      <w:r w:rsidR="00246432" w:rsidRPr="00DD65C2">
        <w:rPr>
          <w:rFonts w:ascii="Calibri" w:hAnsi="Calibri" w:cs="Calibri"/>
          <w:lang w:val="en-GB" w:eastAsia="en-US"/>
        </w:rPr>
        <w:t>T</w:t>
      </w:r>
      <w:r w:rsidR="00B026AB" w:rsidRPr="00DD65C2">
        <w:rPr>
          <w:rFonts w:ascii="Calibri" w:hAnsi="Calibri" w:cs="Calibri"/>
          <w:lang w:val="en-GB" w:eastAsia="en-US"/>
        </w:rPr>
        <w:t xml:space="preserve">he opinion of AG Bobek proves useful </w:t>
      </w:r>
      <w:r w:rsidR="00674E35" w:rsidRPr="00DD65C2">
        <w:rPr>
          <w:rFonts w:ascii="Calibri" w:hAnsi="Calibri" w:cs="Calibri"/>
          <w:lang w:val="en-GB" w:eastAsia="en-US"/>
        </w:rPr>
        <w:t>here too</w:t>
      </w:r>
      <w:r w:rsidR="00B026AB" w:rsidRPr="00DD65C2">
        <w:rPr>
          <w:rFonts w:ascii="Calibri" w:hAnsi="Calibri" w:cs="Calibri"/>
          <w:lang w:val="en-GB" w:eastAsia="en-US"/>
        </w:rPr>
        <w:t xml:space="preserve">. </w:t>
      </w:r>
      <w:r w:rsidR="000F0888" w:rsidRPr="00DD65C2">
        <w:rPr>
          <w:rFonts w:ascii="Calibri" w:hAnsi="Calibri" w:cs="Calibri"/>
          <w:lang w:val="en-GB" w:eastAsia="en-US"/>
        </w:rPr>
        <w:t>In his view, t</w:t>
      </w:r>
      <w:r w:rsidR="00B026AB" w:rsidRPr="00DD65C2">
        <w:rPr>
          <w:rFonts w:ascii="Calibri" w:hAnsi="Calibri" w:cs="Calibri"/>
          <w:lang w:val="en-GB" w:eastAsia="en-US"/>
        </w:rPr>
        <w:t>he evidentiary threshold that</w:t>
      </w:r>
      <w:r w:rsidR="004607CE" w:rsidRPr="00DD65C2">
        <w:rPr>
          <w:rFonts w:ascii="Calibri" w:hAnsi="Calibri" w:cs="Calibri"/>
          <w:lang w:val="en-GB" w:eastAsia="en-US"/>
        </w:rPr>
        <w:t xml:space="preserve"> the</w:t>
      </w:r>
      <w:r w:rsidR="00B026AB" w:rsidRPr="00DD65C2">
        <w:rPr>
          <w:rFonts w:ascii="Calibri" w:hAnsi="Calibri" w:cs="Calibri"/>
          <w:lang w:val="en-GB" w:eastAsia="en-US"/>
        </w:rPr>
        <w:t xml:space="preserve"> EUIPO must meet </w:t>
      </w:r>
      <w:r w:rsidR="000F0888" w:rsidRPr="00DD65C2">
        <w:rPr>
          <w:rFonts w:ascii="Calibri" w:hAnsi="Calibri" w:cs="Calibri"/>
          <w:lang w:val="en-GB" w:eastAsia="en-US"/>
        </w:rPr>
        <w:t>if it wishes</w:t>
      </w:r>
      <w:r w:rsidR="00B026AB" w:rsidRPr="00DD65C2">
        <w:rPr>
          <w:rFonts w:ascii="Calibri" w:hAnsi="Calibri" w:cs="Calibri"/>
          <w:lang w:val="en-GB" w:eastAsia="en-US"/>
        </w:rPr>
        <w:t xml:space="preserve"> to deny registration to an applied-for sign on morality grounds </w:t>
      </w:r>
      <w:r w:rsidR="000F0888" w:rsidRPr="00DD65C2">
        <w:rPr>
          <w:rFonts w:ascii="Calibri" w:hAnsi="Calibri" w:cs="Calibri"/>
          <w:lang w:val="en-GB" w:eastAsia="en-US"/>
        </w:rPr>
        <w:t>need</w:t>
      </w:r>
      <w:r w:rsidR="00B026AB" w:rsidRPr="00DD65C2">
        <w:rPr>
          <w:rFonts w:ascii="Calibri" w:hAnsi="Calibri" w:cs="Calibri"/>
          <w:lang w:val="en-GB" w:eastAsia="en-US"/>
        </w:rPr>
        <w:t xml:space="preserve"> not </w:t>
      </w:r>
      <w:r w:rsidR="000F0888" w:rsidRPr="00DD65C2">
        <w:rPr>
          <w:rFonts w:ascii="Calibri" w:hAnsi="Calibri" w:cs="Calibri"/>
          <w:lang w:val="en-GB" w:eastAsia="en-US"/>
        </w:rPr>
        <w:t xml:space="preserve">be very high. In his own words: </w:t>
      </w:r>
    </w:p>
    <w:p w14:paraId="19F72FBA" w14:textId="3AEEB22F" w:rsidR="00E8380C" w:rsidRPr="00DD65C2" w:rsidRDefault="00E8380C" w:rsidP="00504F94">
      <w:pPr>
        <w:jc w:val="both"/>
        <w:rPr>
          <w:rFonts w:ascii="Calibri" w:hAnsi="Calibri" w:cs="Calibri"/>
          <w:lang w:val="en-GB" w:eastAsia="en-US"/>
        </w:rPr>
      </w:pPr>
    </w:p>
    <w:p w14:paraId="72369714" w14:textId="780C50CC" w:rsidR="00E8380C" w:rsidRPr="00DD65C2" w:rsidRDefault="00E8380C" w:rsidP="000F0888">
      <w:pPr>
        <w:ind w:left="720"/>
        <w:jc w:val="both"/>
        <w:rPr>
          <w:rFonts w:ascii="Calibri" w:hAnsi="Calibri" w:cs="Calibri"/>
          <w:lang w:val="en-GB" w:eastAsia="en-US"/>
        </w:rPr>
      </w:pPr>
      <w:r w:rsidRPr="00DD65C2">
        <w:rPr>
          <w:rFonts w:ascii="Calibri" w:hAnsi="Calibri" w:cs="Calibri"/>
          <w:lang w:val="en-GB" w:eastAsia="en-US"/>
        </w:rPr>
        <w:t>It is certainly not suggested that EUIPO would have</w:t>
      </w:r>
      <w:r w:rsidR="000F0888" w:rsidRPr="00DD65C2">
        <w:rPr>
          <w:rFonts w:ascii="Calibri" w:hAnsi="Calibri" w:cs="Calibri"/>
          <w:lang w:val="en-GB" w:eastAsia="en-US"/>
        </w:rPr>
        <w:t xml:space="preserve"> </w:t>
      </w:r>
      <w:r w:rsidRPr="00DD65C2">
        <w:rPr>
          <w:rFonts w:ascii="Calibri" w:hAnsi="Calibri" w:cs="Calibri"/>
          <w:lang w:val="en-GB" w:eastAsia="en-US"/>
        </w:rPr>
        <w:t>to conduct an in-depth empirical survey to establish the accepted principles of morality vis-à-vis a given sign.</w:t>
      </w:r>
      <w:r w:rsidR="000F0888" w:rsidRPr="00DD65C2">
        <w:rPr>
          <w:rFonts w:ascii="Calibri" w:hAnsi="Calibri" w:cs="Calibri"/>
          <w:lang w:val="en-GB" w:eastAsia="en-US"/>
        </w:rPr>
        <w:t xml:space="preserve"> </w:t>
      </w:r>
      <w:r w:rsidRPr="00DD65C2">
        <w:rPr>
          <w:rFonts w:ascii="Calibri" w:hAnsi="Calibri" w:cs="Calibri"/>
          <w:lang w:val="en-GB" w:eastAsia="en-US"/>
        </w:rPr>
        <w:t xml:space="preserve">Indeed, </w:t>
      </w:r>
      <w:r w:rsidR="000F0888" w:rsidRPr="00DD65C2">
        <w:rPr>
          <w:rFonts w:ascii="Calibri" w:hAnsi="Calibri" w:cs="Calibri"/>
          <w:lang w:val="en-GB" w:eastAsia="en-US"/>
        </w:rPr>
        <w:t>[…]</w:t>
      </w:r>
      <w:r w:rsidRPr="00DD65C2">
        <w:rPr>
          <w:rFonts w:ascii="Calibri" w:hAnsi="Calibri" w:cs="Calibri"/>
          <w:lang w:val="en-GB" w:eastAsia="en-US"/>
        </w:rPr>
        <w:t xml:space="preserve"> the best they can provide</w:t>
      </w:r>
      <w:r w:rsidR="000F0888" w:rsidRPr="00DD65C2">
        <w:rPr>
          <w:rFonts w:ascii="Calibri" w:hAnsi="Calibri" w:cs="Calibri"/>
          <w:lang w:val="en-GB" w:eastAsia="en-US"/>
        </w:rPr>
        <w:t xml:space="preserve"> </w:t>
      </w:r>
      <w:r w:rsidRPr="00DD65C2">
        <w:rPr>
          <w:rFonts w:ascii="Calibri" w:hAnsi="Calibri" w:cs="Calibri"/>
          <w:lang w:val="en-GB" w:eastAsia="en-US"/>
        </w:rPr>
        <w:t xml:space="preserve">is an </w:t>
      </w:r>
      <w:r w:rsidR="007143BF" w:rsidRPr="007143BF">
        <w:rPr>
          <w:rFonts w:ascii="Calibri" w:hAnsi="Calibri" w:cs="Calibri"/>
          <w:lang w:val="en-GB" w:eastAsia="en-US"/>
        </w:rPr>
        <w:t>‘</w:t>
      </w:r>
      <w:r w:rsidRPr="007143BF">
        <w:rPr>
          <w:rFonts w:ascii="Calibri" w:hAnsi="Calibri" w:cs="Calibri"/>
          <w:lang w:val="en-GB" w:eastAsia="en-US"/>
        </w:rPr>
        <w:t>informed estimation</w:t>
      </w:r>
      <w:r w:rsidR="007143BF" w:rsidRPr="007143BF">
        <w:rPr>
          <w:rFonts w:ascii="Calibri" w:hAnsi="Calibri" w:cs="Calibri"/>
          <w:lang w:val="en-GB" w:eastAsia="en-US"/>
        </w:rPr>
        <w:t>’</w:t>
      </w:r>
      <w:r w:rsidR="000F0888" w:rsidRPr="00DD65C2">
        <w:rPr>
          <w:rFonts w:ascii="Calibri" w:hAnsi="Calibri" w:cs="Calibri"/>
          <w:lang w:val="en-GB" w:eastAsia="en-US"/>
        </w:rPr>
        <w:t>.</w:t>
      </w:r>
      <w:r w:rsidRPr="00DD65C2">
        <w:rPr>
          <w:rFonts w:ascii="Calibri" w:hAnsi="Calibri" w:cs="Calibri"/>
          <w:lang w:val="en-GB" w:eastAsia="en-US"/>
        </w:rPr>
        <w:t xml:space="preserve"> However, that estimation must be grounded in a specific social context, and it</w:t>
      </w:r>
      <w:r w:rsidR="000F0888" w:rsidRPr="00DD65C2">
        <w:rPr>
          <w:rFonts w:ascii="Calibri" w:hAnsi="Calibri" w:cs="Calibri"/>
          <w:lang w:val="en-GB" w:eastAsia="en-US"/>
        </w:rPr>
        <w:t xml:space="preserve"> </w:t>
      </w:r>
      <w:r w:rsidRPr="00DD65C2">
        <w:rPr>
          <w:rFonts w:ascii="Calibri" w:hAnsi="Calibri" w:cs="Calibri"/>
          <w:lang w:val="en-GB" w:eastAsia="en-US"/>
        </w:rPr>
        <w:t xml:space="preserve">cannot ignore factual evidence that either confirms or possibly casts doubt on </w:t>
      </w:r>
      <w:r w:rsidR="000F0888" w:rsidRPr="00DD65C2">
        <w:rPr>
          <w:rFonts w:ascii="Calibri" w:hAnsi="Calibri" w:cs="Calibri"/>
          <w:lang w:val="en-GB" w:eastAsia="en-US"/>
        </w:rPr>
        <w:t>[…]</w:t>
      </w:r>
      <w:r w:rsidRPr="00DD65C2">
        <w:rPr>
          <w:rFonts w:ascii="Calibri" w:hAnsi="Calibri" w:cs="Calibri"/>
          <w:lang w:val="en-GB" w:eastAsia="en-US"/>
        </w:rPr>
        <w:t xml:space="preserve"> what</w:t>
      </w:r>
      <w:r w:rsidR="000F0888" w:rsidRPr="00DD65C2">
        <w:rPr>
          <w:rFonts w:ascii="Calibri" w:hAnsi="Calibri" w:cs="Calibri"/>
          <w:lang w:val="en-GB" w:eastAsia="en-US"/>
        </w:rPr>
        <w:t xml:space="preserve"> </w:t>
      </w:r>
      <w:r w:rsidRPr="00DD65C2">
        <w:rPr>
          <w:rFonts w:ascii="Calibri" w:hAnsi="Calibri" w:cs="Calibri"/>
          <w:lang w:val="en-GB" w:eastAsia="en-US"/>
        </w:rPr>
        <w:t>does or does not conform to accepted principles of morality.</w:t>
      </w:r>
      <w:r w:rsidR="00C97336" w:rsidRPr="00DD65C2">
        <w:rPr>
          <w:rStyle w:val="FootnoteReference"/>
          <w:rFonts w:ascii="Calibri" w:hAnsi="Calibri" w:cs="Calibri"/>
        </w:rPr>
        <w:footnoteReference w:id="128"/>
      </w:r>
    </w:p>
    <w:p w14:paraId="0ECF2FFB" w14:textId="06828879" w:rsidR="00E8380C" w:rsidRPr="00DD65C2" w:rsidRDefault="00E8380C" w:rsidP="00504F94">
      <w:pPr>
        <w:jc w:val="both"/>
        <w:rPr>
          <w:rFonts w:ascii="Calibri" w:hAnsi="Calibri" w:cs="Calibri"/>
          <w:lang w:val="en-GB" w:eastAsia="en-US"/>
        </w:rPr>
      </w:pPr>
    </w:p>
    <w:p w14:paraId="711A7FF5" w14:textId="5B81B5AB" w:rsidR="00976B35" w:rsidRPr="00DD65C2" w:rsidRDefault="00C97336" w:rsidP="00005BAD">
      <w:pPr>
        <w:jc w:val="both"/>
        <w:rPr>
          <w:rFonts w:ascii="Calibri" w:hAnsi="Calibri" w:cs="Calibri"/>
          <w:lang w:val="en-GB" w:eastAsia="en-US"/>
        </w:rPr>
      </w:pPr>
      <w:r w:rsidRPr="00DD65C2">
        <w:rPr>
          <w:rFonts w:ascii="Calibri" w:hAnsi="Calibri" w:cs="Calibri"/>
          <w:lang w:val="en-GB" w:eastAsia="en-US"/>
        </w:rPr>
        <w:t xml:space="preserve">It is unclear whether the CJEU would agree with the evidentiary threshold proposed by AG Bobek. </w:t>
      </w:r>
      <w:r w:rsidR="00005BAD" w:rsidRPr="00DD65C2">
        <w:rPr>
          <w:rFonts w:ascii="Calibri" w:hAnsi="Calibri" w:cs="Calibri"/>
          <w:lang w:val="en-GB" w:eastAsia="en-US"/>
        </w:rPr>
        <w:t xml:space="preserve">Doing so would certainly alleviate some of the difficulties outlined above, but not all. Trade mark offices would still have a hard time conducting empirical surveys, even if they need not be in depth. </w:t>
      </w:r>
    </w:p>
    <w:p w14:paraId="7BB996C1" w14:textId="77777777" w:rsidR="00976B35" w:rsidRPr="00DD65C2" w:rsidRDefault="00976B35" w:rsidP="00005BAD">
      <w:pPr>
        <w:jc w:val="both"/>
        <w:rPr>
          <w:rFonts w:ascii="Calibri" w:hAnsi="Calibri" w:cs="Calibri"/>
          <w:lang w:val="en-GB" w:eastAsia="en-US"/>
        </w:rPr>
      </w:pPr>
    </w:p>
    <w:p w14:paraId="49868492" w14:textId="7DDE4A7A" w:rsidR="00005BAD" w:rsidRPr="00DD65C2" w:rsidRDefault="00976B35" w:rsidP="00005BAD">
      <w:pPr>
        <w:jc w:val="both"/>
        <w:rPr>
          <w:rFonts w:ascii="Calibri" w:hAnsi="Calibri" w:cs="Calibri"/>
          <w:lang w:val="en-GB" w:eastAsia="en-US"/>
        </w:rPr>
      </w:pPr>
      <w:r w:rsidRPr="00DD65C2">
        <w:rPr>
          <w:rFonts w:ascii="Calibri" w:hAnsi="Calibri" w:cs="Calibri"/>
          <w:lang w:val="en-GB" w:eastAsia="en-US"/>
        </w:rPr>
        <w:lastRenderedPageBreak/>
        <w:t>In any event</w:t>
      </w:r>
      <w:r w:rsidR="00005BAD" w:rsidRPr="00DD65C2">
        <w:rPr>
          <w:rFonts w:ascii="Calibri" w:hAnsi="Calibri" w:cs="Calibri"/>
          <w:lang w:val="en-GB" w:eastAsia="en-US"/>
        </w:rPr>
        <w:t xml:space="preserve">, the uncertainty </w:t>
      </w:r>
      <w:r w:rsidRPr="00DD65C2">
        <w:rPr>
          <w:rFonts w:ascii="Calibri" w:hAnsi="Calibri" w:cs="Calibri"/>
          <w:lang w:val="en-GB" w:eastAsia="en-US"/>
        </w:rPr>
        <w:t>stemming from</w:t>
      </w:r>
      <w:r w:rsidR="00005BAD" w:rsidRPr="00DD65C2">
        <w:rPr>
          <w:rFonts w:ascii="Calibri" w:hAnsi="Calibri" w:cs="Calibri"/>
          <w:lang w:val="en-GB" w:eastAsia="en-US"/>
        </w:rPr>
        <w:t xml:space="preserve"> </w:t>
      </w:r>
      <w:r w:rsidRPr="00DD65C2">
        <w:rPr>
          <w:rFonts w:ascii="Calibri" w:hAnsi="Calibri" w:cs="Calibri"/>
          <w:lang w:val="en-GB" w:eastAsia="en-US"/>
        </w:rPr>
        <w:t>the</w:t>
      </w:r>
      <w:r w:rsidR="00005BAD" w:rsidRPr="00DD65C2">
        <w:rPr>
          <w:rFonts w:ascii="Calibri" w:hAnsi="Calibri" w:cs="Calibri"/>
          <w:lang w:val="en-GB" w:eastAsia="en-US"/>
        </w:rPr>
        <w:t xml:space="preserve"> empirical nature </w:t>
      </w:r>
      <w:r w:rsidRPr="00DD65C2">
        <w:rPr>
          <w:rFonts w:ascii="Calibri" w:hAnsi="Calibri" w:cs="Calibri"/>
          <w:lang w:val="en-GB" w:eastAsia="en-US"/>
        </w:rPr>
        <w:t>of the test i</w:t>
      </w:r>
      <w:r w:rsidR="00005BAD" w:rsidRPr="00DD65C2">
        <w:rPr>
          <w:rFonts w:ascii="Calibri" w:hAnsi="Calibri" w:cs="Calibri"/>
          <w:lang w:val="en-GB" w:eastAsia="en-US"/>
        </w:rPr>
        <w:t xml:space="preserve">s not bound to threaten </w:t>
      </w:r>
      <w:r w:rsidRPr="00DD65C2">
        <w:rPr>
          <w:rFonts w:ascii="Calibri" w:hAnsi="Calibri" w:cs="Calibri"/>
          <w:lang w:val="en-GB" w:eastAsia="en-US"/>
        </w:rPr>
        <w:t>its</w:t>
      </w:r>
      <w:r w:rsidR="00005BAD" w:rsidRPr="00DD65C2">
        <w:rPr>
          <w:rFonts w:ascii="Calibri" w:hAnsi="Calibri" w:cs="Calibri"/>
          <w:lang w:val="en-GB" w:eastAsia="en-US"/>
        </w:rPr>
        <w:t xml:space="preserve"> consisten</w:t>
      </w:r>
      <w:r w:rsidRPr="00DD65C2">
        <w:rPr>
          <w:rFonts w:ascii="Calibri" w:hAnsi="Calibri" w:cs="Calibri"/>
          <w:lang w:val="en-GB" w:eastAsia="en-US"/>
        </w:rPr>
        <w:t>t application moving forward</w:t>
      </w:r>
      <w:r w:rsidR="000D0959" w:rsidRPr="00DD65C2">
        <w:rPr>
          <w:rFonts w:ascii="Calibri" w:hAnsi="Calibri" w:cs="Calibri"/>
          <w:lang w:val="en-GB" w:eastAsia="en-US"/>
        </w:rPr>
        <w:t>. As was already mentioned,</w:t>
      </w:r>
      <w:r w:rsidR="00005BAD" w:rsidRPr="00DD65C2">
        <w:rPr>
          <w:rFonts w:ascii="Calibri" w:hAnsi="Calibri" w:cs="Calibri"/>
          <w:lang w:val="en-GB" w:eastAsia="en-US"/>
        </w:rPr>
        <w:t xml:space="preserve"> the lack of evidence showing that an applied-for sign is morally</w:t>
      </w:r>
      <w:r w:rsidR="007143BF">
        <w:rPr>
          <w:rFonts w:ascii="Calibri" w:hAnsi="Calibri" w:cs="Calibri"/>
          <w:lang w:val="en-GB" w:eastAsia="en-US"/>
        </w:rPr>
        <w:t xml:space="preserve"> </w:t>
      </w:r>
      <w:r w:rsidR="00005BAD" w:rsidRPr="00DD65C2">
        <w:rPr>
          <w:rFonts w:ascii="Calibri" w:hAnsi="Calibri" w:cs="Calibri"/>
          <w:lang w:val="en-GB" w:eastAsia="en-US"/>
        </w:rPr>
        <w:t xml:space="preserve">objectionable will necessarily lead </w:t>
      </w:r>
      <w:r w:rsidR="00CA4514" w:rsidRPr="00DD65C2">
        <w:rPr>
          <w:rFonts w:ascii="Calibri" w:hAnsi="Calibri" w:cs="Calibri"/>
          <w:lang w:val="en-GB" w:eastAsia="en-US"/>
        </w:rPr>
        <w:t>decision-maker</w:t>
      </w:r>
      <w:r w:rsidR="00005BAD" w:rsidRPr="00DD65C2">
        <w:rPr>
          <w:rFonts w:ascii="Calibri" w:hAnsi="Calibri" w:cs="Calibri"/>
          <w:lang w:val="en-GB" w:eastAsia="en-US"/>
        </w:rPr>
        <w:t>s to grant it regist</w:t>
      </w:r>
      <w:r w:rsidR="003018E1" w:rsidRPr="00DD65C2">
        <w:rPr>
          <w:rFonts w:ascii="Calibri" w:hAnsi="Calibri" w:cs="Calibri"/>
          <w:lang w:val="en-GB" w:eastAsia="en-US"/>
        </w:rPr>
        <w:t>ration</w:t>
      </w:r>
      <w:r w:rsidR="00005BAD" w:rsidRPr="00DD65C2">
        <w:rPr>
          <w:rFonts w:ascii="Calibri" w:hAnsi="Calibri" w:cs="Calibri"/>
          <w:lang w:val="en-GB" w:eastAsia="en-US"/>
        </w:rPr>
        <w:t xml:space="preserve">. </w:t>
      </w:r>
    </w:p>
    <w:p w14:paraId="4898A5E3" w14:textId="77777777" w:rsidR="00005BAD" w:rsidRPr="00DD65C2" w:rsidRDefault="00005BAD" w:rsidP="00005BAD">
      <w:pPr>
        <w:jc w:val="both"/>
        <w:rPr>
          <w:rFonts w:ascii="Calibri" w:hAnsi="Calibri" w:cs="Calibri"/>
          <w:lang w:val="en-GB"/>
        </w:rPr>
      </w:pPr>
    </w:p>
    <w:p w14:paraId="6C66C141" w14:textId="3C2A1D7A" w:rsidR="00052EA8" w:rsidRPr="00DD65C2" w:rsidRDefault="00052EA8" w:rsidP="003833A7">
      <w:pPr>
        <w:pStyle w:val="ListParagraph"/>
        <w:numPr>
          <w:ilvl w:val="1"/>
          <w:numId w:val="13"/>
        </w:numPr>
        <w:jc w:val="both"/>
        <w:rPr>
          <w:rFonts w:ascii="Calibri" w:hAnsi="Calibri" w:cs="Calibri"/>
          <w:b/>
          <w:bCs/>
        </w:rPr>
      </w:pPr>
      <w:r w:rsidRPr="00DD65C2">
        <w:rPr>
          <w:rFonts w:ascii="Calibri" w:hAnsi="Calibri" w:cs="Calibri"/>
          <w:b/>
          <w:bCs/>
        </w:rPr>
        <w:t xml:space="preserve">On the </w:t>
      </w:r>
      <w:r w:rsidR="00645F7A" w:rsidRPr="00DD65C2">
        <w:rPr>
          <w:rFonts w:ascii="Calibri" w:hAnsi="Calibri" w:cs="Calibri"/>
          <w:b/>
          <w:bCs/>
        </w:rPr>
        <w:t>Interaction</w:t>
      </w:r>
      <w:r w:rsidR="003F5BB0" w:rsidRPr="00DD65C2">
        <w:rPr>
          <w:rFonts w:ascii="Calibri" w:hAnsi="Calibri" w:cs="Calibri"/>
          <w:b/>
          <w:bCs/>
        </w:rPr>
        <w:t xml:space="preserve"> </w:t>
      </w:r>
      <w:r w:rsidRPr="00DD65C2">
        <w:rPr>
          <w:rFonts w:ascii="Calibri" w:hAnsi="Calibri" w:cs="Calibri"/>
          <w:b/>
          <w:bCs/>
        </w:rPr>
        <w:t>Between Trade Mark</w:t>
      </w:r>
      <w:r w:rsidR="00645F7A" w:rsidRPr="00DD65C2">
        <w:rPr>
          <w:rFonts w:ascii="Calibri" w:hAnsi="Calibri" w:cs="Calibri"/>
          <w:b/>
          <w:bCs/>
        </w:rPr>
        <w:t xml:space="preserve">s </w:t>
      </w:r>
      <w:r w:rsidRPr="00DD65C2">
        <w:rPr>
          <w:rFonts w:ascii="Calibri" w:hAnsi="Calibri" w:cs="Calibri"/>
          <w:b/>
          <w:bCs/>
        </w:rPr>
        <w:t xml:space="preserve">and </w:t>
      </w:r>
      <w:r w:rsidR="00645F7A" w:rsidRPr="00DD65C2">
        <w:rPr>
          <w:rFonts w:ascii="Calibri" w:hAnsi="Calibri" w:cs="Calibri"/>
          <w:b/>
          <w:bCs/>
        </w:rPr>
        <w:t>Speech</w:t>
      </w:r>
    </w:p>
    <w:p w14:paraId="3D10C324" w14:textId="77777777" w:rsidR="00052EA8" w:rsidRPr="00DD65C2" w:rsidRDefault="00052EA8" w:rsidP="00504F94">
      <w:pPr>
        <w:pStyle w:val="ListParagraph"/>
        <w:jc w:val="both"/>
        <w:rPr>
          <w:rFonts w:ascii="Calibri" w:hAnsi="Calibri" w:cs="Calibri"/>
        </w:rPr>
      </w:pPr>
    </w:p>
    <w:p w14:paraId="471AFE8A" w14:textId="1EA15E9F" w:rsidR="00052EA8" w:rsidRPr="00DD65C2" w:rsidRDefault="00052EA8" w:rsidP="00504F94">
      <w:pPr>
        <w:jc w:val="both"/>
        <w:rPr>
          <w:rFonts w:ascii="Calibri" w:hAnsi="Calibri" w:cs="Calibri"/>
          <w:lang w:val="en-GB"/>
        </w:rPr>
      </w:pPr>
      <w:r w:rsidRPr="00DD65C2">
        <w:rPr>
          <w:rFonts w:ascii="Calibri" w:hAnsi="Calibri" w:cs="Calibri"/>
          <w:lang w:val="en-GB"/>
        </w:rPr>
        <w:t xml:space="preserve">The CJEU should be praised for addressing and, at least partially, redressing the core shortcoming identified in the case law: the uncertainty as to whether the right to freedom of expression can be implicated in trade mark </w:t>
      </w:r>
      <w:r w:rsidR="00CB0BC7" w:rsidRPr="00DD65C2">
        <w:rPr>
          <w:rFonts w:ascii="Calibri" w:hAnsi="Calibri" w:cs="Calibri"/>
          <w:lang w:val="en-GB"/>
        </w:rPr>
        <w:t>registration</w:t>
      </w:r>
      <w:r w:rsidRPr="00DD65C2">
        <w:rPr>
          <w:rFonts w:ascii="Calibri" w:hAnsi="Calibri" w:cs="Calibri"/>
          <w:lang w:val="en-GB"/>
        </w:rPr>
        <w:t xml:space="preserve">. </w:t>
      </w:r>
      <w:r w:rsidR="00E13F9D" w:rsidRPr="00DD65C2">
        <w:rPr>
          <w:rFonts w:ascii="Calibri" w:hAnsi="Calibri" w:cs="Calibri"/>
          <w:lang w:val="en-GB"/>
        </w:rPr>
        <w:t>According to the Court:</w:t>
      </w:r>
    </w:p>
    <w:p w14:paraId="71A3D264" w14:textId="77777777" w:rsidR="00052EA8" w:rsidRPr="00DD65C2" w:rsidRDefault="00052EA8" w:rsidP="00504F94">
      <w:pPr>
        <w:pStyle w:val="ListParagraph"/>
        <w:jc w:val="both"/>
        <w:rPr>
          <w:rFonts w:ascii="Calibri" w:hAnsi="Calibri" w:cs="Calibri"/>
        </w:rPr>
      </w:pPr>
    </w:p>
    <w:p w14:paraId="34CB3380" w14:textId="019F4D23" w:rsidR="00052EA8" w:rsidRPr="00DD65C2" w:rsidRDefault="00052EA8" w:rsidP="00504F94">
      <w:pPr>
        <w:ind w:left="720"/>
        <w:jc w:val="both"/>
        <w:rPr>
          <w:rFonts w:ascii="Calibri" w:hAnsi="Calibri" w:cs="Calibri"/>
          <w:lang w:val="en-GB"/>
        </w:rPr>
      </w:pPr>
      <w:r w:rsidRPr="00DD65C2">
        <w:rPr>
          <w:rFonts w:ascii="Calibri" w:eastAsiaTheme="minorHAnsi" w:hAnsi="Calibri" w:cs="Calibri"/>
          <w:lang w:val="en-GB" w:eastAsia="en-US"/>
        </w:rPr>
        <w:t xml:space="preserve">[C]ontrary to the General Court’s finding […] that </w:t>
      </w:r>
      <w:r w:rsidR="007143BF">
        <w:rPr>
          <w:rFonts w:ascii="Calibri" w:eastAsiaTheme="minorHAnsi" w:hAnsi="Calibri" w:cs="Calibri"/>
          <w:lang w:val="en-GB" w:eastAsia="en-US"/>
        </w:rPr>
        <w:t>‘</w:t>
      </w:r>
      <w:r w:rsidRPr="00DD65C2">
        <w:rPr>
          <w:rFonts w:ascii="Calibri" w:eastAsiaTheme="minorHAnsi" w:hAnsi="Calibri" w:cs="Calibri"/>
          <w:lang w:val="en-GB" w:eastAsia="en-US"/>
        </w:rPr>
        <w:t>there is, in the field of art, culture and literature, a constant concern to</w:t>
      </w:r>
      <w:r w:rsidRPr="00DD65C2">
        <w:rPr>
          <w:rFonts w:ascii="Calibri" w:hAnsi="Calibri" w:cs="Calibri"/>
          <w:lang w:val="en-GB"/>
        </w:rPr>
        <w:t xml:space="preserve"> </w:t>
      </w:r>
      <w:r w:rsidRPr="00DD65C2">
        <w:rPr>
          <w:rFonts w:ascii="Calibri" w:eastAsiaTheme="minorHAnsi" w:hAnsi="Calibri" w:cs="Calibri"/>
          <w:lang w:val="en-GB" w:eastAsia="en-US"/>
        </w:rPr>
        <w:t>preserve freedom of expression which does not exist in the field of trade marks</w:t>
      </w:r>
      <w:r w:rsidR="007143BF">
        <w:rPr>
          <w:rFonts w:ascii="Calibri" w:eastAsiaTheme="minorHAnsi" w:hAnsi="Calibri" w:cs="Calibri"/>
          <w:lang w:val="en-GB" w:eastAsia="en-US"/>
        </w:rPr>
        <w:t>’</w:t>
      </w:r>
      <w:r w:rsidRPr="00DD65C2">
        <w:rPr>
          <w:rFonts w:ascii="Calibri" w:eastAsiaTheme="minorHAnsi" w:hAnsi="Calibri" w:cs="Calibri"/>
          <w:lang w:val="en-GB" w:eastAsia="en-US"/>
        </w:rPr>
        <w:t xml:space="preserve">, </w:t>
      </w:r>
      <w:r w:rsidRPr="00DD65C2">
        <w:rPr>
          <w:rFonts w:ascii="Calibri" w:hAnsi="Calibri" w:cs="Calibri"/>
          <w:i/>
          <w:iCs/>
          <w:lang w:val="en-GB"/>
        </w:rPr>
        <w:t>freedom of expression […] must</w:t>
      </w:r>
      <w:r w:rsidR="00815765" w:rsidRPr="00DD65C2">
        <w:rPr>
          <w:rFonts w:ascii="Calibri" w:hAnsi="Calibri" w:cs="Calibri"/>
          <w:i/>
          <w:iCs/>
          <w:lang w:val="en-GB"/>
        </w:rPr>
        <w:t xml:space="preserve">, </w:t>
      </w:r>
      <w:r w:rsidR="00815765" w:rsidRPr="00DD65C2">
        <w:rPr>
          <w:rFonts w:ascii="Calibri" w:hAnsi="Calibri" w:cs="Calibri"/>
          <w:lang w:val="en-GB"/>
        </w:rPr>
        <w:t>as</w:t>
      </w:r>
      <w:r w:rsidRPr="00DD65C2">
        <w:rPr>
          <w:rFonts w:ascii="Calibri" w:hAnsi="Calibri" w:cs="Calibri"/>
          <w:lang w:val="en-GB"/>
        </w:rPr>
        <w:t xml:space="preserve"> […]</w:t>
      </w:r>
      <w:r w:rsidR="00815765" w:rsidRPr="00DD65C2">
        <w:rPr>
          <w:rFonts w:ascii="Calibri" w:hAnsi="Calibri" w:cs="Calibri"/>
          <w:lang w:val="en-GB"/>
        </w:rPr>
        <w:t xml:space="preserve"> the Advocate General states in points 47 to 57 of his Opinion,</w:t>
      </w:r>
      <w:r w:rsidRPr="00DD65C2">
        <w:rPr>
          <w:rFonts w:ascii="Calibri" w:hAnsi="Calibri" w:cs="Calibri"/>
          <w:lang w:val="en-GB"/>
        </w:rPr>
        <w:t xml:space="preserve"> </w:t>
      </w:r>
      <w:r w:rsidRPr="00DD65C2">
        <w:rPr>
          <w:rFonts w:ascii="Calibri" w:hAnsi="Calibri" w:cs="Calibri"/>
          <w:i/>
          <w:iCs/>
          <w:lang w:val="en-GB"/>
        </w:rPr>
        <w:t xml:space="preserve">be taken into account when applying </w:t>
      </w:r>
      <w:r w:rsidR="00CB0BC7" w:rsidRPr="00DD65C2">
        <w:rPr>
          <w:rFonts w:ascii="Calibri" w:hAnsi="Calibri" w:cs="Calibri"/>
          <w:i/>
          <w:iCs/>
          <w:lang w:val="en-GB"/>
        </w:rPr>
        <w:t>Article 7(1)(f) [EUTMR]</w:t>
      </w:r>
      <w:r w:rsidRPr="00DD65C2">
        <w:rPr>
          <w:rFonts w:ascii="Calibri" w:hAnsi="Calibri" w:cs="Calibri"/>
          <w:lang w:val="en-GB"/>
        </w:rPr>
        <w:t>. Such a finding is corroborated, moreover, by recital 21 […], which expressly emphasise[s] the need to apply th[e] regulation[…] in such a way as to ensure full respect for fundamental rights and freedoms, in particular freedom of expression.</w:t>
      </w:r>
      <w:r w:rsidRPr="00DD65C2">
        <w:rPr>
          <w:rStyle w:val="FootnoteReference"/>
          <w:rFonts w:ascii="Calibri" w:hAnsi="Calibri" w:cs="Calibri"/>
        </w:rPr>
        <w:footnoteReference w:id="129"/>
      </w:r>
    </w:p>
    <w:p w14:paraId="5069D1BC" w14:textId="77777777" w:rsidR="000F0E5B" w:rsidRPr="00DD65C2" w:rsidRDefault="000F0E5B" w:rsidP="00F64B48">
      <w:pPr>
        <w:jc w:val="both"/>
        <w:rPr>
          <w:rFonts w:ascii="Calibri" w:hAnsi="Calibri" w:cs="Calibri"/>
          <w:lang w:val="en-GB"/>
        </w:rPr>
      </w:pPr>
    </w:p>
    <w:p w14:paraId="073903AF" w14:textId="50547D70" w:rsidR="004408A2" w:rsidRPr="00DD65C2" w:rsidRDefault="000F0E5B" w:rsidP="00F64B48">
      <w:pPr>
        <w:jc w:val="both"/>
        <w:rPr>
          <w:rFonts w:ascii="Calibri" w:hAnsi="Calibri" w:cs="Calibri"/>
          <w:lang w:val="en-GB"/>
        </w:rPr>
      </w:pPr>
      <w:r w:rsidRPr="00DD65C2">
        <w:rPr>
          <w:rFonts w:ascii="Calibri" w:hAnsi="Calibri" w:cs="Calibri"/>
          <w:lang w:val="en-GB"/>
        </w:rPr>
        <w:t>By harmonising one aspect of the interaction between marks and speech that had been highly contested, t</w:t>
      </w:r>
      <w:r w:rsidR="00052EA8" w:rsidRPr="00DD65C2">
        <w:rPr>
          <w:rFonts w:ascii="Calibri" w:hAnsi="Calibri" w:cs="Calibri"/>
          <w:lang w:val="en-GB"/>
        </w:rPr>
        <w:t xml:space="preserve">he Court’s finding that </w:t>
      </w:r>
      <w:r w:rsidR="00450BF6" w:rsidRPr="00DD65C2">
        <w:rPr>
          <w:rFonts w:ascii="Calibri" w:hAnsi="Calibri" w:cs="Calibri"/>
          <w:lang w:val="en-GB"/>
        </w:rPr>
        <w:t>Article 10 ECHR is implicated in</w:t>
      </w:r>
      <w:r w:rsidR="00052EA8" w:rsidRPr="00DD65C2">
        <w:rPr>
          <w:rFonts w:ascii="Calibri" w:hAnsi="Calibri" w:cs="Calibri"/>
          <w:lang w:val="en-GB"/>
        </w:rPr>
        <w:t xml:space="preserve"> trade mark </w:t>
      </w:r>
      <w:r w:rsidR="00450BF6" w:rsidRPr="00DD65C2">
        <w:rPr>
          <w:rFonts w:ascii="Calibri" w:hAnsi="Calibri" w:cs="Calibri"/>
          <w:lang w:val="en-GB"/>
        </w:rPr>
        <w:t>registration</w:t>
      </w:r>
      <w:r w:rsidR="00052EA8" w:rsidRPr="00DD65C2">
        <w:rPr>
          <w:rFonts w:ascii="Calibri" w:hAnsi="Calibri" w:cs="Calibri"/>
          <w:lang w:val="en-GB"/>
        </w:rPr>
        <w:t xml:space="preserve"> is a welcome development. </w:t>
      </w:r>
      <w:r w:rsidR="009D7954" w:rsidRPr="00DD65C2">
        <w:rPr>
          <w:rFonts w:ascii="Calibri" w:hAnsi="Calibri" w:cs="Calibri"/>
          <w:lang w:val="en-GB"/>
        </w:rPr>
        <w:t xml:space="preserve">The very few commentators who have addressed this decision to date (practitioners writing </w:t>
      </w:r>
      <w:r w:rsidR="00C3319D" w:rsidRPr="00DD65C2">
        <w:rPr>
          <w:rFonts w:ascii="Calibri" w:hAnsi="Calibri" w:cs="Calibri"/>
          <w:lang w:val="en-GB"/>
        </w:rPr>
        <w:t>i</w:t>
      </w:r>
      <w:r w:rsidR="009D7954" w:rsidRPr="00DD65C2">
        <w:rPr>
          <w:rFonts w:ascii="Calibri" w:hAnsi="Calibri" w:cs="Calibri"/>
          <w:lang w:val="en-GB"/>
        </w:rPr>
        <w:t>n the blog</w:t>
      </w:r>
      <w:r w:rsidR="00CB0BC7" w:rsidRPr="00DD65C2">
        <w:rPr>
          <w:rFonts w:ascii="Calibri" w:hAnsi="Calibri" w:cs="Calibri"/>
          <w:lang w:val="en-GB"/>
        </w:rPr>
        <w:t>o</w:t>
      </w:r>
      <w:r w:rsidR="009D7954" w:rsidRPr="00DD65C2">
        <w:rPr>
          <w:rFonts w:ascii="Calibri" w:hAnsi="Calibri" w:cs="Calibri"/>
          <w:lang w:val="en-GB"/>
        </w:rPr>
        <w:t>sphere, for the most part) have hailed it as such.</w:t>
      </w:r>
      <w:r w:rsidR="00CB0BC7" w:rsidRPr="00DD65C2">
        <w:rPr>
          <w:rStyle w:val="FootnoteReference"/>
          <w:rFonts w:ascii="Calibri" w:hAnsi="Calibri" w:cs="Calibri"/>
        </w:rPr>
        <w:footnoteReference w:id="130"/>
      </w:r>
      <w:r w:rsidR="009D7954" w:rsidRPr="00DD65C2">
        <w:rPr>
          <w:rFonts w:ascii="Calibri" w:hAnsi="Calibri" w:cs="Calibri"/>
          <w:lang w:val="en-GB"/>
        </w:rPr>
        <w:t xml:space="preserve"> </w:t>
      </w:r>
      <w:r w:rsidR="00CB0BC7" w:rsidRPr="00DD65C2">
        <w:rPr>
          <w:rFonts w:ascii="Calibri" w:hAnsi="Calibri" w:cs="Calibri"/>
          <w:lang w:val="en-GB"/>
        </w:rPr>
        <w:t xml:space="preserve">Unfortunately, however, the CJEU fails to </w:t>
      </w:r>
      <w:r w:rsidR="009A6F53" w:rsidRPr="00DD65C2">
        <w:rPr>
          <w:rFonts w:ascii="Calibri" w:hAnsi="Calibri" w:cs="Calibri"/>
          <w:lang w:val="en-GB"/>
        </w:rPr>
        <w:t>build on</w:t>
      </w:r>
      <w:r w:rsidR="00CB0BC7" w:rsidRPr="00DD65C2">
        <w:rPr>
          <w:rFonts w:ascii="Calibri" w:hAnsi="Calibri" w:cs="Calibri"/>
          <w:lang w:val="en-GB"/>
        </w:rPr>
        <w:t xml:space="preserve"> this finding, leaving the more substantial questions raised by the interaction between marks and speech unanswered. </w:t>
      </w:r>
    </w:p>
    <w:p w14:paraId="41C81C76" w14:textId="77777777" w:rsidR="004408A2" w:rsidRPr="00DD65C2" w:rsidRDefault="004408A2" w:rsidP="00F64B48">
      <w:pPr>
        <w:jc w:val="both"/>
        <w:rPr>
          <w:rFonts w:ascii="Calibri" w:hAnsi="Calibri" w:cs="Calibri"/>
          <w:lang w:val="en-GB"/>
        </w:rPr>
      </w:pPr>
    </w:p>
    <w:p w14:paraId="55BDA3E5" w14:textId="3CA4D3FE" w:rsidR="00F64B48" w:rsidRPr="00DD65C2" w:rsidRDefault="00F754B2" w:rsidP="00F64B48">
      <w:pPr>
        <w:jc w:val="both"/>
        <w:rPr>
          <w:rFonts w:ascii="Calibri" w:hAnsi="Calibri" w:cs="Calibri"/>
          <w:lang w:val="en-GB"/>
        </w:rPr>
      </w:pPr>
      <w:r w:rsidRPr="00DD65C2">
        <w:rPr>
          <w:rFonts w:ascii="Calibri" w:hAnsi="Calibri" w:cs="Calibri"/>
          <w:lang w:val="en-GB"/>
        </w:rPr>
        <w:t xml:space="preserve">First, the Court </w:t>
      </w:r>
      <w:r w:rsidR="00052EA8" w:rsidRPr="00DD65C2">
        <w:rPr>
          <w:rFonts w:ascii="Calibri" w:hAnsi="Calibri" w:cs="Calibri"/>
          <w:lang w:val="en-GB"/>
        </w:rPr>
        <w:t xml:space="preserve">fails to </w:t>
      </w:r>
      <w:r w:rsidR="0084431D" w:rsidRPr="00DD65C2">
        <w:rPr>
          <w:rFonts w:ascii="Calibri" w:hAnsi="Calibri" w:cs="Calibri"/>
          <w:lang w:val="en-GB"/>
        </w:rPr>
        <w:t>explain</w:t>
      </w:r>
      <w:r w:rsidR="00052EA8" w:rsidRPr="00DD65C2">
        <w:rPr>
          <w:rFonts w:ascii="Calibri" w:hAnsi="Calibri" w:cs="Calibri"/>
          <w:lang w:val="en-GB"/>
        </w:rPr>
        <w:t xml:space="preserve"> </w:t>
      </w:r>
      <w:r w:rsidR="00052EA8" w:rsidRPr="00DD65C2">
        <w:rPr>
          <w:rFonts w:ascii="Calibri" w:hAnsi="Calibri" w:cs="Calibri"/>
          <w:i/>
          <w:iCs/>
          <w:lang w:val="en-GB"/>
        </w:rPr>
        <w:t>why</w:t>
      </w:r>
      <w:r w:rsidR="00052EA8" w:rsidRPr="00DD65C2">
        <w:rPr>
          <w:rFonts w:ascii="Calibri" w:hAnsi="Calibri" w:cs="Calibri"/>
          <w:lang w:val="en-GB"/>
        </w:rPr>
        <w:t xml:space="preserve"> speech</w:t>
      </w:r>
      <w:r w:rsidRPr="00DD65C2">
        <w:rPr>
          <w:rFonts w:ascii="Calibri" w:hAnsi="Calibri" w:cs="Calibri"/>
          <w:lang w:val="en-GB"/>
        </w:rPr>
        <w:t xml:space="preserve"> protection</w:t>
      </w:r>
      <w:r w:rsidR="00052EA8" w:rsidRPr="00DD65C2">
        <w:rPr>
          <w:rFonts w:ascii="Calibri" w:hAnsi="Calibri" w:cs="Calibri"/>
          <w:lang w:val="en-GB"/>
        </w:rPr>
        <w:t xml:space="preserve"> is implicated in trade mark </w:t>
      </w:r>
      <w:r w:rsidR="00EE5BAE" w:rsidRPr="00DD65C2">
        <w:rPr>
          <w:rFonts w:ascii="Calibri" w:hAnsi="Calibri" w:cs="Calibri"/>
          <w:lang w:val="en-GB"/>
        </w:rPr>
        <w:t>registration</w:t>
      </w:r>
      <w:r w:rsidR="00052EA8" w:rsidRPr="00DD65C2">
        <w:rPr>
          <w:rFonts w:ascii="Calibri" w:hAnsi="Calibri" w:cs="Calibri"/>
          <w:lang w:val="en-GB"/>
        </w:rPr>
        <w:t xml:space="preserve">. Admittedly, the </w:t>
      </w:r>
      <w:r w:rsidRPr="00DD65C2">
        <w:rPr>
          <w:rFonts w:ascii="Calibri" w:hAnsi="Calibri" w:cs="Calibri"/>
          <w:lang w:val="en-GB"/>
        </w:rPr>
        <w:t>C</w:t>
      </w:r>
      <w:r w:rsidR="00052EA8" w:rsidRPr="00DD65C2">
        <w:rPr>
          <w:rFonts w:ascii="Calibri" w:hAnsi="Calibri" w:cs="Calibri"/>
          <w:lang w:val="en-GB"/>
        </w:rPr>
        <w:t xml:space="preserve">ourt alludes to Recital 21 </w:t>
      </w:r>
      <w:r w:rsidR="003F72B1" w:rsidRPr="00DD65C2">
        <w:rPr>
          <w:rFonts w:ascii="Calibri" w:hAnsi="Calibri" w:cs="Calibri"/>
          <w:lang w:val="en-GB"/>
        </w:rPr>
        <w:t>EUT</w:t>
      </w:r>
      <w:r w:rsidR="005251DB" w:rsidRPr="00DD65C2">
        <w:rPr>
          <w:rFonts w:ascii="Calibri" w:hAnsi="Calibri" w:cs="Calibri"/>
          <w:lang w:val="en-GB"/>
        </w:rPr>
        <w:t>M</w:t>
      </w:r>
      <w:r w:rsidR="003F72B1" w:rsidRPr="00DD65C2">
        <w:rPr>
          <w:rFonts w:ascii="Calibri" w:hAnsi="Calibri" w:cs="Calibri"/>
          <w:lang w:val="en-GB"/>
        </w:rPr>
        <w:t>R</w:t>
      </w:r>
      <w:r w:rsidR="00052EA8" w:rsidRPr="00DD65C2">
        <w:rPr>
          <w:rFonts w:ascii="Calibri" w:hAnsi="Calibri" w:cs="Calibri"/>
          <w:lang w:val="en-GB"/>
        </w:rPr>
        <w:t xml:space="preserve"> to support its finding that speech interact</w:t>
      </w:r>
      <w:r w:rsidR="0084431D" w:rsidRPr="00DD65C2">
        <w:rPr>
          <w:rFonts w:ascii="Calibri" w:hAnsi="Calibri" w:cs="Calibri"/>
          <w:lang w:val="en-GB"/>
        </w:rPr>
        <w:t>s</w:t>
      </w:r>
      <w:r w:rsidR="00052EA8" w:rsidRPr="00DD65C2">
        <w:rPr>
          <w:rFonts w:ascii="Calibri" w:hAnsi="Calibri" w:cs="Calibri"/>
          <w:lang w:val="en-GB"/>
        </w:rPr>
        <w:t xml:space="preserve"> with trade mark </w:t>
      </w:r>
      <w:r w:rsidR="00EE5BAE" w:rsidRPr="00DD65C2">
        <w:rPr>
          <w:rFonts w:ascii="Calibri" w:hAnsi="Calibri" w:cs="Calibri"/>
          <w:lang w:val="en-GB"/>
        </w:rPr>
        <w:t>applications</w:t>
      </w:r>
      <w:r w:rsidR="00052EA8" w:rsidRPr="00DD65C2">
        <w:rPr>
          <w:rFonts w:ascii="Calibri" w:hAnsi="Calibri" w:cs="Calibri"/>
          <w:lang w:val="en-GB"/>
        </w:rPr>
        <w:t xml:space="preserve">. But finding support in the text of the Regulation is not the same thing as </w:t>
      </w:r>
      <w:r w:rsidR="0084431D" w:rsidRPr="00DD65C2">
        <w:rPr>
          <w:rFonts w:ascii="Calibri" w:hAnsi="Calibri" w:cs="Calibri"/>
          <w:lang w:val="en-GB"/>
        </w:rPr>
        <w:t>setting</w:t>
      </w:r>
      <w:r w:rsidR="00052EA8" w:rsidRPr="00DD65C2">
        <w:rPr>
          <w:rFonts w:ascii="Calibri" w:hAnsi="Calibri" w:cs="Calibri"/>
          <w:lang w:val="en-GB"/>
        </w:rPr>
        <w:t xml:space="preserve"> forth the reason(s) why both sets of rights interact. </w:t>
      </w:r>
      <w:r w:rsidR="007C0623" w:rsidRPr="00DD65C2">
        <w:rPr>
          <w:rFonts w:ascii="Calibri" w:hAnsi="Calibri" w:cs="Calibri"/>
          <w:lang w:val="en-GB"/>
        </w:rPr>
        <w:t xml:space="preserve">Is it because registration as a trade mark of an applied-for sign furthers the expressive interests of the applicant? And, if so, how? </w:t>
      </w:r>
      <w:r w:rsidR="00DF72F6" w:rsidRPr="00DD65C2">
        <w:rPr>
          <w:rFonts w:ascii="Calibri" w:hAnsi="Calibri" w:cs="Calibri"/>
          <w:lang w:val="en-GB"/>
        </w:rPr>
        <w:t xml:space="preserve">Understanding the rationale behind the CJEU’s </w:t>
      </w:r>
      <w:r w:rsidR="0084431D" w:rsidRPr="00DD65C2">
        <w:rPr>
          <w:rFonts w:ascii="Calibri" w:hAnsi="Calibri" w:cs="Calibri"/>
          <w:lang w:val="en-GB"/>
        </w:rPr>
        <w:t>finding</w:t>
      </w:r>
      <w:r w:rsidR="00DF72F6" w:rsidRPr="00DD65C2">
        <w:rPr>
          <w:rFonts w:ascii="Calibri" w:hAnsi="Calibri" w:cs="Calibri"/>
          <w:lang w:val="en-GB"/>
        </w:rPr>
        <w:t xml:space="preserve"> would have gone a long way in guiding future </w:t>
      </w:r>
      <w:r w:rsidR="00CA4514" w:rsidRPr="00DD65C2">
        <w:rPr>
          <w:rFonts w:ascii="Calibri" w:hAnsi="Calibri" w:cs="Calibri"/>
          <w:lang w:val="en-GB"/>
        </w:rPr>
        <w:t>decision-maker</w:t>
      </w:r>
      <w:r w:rsidR="0084431D" w:rsidRPr="00DD65C2">
        <w:rPr>
          <w:rFonts w:ascii="Calibri" w:hAnsi="Calibri" w:cs="Calibri"/>
          <w:lang w:val="en-GB"/>
        </w:rPr>
        <w:t>s’</w:t>
      </w:r>
      <w:r w:rsidR="00DF72F6" w:rsidRPr="00DD65C2">
        <w:rPr>
          <w:rFonts w:ascii="Calibri" w:hAnsi="Calibri" w:cs="Calibri"/>
          <w:lang w:val="en-GB"/>
        </w:rPr>
        <w:t xml:space="preserve"> interpretation of the interaction between marks and speech. This is certainly true of the morality and public policy exclusions. </w:t>
      </w:r>
      <w:r w:rsidR="00883D0E" w:rsidRPr="00DD65C2">
        <w:rPr>
          <w:rFonts w:ascii="Calibri" w:hAnsi="Calibri" w:cs="Calibri"/>
          <w:lang w:val="en-GB"/>
        </w:rPr>
        <w:t xml:space="preserve">As regards the </w:t>
      </w:r>
      <w:r w:rsidR="00EE5BAE" w:rsidRPr="00DD65C2">
        <w:rPr>
          <w:rFonts w:ascii="Calibri" w:hAnsi="Calibri" w:cs="Calibri"/>
          <w:lang w:val="en-GB"/>
        </w:rPr>
        <w:t>former</w:t>
      </w:r>
      <w:r w:rsidR="00883D0E" w:rsidRPr="00DD65C2">
        <w:rPr>
          <w:rFonts w:ascii="Calibri" w:hAnsi="Calibri" w:cs="Calibri"/>
          <w:lang w:val="en-GB"/>
        </w:rPr>
        <w:t xml:space="preserve">, it would have allowed framing the legal test developed by the </w:t>
      </w:r>
      <w:r w:rsidR="00AD1087" w:rsidRPr="00DD65C2">
        <w:rPr>
          <w:rFonts w:ascii="Calibri" w:hAnsi="Calibri" w:cs="Calibri"/>
          <w:lang w:val="en-GB"/>
        </w:rPr>
        <w:t>Court</w:t>
      </w:r>
      <w:r w:rsidR="00883D0E" w:rsidRPr="00DD65C2">
        <w:rPr>
          <w:rFonts w:ascii="Calibri" w:hAnsi="Calibri" w:cs="Calibri"/>
          <w:lang w:val="en-GB"/>
        </w:rPr>
        <w:t xml:space="preserve"> within </w:t>
      </w:r>
      <w:r w:rsidR="00AD1087" w:rsidRPr="00DD65C2">
        <w:rPr>
          <w:rFonts w:ascii="Calibri" w:hAnsi="Calibri" w:cs="Calibri"/>
          <w:lang w:val="en-GB"/>
        </w:rPr>
        <w:t>the broader policy considerations stemming from the interaction between marks and speech</w:t>
      </w:r>
      <w:r w:rsidR="00883D0E" w:rsidRPr="00DD65C2">
        <w:rPr>
          <w:rFonts w:ascii="Calibri" w:hAnsi="Calibri" w:cs="Calibri"/>
          <w:lang w:val="en-GB"/>
        </w:rPr>
        <w:t xml:space="preserve">. As for the </w:t>
      </w:r>
      <w:r w:rsidR="00EE5BAE" w:rsidRPr="00DD65C2">
        <w:rPr>
          <w:rFonts w:ascii="Calibri" w:hAnsi="Calibri" w:cs="Calibri"/>
          <w:lang w:val="en-GB"/>
        </w:rPr>
        <w:t>latter</w:t>
      </w:r>
      <w:r w:rsidR="000E2F36" w:rsidRPr="00DD65C2">
        <w:rPr>
          <w:rFonts w:ascii="Calibri" w:hAnsi="Calibri" w:cs="Calibri"/>
          <w:lang w:val="en-GB"/>
        </w:rPr>
        <w:t xml:space="preserve">, </w:t>
      </w:r>
      <w:r w:rsidR="00883D0E" w:rsidRPr="00DD65C2">
        <w:rPr>
          <w:rFonts w:ascii="Calibri" w:hAnsi="Calibri" w:cs="Calibri"/>
          <w:lang w:val="en-GB"/>
        </w:rPr>
        <w:t>it w</w:t>
      </w:r>
      <w:r w:rsidR="000E2F36" w:rsidRPr="00DD65C2">
        <w:rPr>
          <w:rFonts w:ascii="Calibri" w:hAnsi="Calibri" w:cs="Calibri"/>
          <w:lang w:val="en-GB"/>
        </w:rPr>
        <w:t xml:space="preserve">ould </w:t>
      </w:r>
      <w:r w:rsidR="000E2F36" w:rsidRPr="00DD65C2">
        <w:rPr>
          <w:rFonts w:ascii="Calibri" w:hAnsi="Calibri" w:cs="Calibri"/>
          <w:lang w:val="en-GB"/>
        </w:rPr>
        <w:lastRenderedPageBreak/>
        <w:t xml:space="preserve">have </w:t>
      </w:r>
      <w:r w:rsidR="00AD1087" w:rsidRPr="00DD65C2">
        <w:rPr>
          <w:rFonts w:ascii="Calibri" w:hAnsi="Calibri" w:cs="Calibri"/>
          <w:lang w:val="en-GB"/>
        </w:rPr>
        <w:t>enabled</w:t>
      </w:r>
      <w:r w:rsidR="000E2F36" w:rsidRPr="00DD65C2">
        <w:rPr>
          <w:rFonts w:ascii="Calibri" w:hAnsi="Calibri" w:cs="Calibri"/>
          <w:lang w:val="en-GB"/>
        </w:rPr>
        <w:t xml:space="preserve"> future </w:t>
      </w:r>
      <w:r w:rsidR="00CA4514" w:rsidRPr="00DD65C2">
        <w:rPr>
          <w:rFonts w:ascii="Calibri" w:hAnsi="Calibri" w:cs="Calibri"/>
          <w:lang w:val="en-GB"/>
        </w:rPr>
        <w:t>decision-maker</w:t>
      </w:r>
      <w:r w:rsidR="000E2F36" w:rsidRPr="00DD65C2">
        <w:rPr>
          <w:rFonts w:ascii="Calibri" w:hAnsi="Calibri" w:cs="Calibri"/>
          <w:lang w:val="en-GB"/>
        </w:rPr>
        <w:t>s to propose a harmonised legal test for determining that an applied-for sign is contrary to public policy</w:t>
      </w:r>
      <w:r w:rsidR="00AD1087" w:rsidRPr="00DD65C2">
        <w:rPr>
          <w:rFonts w:ascii="Calibri" w:hAnsi="Calibri" w:cs="Calibri"/>
          <w:lang w:val="en-GB"/>
        </w:rPr>
        <w:t xml:space="preserve"> –following in the Court’s footsteps in </w:t>
      </w:r>
      <w:r w:rsidR="00AD1087" w:rsidRPr="00DD65C2">
        <w:rPr>
          <w:rFonts w:ascii="Calibri" w:hAnsi="Calibri" w:cs="Calibri"/>
          <w:i/>
          <w:iCs/>
          <w:lang w:val="en-GB"/>
        </w:rPr>
        <w:t>Constantin Film Produktion</w:t>
      </w:r>
      <w:r w:rsidR="00AD1087" w:rsidRPr="00DD65C2">
        <w:rPr>
          <w:rFonts w:ascii="Calibri" w:hAnsi="Calibri" w:cs="Calibri"/>
          <w:lang w:val="en-GB"/>
        </w:rPr>
        <w:t xml:space="preserve">. </w:t>
      </w:r>
      <w:r w:rsidR="00E7798B" w:rsidRPr="00DD65C2">
        <w:rPr>
          <w:rFonts w:ascii="Calibri" w:hAnsi="Calibri" w:cs="Calibri"/>
          <w:lang w:val="en-GB"/>
        </w:rPr>
        <w:t xml:space="preserve">But </w:t>
      </w:r>
      <w:r w:rsidR="000E2F36" w:rsidRPr="00DD65C2">
        <w:rPr>
          <w:rFonts w:ascii="Calibri" w:hAnsi="Calibri" w:cs="Calibri"/>
          <w:lang w:val="en-GB"/>
        </w:rPr>
        <w:t xml:space="preserve">a more sophisticated understanding of the interaction between marks and speech </w:t>
      </w:r>
      <w:r w:rsidR="00E7798B" w:rsidRPr="00DD65C2">
        <w:rPr>
          <w:rFonts w:ascii="Calibri" w:hAnsi="Calibri" w:cs="Calibri"/>
          <w:lang w:val="en-GB"/>
        </w:rPr>
        <w:t>could</w:t>
      </w:r>
      <w:r w:rsidR="00B07673" w:rsidRPr="00DD65C2">
        <w:rPr>
          <w:rFonts w:ascii="Calibri" w:hAnsi="Calibri" w:cs="Calibri"/>
          <w:lang w:val="en-GB"/>
        </w:rPr>
        <w:t xml:space="preserve"> </w:t>
      </w:r>
      <w:r w:rsidR="000E2F36" w:rsidRPr="00DD65C2">
        <w:rPr>
          <w:rFonts w:ascii="Calibri" w:hAnsi="Calibri" w:cs="Calibri"/>
          <w:lang w:val="en-GB"/>
        </w:rPr>
        <w:t xml:space="preserve">have </w:t>
      </w:r>
      <w:r w:rsidR="00B07673" w:rsidRPr="00DD65C2">
        <w:rPr>
          <w:rFonts w:ascii="Calibri" w:hAnsi="Calibri" w:cs="Calibri"/>
          <w:lang w:val="en-GB"/>
        </w:rPr>
        <w:t xml:space="preserve">had </w:t>
      </w:r>
      <w:r w:rsidR="000E2F36" w:rsidRPr="00DD65C2">
        <w:rPr>
          <w:rFonts w:ascii="Calibri" w:hAnsi="Calibri" w:cs="Calibri"/>
          <w:lang w:val="en-GB"/>
        </w:rPr>
        <w:t xml:space="preserve">ramifications </w:t>
      </w:r>
      <w:r w:rsidR="00B07673" w:rsidRPr="00DD65C2">
        <w:rPr>
          <w:rFonts w:ascii="Calibri" w:hAnsi="Calibri" w:cs="Calibri"/>
          <w:lang w:val="en-GB"/>
        </w:rPr>
        <w:t>beyond Article 7(1)(f) EUTMR</w:t>
      </w:r>
      <w:r w:rsidR="0027600F" w:rsidRPr="00DD65C2">
        <w:rPr>
          <w:rFonts w:ascii="Calibri" w:hAnsi="Calibri" w:cs="Calibri"/>
          <w:lang w:val="en-GB"/>
        </w:rPr>
        <w:t>,</w:t>
      </w:r>
      <w:r w:rsidR="0084431D" w:rsidRPr="00DD65C2">
        <w:rPr>
          <w:rFonts w:ascii="Calibri" w:hAnsi="Calibri" w:cs="Calibri"/>
          <w:lang w:val="en-GB"/>
        </w:rPr>
        <w:t xml:space="preserve"> </w:t>
      </w:r>
      <w:r w:rsidR="000E2F36" w:rsidRPr="00DD65C2">
        <w:rPr>
          <w:rFonts w:ascii="Calibri" w:hAnsi="Calibri" w:cs="Calibri"/>
          <w:lang w:val="en-GB"/>
        </w:rPr>
        <w:t>in</w:t>
      </w:r>
      <w:r w:rsidR="00B07673" w:rsidRPr="00DD65C2">
        <w:rPr>
          <w:rFonts w:ascii="Calibri" w:hAnsi="Calibri" w:cs="Calibri"/>
          <w:lang w:val="en-GB"/>
        </w:rPr>
        <w:t>to</w:t>
      </w:r>
      <w:r w:rsidR="000E2F36" w:rsidRPr="00DD65C2">
        <w:rPr>
          <w:rFonts w:ascii="Calibri" w:hAnsi="Calibri" w:cs="Calibri"/>
          <w:lang w:val="en-GB"/>
        </w:rPr>
        <w:t xml:space="preserve"> other </w:t>
      </w:r>
      <w:r w:rsidR="00E7798B" w:rsidRPr="00DD65C2">
        <w:rPr>
          <w:rFonts w:ascii="Calibri" w:hAnsi="Calibri" w:cs="Calibri"/>
          <w:lang w:val="en-GB"/>
        </w:rPr>
        <w:t xml:space="preserve">areas of trade mark law where speech interests are </w:t>
      </w:r>
      <w:r w:rsidR="000E2F36" w:rsidRPr="00DD65C2">
        <w:rPr>
          <w:rFonts w:ascii="Calibri" w:hAnsi="Calibri" w:cs="Calibri"/>
          <w:lang w:val="en-GB"/>
        </w:rPr>
        <w:t xml:space="preserve">also </w:t>
      </w:r>
      <w:r w:rsidR="00E7798B" w:rsidRPr="00DD65C2">
        <w:rPr>
          <w:rFonts w:ascii="Calibri" w:hAnsi="Calibri" w:cs="Calibri"/>
          <w:lang w:val="en-GB"/>
        </w:rPr>
        <w:t>at stake</w:t>
      </w:r>
      <w:r w:rsidR="0027600F" w:rsidRPr="00DD65C2">
        <w:rPr>
          <w:rFonts w:ascii="Calibri" w:hAnsi="Calibri" w:cs="Calibri"/>
          <w:lang w:val="en-GB"/>
        </w:rPr>
        <w:t xml:space="preserve">, notably infringement. </w:t>
      </w:r>
      <w:r w:rsidR="00F64B48" w:rsidRPr="00DD65C2">
        <w:rPr>
          <w:rFonts w:ascii="Calibri" w:hAnsi="Calibri" w:cs="Calibri"/>
          <w:lang w:val="en-GB"/>
        </w:rPr>
        <w:t>The CJEU’s shying away from these issues is</w:t>
      </w:r>
      <w:r w:rsidR="00B04DAA" w:rsidRPr="00DD65C2">
        <w:rPr>
          <w:rFonts w:ascii="Calibri" w:hAnsi="Calibri" w:cs="Calibri"/>
          <w:lang w:val="en-GB"/>
        </w:rPr>
        <w:t>,</w:t>
      </w:r>
      <w:r w:rsidR="0084431D" w:rsidRPr="00DD65C2">
        <w:rPr>
          <w:rFonts w:ascii="Calibri" w:hAnsi="Calibri" w:cs="Calibri"/>
          <w:lang w:val="en-GB"/>
        </w:rPr>
        <w:t xml:space="preserve"> thus</w:t>
      </w:r>
      <w:r w:rsidR="00B04DAA" w:rsidRPr="00DD65C2">
        <w:rPr>
          <w:rFonts w:ascii="Calibri" w:hAnsi="Calibri" w:cs="Calibri"/>
          <w:lang w:val="en-GB"/>
        </w:rPr>
        <w:t>,</w:t>
      </w:r>
      <w:r w:rsidR="00F64B48" w:rsidRPr="00DD65C2">
        <w:rPr>
          <w:rFonts w:ascii="Calibri" w:hAnsi="Calibri" w:cs="Calibri"/>
          <w:lang w:val="en-GB"/>
        </w:rPr>
        <w:t xml:space="preserve"> regrettable. And while optimists may </w:t>
      </w:r>
      <w:r w:rsidR="00B07673" w:rsidRPr="00DD65C2">
        <w:rPr>
          <w:rFonts w:ascii="Calibri" w:hAnsi="Calibri" w:cs="Calibri"/>
          <w:lang w:val="en-GB"/>
        </w:rPr>
        <w:t xml:space="preserve">well </w:t>
      </w:r>
      <w:r w:rsidR="00F64B48" w:rsidRPr="00DD65C2">
        <w:rPr>
          <w:rFonts w:ascii="Calibri" w:hAnsi="Calibri" w:cs="Calibri"/>
          <w:lang w:val="en-GB"/>
        </w:rPr>
        <w:t xml:space="preserve">argue, in light of Recital 21 EUTMR, that the </w:t>
      </w:r>
      <w:r w:rsidR="00B07673" w:rsidRPr="00DD65C2">
        <w:rPr>
          <w:rFonts w:ascii="Calibri" w:hAnsi="Calibri" w:cs="Calibri"/>
          <w:lang w:val="en-GB"/>
        </w:rPr>
        <w:t>need</w:t>
      </w:r>
      <w:r w:rsidR="00F64B48" w:rsidRPr="00DD65C2">
        <w:rPr>
          <w:rFonts w:ascii="Calibri" w:hAnsi="Calibri" w:cs="Calibri"/>
          <w:lang w:val="en-GB"/>
        </w:rPr>
        <w:t xml:space="preserve"> to factor in the diversity of fundamental rights involved in trade mark law will lead future courts to take into account speech interests in other areas of </w:t>
      </w:r>
      <w:r w:rsidR="00E9149A" w:rsidRPr="00DD65C2">
        <w:rPr>
          <w:rFonts w:ascii="Calibri" w:hAnsi="Calibri" w:cs="Calibri"/>
          <w:lang w:val="en-GB"/>
        </w:rPr>
        <w:t>the discipline</w:t>
      </w:r>
      <w:r w:rsidR="00F64B48" w:rsidRPr="00DD65C2">
        <w:rPr>
          <w:rFonts w:ascii="Calibri" w:hAnsi="Calibri" w:cs="Calibri"/>
          <w:lang w:val="en-GB"/>
        </w:rPr>
        <w:t xml:space="preserve"> too, this is already a stretch from the </w:t>
      </w:r>
      <w:r w:rsidR="003E006E" w:rsidRPr="00DD65C2">
        <w:rPr>
          <w:rFonts w:ascii="Calibri" w:hAnsi="Calibri" w:cs="Calibri"/>
          <w:lang w:val="en-GB"/>
        </w:rPr>
        <w:t>CJEU’s</w:t>
      </w:r>
      <w:r w:rsidR="00860C3D" w:rsidRPr="00DD65C2">
        <w:rPr>
          <w:rFonts w:ascii="Calibri" w:hAnsi="Calibri" w:cs="Calibri"/>
          <w:lang w:val="en-GB"/>
        </w:rPr>
        <w:t xml:space="preserve"> strict</w:t>
      </w:r>
      <w:r w:rsidR="00F64B48" w:rsidRPr="00DD65C2">
        <w:rPr>
          <w:rFonts w:ascii="Calibri" w:hAnsi="Calibri" w:cs="Calibri"/>
          <w:lang w:val="en-GB"/>
        </w:rPr>
        <w:t xml:space="preserve"> finding in </w:t>
      </w:r>
      <w:r w:rsidR="00F64B48" w:rsidRPr="00DD65C2">
        <w:rPr>
          <w:rFonts w:ascii="Calibri" w:hAnsi="Calibri" w:cs="Calibri"/>
          <w:i/>
          <w:iCs/>
          <w:lang w:val="en-GB"/>
        </w:rPr>
        <w:t>Constantin Film Produktion</w:t>
      </w:r>
      <w:r w:rsidR="00F64B48" w:rsidRPr="00DD65C2">
        <w:rPr>
          <w:rFonts w:ascii="Calibri" w:hAnsi="Calibri" w:cs="Calibri"/>
          <w:lang w:val="en-GB"/>
        </w:rPr>
        <w:t xml:space="preserve">. </w:t>
      </w:r>
    </w:p>
    <w:p w14:paraId="1EF3072B" w14:textId="11D58BAC" w:rsidR="00052EA8" w:rsidRPr="00DD65C2" w:rsidRDefault="00052EA8" w:rsidP="00504F94">
      <w:pPr>
        <w:jc w:val="both"/>
        <w:rPr>
          <w:rFonts w:ascii="Calibri" w:hAnsi="Calibri" w:cs="Calibri"/>
          <w:lang w:val="en-GB"/>
        </w:rPr>
      </w:pPr>
    </w:p>
    <w:p w14:paraId="62B9A8ED" w14:textId="24526ACC" w:rsidR="00952630" w:rsidRPr="00DD65C2" w:rsidRDefault="00BC258D" w:rsidP="00504F94">
      <w:pPr>
        <w:jc w:val="both"/>
        <w:rPr>
          <w:rFonts w:ascii="Calibri" w:hAnsi="Calibri" w:cs="Calibri"/>
          <w:lang w:val="en-GB"/>
        </w:rPr>
      </w:pPr>
      <w:r w:rsidRPr="00DD65C2">
        <w:rPr>
          <w:rFonts w:ascii="Calibri" w:hAnsi="Calibri" w:cs="Calibri"/>
          <w:lang w:val="en-GB"/>
        </w:rPr>
        <w:t xml:space="preserve">Second, the Court fails to explain </w:t>
      </w:r>
      <w:r w:rsidR="00052EA8" w:rsidRPr="00DD65C2">
        <w:rPr>
          <w:rFonts w:ascii="Calibri" w:hAnsi="Calibri" w:cs="Calibri"/>
          <w:i/>
          <w:iCs/>
          <w:lang w:val="en-GB"/>
        </w:rPr>
        <w:t>how</w:t>
      </w:r>
      <w:r w:rsidR="00052EA8" w:rsidRPr="00DD65C2">
        <w:rPr>
          <w:rFonts w:ascii="Calibri" w:hAnsi="Calibri" w:cs="Calibri"/>
          <w:lang w:val="en-GB"/>
        </w:rPr>
        <w:t xml:space="preserve"> its finding that speech protection is implicated in trade mark law builds into the test developed to determine when an applied-for sign is morally</w:t>
      </w:r>
      <w:r w:rsidR="00354193">
        <w:rPr>
          <w:rFonts w:ascii="Calibri" w:hAnsi="Calibri" w:cs="Calibri"/>
          <w:lang w:val="en-GB"/>
        </w:rPr>
        <w:t xml:space="preserve"> </w:t>
      </w:r>
      <w:r w:rsidR="00052EA8" w:rsidRPr="00DD65C2">
        <w:rPr>
          <w:rFonts w:ascii="Calibri" w:hAnsi="Calibri" w:cs="Calibri"/>
          <w:lang w:val="en-GB"/>
        </w:rPr>
        <w:t xml:space="preserve">objectionable and, thus, unregistrable. Judging from </w:t>
      </w:r>
      <w:r w:rsidRPr="00DD65C2">
        <w:rPr>
          <w:rFonts w:ascii="Calibri" w:hAnsi="Calibri" w:cs="Calibri"/>
          <w:lang w:val="en-GB"/>
        </w:rPr>
        <w:t>its</w:t>
      </w:r>
      <w:r w:rsidR="00052EA8" w:rsidRPr="00DD65C2">
        <w:rPr>
          <w:rFonts w:ascii="Calibri" w:hAnsi="Calibri" w:cs="Calibri"/>
          <w:lang w:val="en-GB"/>
        </w:rPr>
        <w:t xml:space="preserve"> decision, it would appear that the Court believes both elements to operate irrespective of each other –i.e. the fact that speech protection is implicated in trade mark law has no bearing on the applicable test. This can be seen from the way in which the Court’s arguments are structured, which provides an insight into its thought process. </w:t>
      </w:r>
      <w:r w:rsidR="00836F00" w:rsidRPr="00DD65C2">
        <w:rPr>
          <w:rFonts w:ascii="Calibri" w:hAnsi="Calibri" w:cs="Calibri"/>
          <w:lang w:val="en-GB"/>
        </w:rPr>
        <w:t>T</w:t>
      </w:r>
      <w:r w:rsidR="00FD4B2C" w:rsidRPr="00DD65C2">
        <w:rPr>
          <w:rFonts w:ascii="Calibri" w:hAnsi="Calibri" w:cs="Calibri"/>
          <w:lang w:val="en-GB"/>
        </w:rPr>
        <w:t xml:space="preserve">he order </w:t>
      </w:r>
      <w:r w:rsidR="00052EA8" w:rsidRPr="00DD65C2">
        <w:rPr>
          <w:rFonts w:ascii="Calibri" w:hAnsi="Calibri" w:cs="Calibri"/>
          <w:lang w:val="en-GB"/>
        </w:rPr>
        <w:t>in which the Court’s ideas are presented</w:t>
      </w:r>
      <w:r w:rsidR="00FD4B2C" w:rsidRPr="00DD65C2">
        <w:rPr>
          <w:rFonts w:ascii="Calibri" w:hAnsi="Calibri" w:cs="Calibri"/>
          <w:lang w:val="en-GB"/>
        </w:rPr>
        <w:t xml:space="preserve"> is </w:t>
      </w:r>
      <w:r w:rsidR="00052EA8" w:rsidRPr="00DD65C2">
        <w:rPr>
          <w:rFonts w:ascii="Calibri" w:hAnsi="Calibri" w:cs="Calibri"/>
          <w:lang w:val="en-GB"/>
        </w:rPr>
        <w:t xml:space="preserve">rather counterintuitive. The CJEU </w:t>
      </w:r>
      <w:r w:rsidR="006306FF" w:rsidRPr="00DD65C2">
        <w:rPr>
          <w:rFonts w:ascii="Calibri" w:hAnsi="Calibri" w:cs="Calibri"/>
          <w:lang w:val="en-GB"/>
        </w:rPr>
        <w:t>develops</w:t>
      </w:r>
      <w:r w:rsidR="00052EA8" w:rsidRPr="00DD65C2">
        <w:rPr>
          <w:rFonts w:ascii="Calibri" w:hAnsi="Calibri" w:cs="Calibri"/>
          <w:lang w:val="en-GB"/>
        </w:rPr>
        <w:t xml:space="preserve"> </w:t>
      </w:r>
      <w:r w:rsidR="006306FF" w:rsidRPr="00DD65C2">
        <w:rPr>
          <w:rFonts w:ascii="Calibri" w:hAnsi="Calibri" w:cs="Calibri"/>
          <w:lang w:val="en-GB"/>
        </w:rPr>
        <w:t>its</w:t>
      </w:r>
      <w:r w:rsidR="00052EA8" w:rsidRPr="00DD65C2">
        <w:rPr>
          <w:rFonts w:ascii="Calibri" w:hAnsi="Calibri" w:cs="Calibri"/>
          <w:lang w:val="en-GB"/>
        </w:rPr>
        <w:t xml:space="preserve"> </w:t>
      </w:r>
      <w:r w:rsidR="006306FF" w:rsidRPr="00DD65C2">
        <w:rPr>
          <w:rFonts w:ascii="Calibri" w:hAnsi="Calibri" w:cs="Calibri"/>
          <w:lang w:val="en-GB"/>
        </w:rPr>
        <w:t xml:space="preserve">empirical </w:t>
      </w:r>
      <w:r w:rsidR="00052EA8" w:rsidRPr="00DD65C2">
        <w:rPr>
          <w:rFonts w:ascii="Calibri" w:hAnsi="Calibri" w:cs="Calibri"/>
          <w:lang w:val="en-GB"/>
        </w:rPr>
        <w:t xml:space="preserve">test </w:t>
      </w:r>
      <w:r w:rsidR="006306FF" w:rsidRPr="00DD65C2">
        <w:rPr>
          <w:rFonts w:ascii="Calibri" w:hAnsi="Calibri" w:cs="Calibri"/>
          <w:lang w:val="en-GB"/>
        </w:rPr>
        <w:t>for morality</w:t>
      </w:r>
      <w:r w:rsidR="00052EA8" w:rsidRPr="00DD65C2">
        <w:rPr>
          <w:rFonts w:ascii="Calibri" w:hAnsi="Calibri" w:cs="Calibri"/>
          <w:lang w:val="en-GB"/>
        </w:rPr>
        <w:t xml:space="preserve"> in the first place, leaving its analysis of whether speech protection is implicated in trade mark law for the end. </w:t>
      </w:r>
      <w:r w:rsidR="00FD4B2C" w:rsidRPr="00DD65C2">
        <w:rPr>
          <w:rFonts w:ascii="Calibri" w:hAnsi="Calibri" w:cs="Calibri"/>
          <w:lang w:val="en-GB"/>
        </w:rPr>
        <w:t>A</w:t>
      </w:r>
      <w:r w:rsidR="00052EA8" w:rsidRPr="00DD65C2">
        <w:rPr>
          <w:rFonts w:ascii="Calibri" w:hAnsi="Calibri" w:cs="Calibri"/>
          <w:lang w:val="en-GB"/>
        </w:rPr>
        <w:t xml:space="preserve"> more logical approach to the case would</w:t>
      </w:r>
      <w:r w:rsidR="00FD4B2C" w:rsidRPr="00DD65C2">
        <w:rPr>
          <w:rFonts w:ascii="Calibri" w:hAnsi="Calibri" w:cs="Calibri"/>
          <w:lang w:val="en-GB"/>
        </w:rPr>
        <w:t>, however,</w:t>
      </w:r>
      <w:r w:rsidR="00052EA8" w:rsidRPr="00DD65C2">
        <w:rPr>
          <w:rFonts w:ascii="Calibri" w:hAnsi="Calibri" w:cs="Calibri"/>
          <w:lang w:val="en-GB"/>
        </w:rPr>
        <w:t xml:space="preserve"> require reversing the order in which both elements are explored, insofar as the applicable test under the morality exclusion is ultimately dependent on the protection afforded to trade mark applicants by virtue of Article 10 ECHR. Doing otherwise risks distorting the boundaries of the morality exclusion. </w:t>
      </w:r>
    </w:p>
    <w:p w14:paraId="17BC2A16" w14:textId="77777777" w:rsidR="00952630" w:rsidRPr="00DD65C2" w:rsidRDefault="00952630" w:rsidP="00504F94">
      <w:pPr>
        <w:jc w:val="both"/>
        <w:rPr>
          <w:rFonts w:ascii="Calibri" w:hAnsi="Calibri" w:cs="Calibri"/>
          <w:lang w:val="en-GB"/>
        </w:rPr>
      </w:pPr>
    </w:p>
    <w:p w14:paraId="261E5EBB" w14:textId="159456AB" w:rsidR="00F02A0A" w:rsidRPr="00DD65C2" w:rsidRDefault="00052EA8" w:rsidP="005D207D">
      <w:pPr>
        <w:jc w:val="both"/>
        <w:rPr>
          <w:rFonts w:ascii="Calibri" w:hAnsi="Calibri" w:cs="Calibri"/>
          <w:lang w:val="en-GB"/>
        </w:rPr>
      </w:pPr>
      <w:r w:rsidRPr="00DD65C2">
        <w:rPr>
          <w:rFonts w:ascii="Calibri" w:hAnsi="Calibri" w:cs="Calibri"/>
          <w:lang w:val="en-GB"/>
        </w:rPr>
        <w:t xml:space="preserve">By remaining silent on the existence of a causal relation between freedom of expression being implicated in trade mark law, on the one hand, and the applicable test </w:t>
      </w:r>
      <w:r w:rsidR="006306FF" w:rsidRPr="00DD65C2">
        <w:rPr>
          <w:rFonts w:ascii="Calibri" w:hAnsi="Calibri" w:cs="Calibri"/>
          <w:lang w:val="en-GB"/>
        </w:rPr>
        <w:t>to</w:t>
      </w:r>
      <w:r w:rsidRPr="00DD65C2">
        <w:rPr>
          <w:rFonts w:ascii="Calibri" w:hAnsi="Calibri" w:cs="Calibri"/>
          <w:lang w:val="en-GB"/>
        </w:rPr>
        <w:t xml:space="preserve"> the morality exclusion, on the other, the Court’s approach is amenable to misinterpretation, in two ways. First, it can be construed as implying that </w:t>
      </w:r>
      <w:r w:rsidR="00E30D3E" w:rsidRPr="00DD65C2">
        <w:rPr>
          <w:rFonts w:ascii="Calibri" w:hAnsi="Calibri" w:cs="Calibri"/>
          <w:lang w:val="en-GB"/>
        </w:rPr>
        <w:t>Article 10 ECHR</w:t>
      </w:r>
      <w:r w:rsidRPr="00DD65C2">
        <w:rPr>
          <w:rFonts w:ascii="Calibri" w:hAnsi="Calibri" w:cs="Calibri"/>
          <w:lang w:val="en-GB"/>
        </w:rPr>
        <w:t xml:space="preserve"> plays no role whatsoever in determining the degree of protection that trade mark applicants should be afforded upon applying for registration of morally</w:t>
      </w:r>
      <w:r w:rsidR="00354193">
        <w:rPr>
          <w:rFonts w:ascii="Calibri" w:hAnsi="Calibri" w:cs="Calibri"/>
          <w:lang w:val="en-GB"/>
        </w:rPr>
        <w:t xml:space="preserve"> </w:t>
      </w:r>
      <w:r w:rsidRPr="00DD65C2">
        <w:rPr>
          <w:rFonts w:ascii="Calibri" w:hAnsi="Calibri" w:cs="Calibri"/>
          <w:lang w:val="en-GB"/>
        </w:rPr>
        <w:t>dubious signs. And, second</w:t>
      </w:r>
      <w:r w:rsidR="00836F00" w:rsidRPr="00DD65C2">
        <w:rPr>
          <w:rFonts w:ascii="Calibri" w:hAnsi="Calibri" w:cs="Calibri"/>
          <w:lang w:val="en-GB"/>
        </w:rPr>
        <w:t>,</w:t>
      </w:r>
      <w:r w:rsidRPr="00DD65C2">
        <w:rPr>
          <w:rFonts w:ascii="Calibri" w:hAnsi="Calibri" w:cs="Calibri"/>
          <w:lang w:val="en-GB"/>
        </w:rPr>
        <w:t xml:space="preserve"> </w:t>
      </w:r>
      <w:r w:rsidR="003F4AB4" w:rsidRPr="00DD65C2">
        <w:rPr>
          <w:rFonts w:ascii="Calibri" w:hAnsi="Calibri" w:cs="Calibri"/>
          <w:lang w:val="en-GB"/>
        </w:rPr>
        <w:t>at</w:t>
      </w:r>
      <w:r w:rsidRPr="00DD65C2">
        <w:rPr>
          <w:rFonts w:ascii="Calibri" w:hAnsi="Calibri" w:cs="Calibri"/>
          <w:lang w:val="en-GB"/>
        </w:rPr>
        <w:t xml:space="preserve"> the other end of the spectrum, this decision could be read to mean that </w:t>
      </w:r>
      <w:r w:rsidR="00507226" w:rsidRPr="00DD65C2">
        <w:rPr>
          <w:rFonts w:ascii="Calibri" w:hAnsi="Calibri" w:cs="Calibri"/>
          <w:lang w:val="en-GB"/>
        </w:rPr>
        <w:t>Article 10 ECHR</w:t>
      </w:r>
      <w:r w:rsidRPr="00DD65C2">
        <w:rPr>
          <w:rFonts w:ascii="Calibri" w:hAnsi="Calibri" w:cs="Calibri"/>
          <w:lang w:val="en-GB"/>
        </w:rPr>
        <w:t xml:space="preserve"> affords trade mark applicants an additional layer of protection when filing for registration of morally</w:t>
      </w:r>
      <w:r w:rsidR="00354193">
        <w:rPr>
          <w:rFonts w:ascii="Calibri" w:hAnsi="Calibri" w:cs="Calibri"/>
          <w:lang w:val="en-GB"/>
        </w:rPr>
        <w:t xml:space="preserve"> </w:t>
      </w:r>
      <w:r w:rsidRPr="00DD65C2">
        <w:rPr>
          <w:rFonts w:ascii="Calibri" w:hAnsi="Calibri" w:cs="Calibri"/>
          <w:lang w:val="en-GB"/>
        </w:rPr>
        <w:t>objectionable signs</w:t>
      </w:r>
      <w:r w:rsidR="00507226" w:rsidRPr="00DD65C2">
        <w:rPr>
          <w:rFonts w:ascii="Calibri" w:hAnsi="Calibri" w:cs="Calibri"/>
          <w:lang w:val="en-GB"/>
        </w:rPr>
        <w:t xml:space="preserve"> –</w:t>
      </w:r>
      <w:r w:rsidRPr="00DD65C2">
        <w:rPr>
          <w:rFonts w:ascii="Calibri" w:hAnsi="Calibri" w:cs="Calibri"/>
          <w:lang w:val="en-GB"/>
        </w:rPr>
        <w:t xml:space="preserve">further increasing the </w:t>
      </w:r>
      <w:r w:rsidR="00507226" w:rsidRPr="00DD65C2">
        <w:rPr>
          <w:rFonts w:ascii="Calibri" w:hAnsi="Calibri" w:cs="Calibri"/>
          <w:lang w:val="en-GB"/>
        </w:rPr>
        <w:t xml:space="preserve">evidentiary </w:t>
      </w:r>
      <w:r w:rsidRPr="00DD65C2">
        <w:rPr>
          <w:rFonts w:ascii="Calibri" w:hAnsi="Calibri" w:cs="Calibri"/>
          <w:lang w:val="en-GB"/>
        </w:rPr>
        <w:t xml:space="preserve">threshold that </w:t>
      </w:r>
      <w:r w:rsidR="00CA4514" w:rsidRPr="00DD65C2">
        <w:rPr>
          <w:rFonts w:ascii="Calibri" w:hAnsi="Calibri" w:cs="Calibri"/>
          <w:lang w:val="en-GB"/>
        </w:rPr>
        <w:t>decision-maker</w:t>
      </w:r>
      <w:r w:rsidR="00507226" w:rsidRPr="00DD65C2">
        <w:rPr>
          <w:rFonts w:ascii="Calibri" w:hAnsi="Calibri" w:cs="Calibri"/>
          <w:lang w:val="en-GB"/>
        </w:rPr>
        <w:t>s</w:t>
      </w:r>
      <w:r w:rsidRPr="00DD65C2">
        <w:rPr>
          <w:rFonts w:ascii="Calibri" w:hAnsi="Calibri" w:cs="Calibri"/>
          <w:lang w:val="en-GB"/>
        </w:rPr>
        <w:t xml:space="preserve"> must meet in order to declare such signs unregistrable. It is </w:t>
      </w:r>
      <w:r w:rsidR="00EE50D7" w:rsidRPr="00DD65C2">
        <w:rPr>
          <w:rFonts w:ascii="Calibri" w:hAnsi="Calibri" w:cs="Calibri"/>
          <w:lang w:val="en-GB"/>
        </w:rPr>
        <w:t xml:space="preserve">highly </w:t>
      </w:r>
      <w:r w:rsidRPr="00DD65C2">
        <w:rPr>
          <w:rFonts w:ascii="Calibri" w:hAnsi="Calibri" w:cs="Calibri"/>
          <w:lang w:val="en-GB"/>
        </w:rPr>
        <w:t xml:space="preserve">unlikely that the CJEU meant to adopt either of these approaches. </w:t>
      </w:r>
      <w:r w:rsidRPr="00DD65C2">
        <w:rPr>
          <w:rFonts w:ascii="Calibri" w:hAnsi="Calibri" w:cs="Calibri"/>
          <w:i/>
          <w:iCs/>
          <w:lang w:val="en-GB"/>
        </w:rPr>
        <w:t xml:space="preserve">Constantin Film Produktion </w:t>
      </w:r>
      <w:r w:rsidRPr="00DD65C2">
        <w:rPr>
          <w:rFonts w:ascii="Calibri" w:hAnsi="Calibri" w:cs="Calibri"/>
          <w:lang w:val="en-GB"/>
        </w:rPr>
        <w:t>thus constitutes a good example of how risk-avoidance in judicial decision</w:t>
      </w:r>
      <w:r w:rsidR="00CD0AA5" w:rsidRPr="00DD65C2">
        <w:rPr>
          <w:rFonts w:ascii="Calibri" w:hAnsi="Calibri" w:cs="Calibri"/>
          <w:lang w:val="en-GB"/>
        </w:rPr>
        <w:t>-</w:t>
      </w:r>
      <w:r w:rsidRPr="00DD65C2">
        <w:rPr>
          <w:rFonts w:ascii="Calibri" w:hAnsi="Calibri" w:cs="Calibri"/>
          <w:lang w:val="en-GB"/>
        </w:rPr>
        <w:t xml:space="preserve">making can lead to further uncertainty in an area of law. </w:t>
      </w:r>
      <w:r w:rsidR="00642110" w:rsidRPr="00DD65C2">
        <w:rPr>
          <w:rFonts w:ascii="Calibri" w:hAnsi="Calibri" w:cs="Calibri"/>
          <w:lang w:val="en-GB"/>
        </w:rPr>
        <w:t xml:space="preserve">It may well be that </w:t>
      </w:r>
      <w:r w:rsidR="00DD141E" w:rsidRPr="00DD65C2">
        <w:rPr>
          <w:rFonts w:ascii="Calibri" w:hAnsi="Calibri" w:cs="Calibri"/>
          <w:lang w:val="en-GB"/>
        </w:rPr>
        <w:t>the Court</w:t>
      </w:r>
      <w:r w:rsidR="00642110" w:rsidRPr="00DD65C2">
        <w:rPr>
          <w:rFonts w:ascii="Calibri" w:hAnsi="Calibri" w:cs="Calibri"/>
          <w:lang w:val="en-GB"/>
        </w:rPr>
        <w:t xml:space="preserve"> </w:t>
      </w:r>
      <w:r w:rsidR="00A15368">
        <w:rPr>
          <w:rFonts w:ascii="Calibri" w:hAnsi="Calibri" w:cs="Calibri"/>
          <w:lang w:val="en-GB"/>
        </w:rPr>
        <w:t>sought to</w:t>
      </w:r>
      <w:r w:rsidR="00642110" w:rsidRPr="00DD65C2">
        <w:rPr>
          <w:rFonts w:ascii="Calibri" w:hAnsi="Calibri" w:cs="Calibri"/>
          <w:lang w:val="en-GB"/>
        </w:rPr>
        <w:t xml:space="preserve"> furthe</w:t>
      </w:r>
      <w:r w:rsidR="00A15368">
        <w:rPr>
          <w:rFonts w:ascii="Calibri" w:hAnsi="Calibri" w:cs="Calibri"/>
          <w:lang w:val="en-GB"/>
        </w:rPr>
        <w:t>r</w:t>
      </w:r>
      <w:r w:rsidR="00642110" w:rsidRPr="00DD65C2">
        <w:rPr>
          <w:rFonts w:ascii="Calibri" w:hAnsi="Calibri" w:cs="Calibri"/>
          <w:lang w:val="en-GB"/>
        </w:rPr>
        <w:t xml:space="preserve"> the cause of speech </w:t>
      </w:r>
      <w:r w:rsidR="00D26FAC" w:rsidRPr="00DD65C2">
        <w:rPr>
          <w:rFonts w:ascii="Calibri" w:hAnsi="Calibri" w:cs="Calibri"/>
          <w:lang w:val="en-GB"/>
        </w:rPr>
        <w:t xml:space="preserve">in EU trade mark law </w:t>
      </w:r>
      <w:r w:rsidR="00642110" w:rsidRPr="00DD65C2">
        <w:rPr>
          <w:rFonts w:ascii="Calibri" w:hAnsi="Calibri" w:cs="Calibri"/>
          <w:lang w:val="en-GB"/>
        </w:rPr>
        <w:t>by</w:t>
      </w:r>
      <w:r w:rsidR="00BC53C1" w:rsidRPr="00DD65C2">
        <w:rPr>
          <w:rFonts w:ascii="Calibri" w:hAnsi="Calibri" w:cs="Calibri"/>
          <w:lang w:val="en-GB"/>
        </w:rPr>
        <w:t xml:space="preserve"> developing</w:t>
      </w:r>
      <w:r w:rsidR="00642110" w:rsidRPr="00DD65C2">
        <w:rPr>
          <w:rFonts w:ascii="Calibri" w:hAnsi="Calibri" w:cs="Calibri"/>
          <w:lang w:val="en-GB"/>
        </w:rPr>
        <w:t xml:space="preserve"> a fact-finding test. But this is speculation. </w:t>
      </w:r>
      <w:r w:rsidRPr="00DD65C2">
        <w:rPr>
          <w:rFonts w:ascii="Calibri" w:hAnsi="Calibri" w:cs="Calibri"/>
          <w:lang w:val="en-GB"/>
        </w:rPr>
        <w:t>Therefore, and to avoid speculation, the Court should have been more careful to tie its finding that marks</w:t>
      </w:r>
      <w:r w:rsidR="0053220B" w:rsidRPr="00DD65C2">
        <w:rPr>
          <w:rFonts w:ascii="Calibri" w:hAnsi="Calibri" w:cs="Calibri"/>
          <w:lang w:val="en-GB"/>
        </w:rPr>
        <w:t xml:space="preserve"> and speech</w:t>
      </w:r>
      <w:r w:rsidRPr="00DD65C2">
        <w:rPr>
          <w:rFonts w:ascii="Calibri" w:hAnsi="Calibri" w:cs="Calibri"/>
          <w:lang w:val="en-GB"/>
        </w:rPr>
        <w:t xml:space="preserve"> interact to the test developed under the morality exclusion. </w:t>
      </w:r>
    </w:p>
    <w:p w14:paraId="00C0C3A1" w14:textId="77777777" w:rsidR="00F02A0A" w:rsidRPr="00DD65C2" w:rsidRDefault="00F02A0A" w:rsidP="005D207D">
      <w:pPr>
        <w:jc w:val="both"/>
        <w:rPr>
          <w:rFonts w:ascii="Calibri" w:hAnsi="Calibri" w:cs="Calibri"/>
          <w:lang w:val="en-GB"/>
        </w:rPr>
      </w:pPr>
    </w:p>
    <w:p w14:paraId="09A802BB" w14:textId="70F9A31C" w:rsidR="00F3338B" w:rsidRPr="00DD65C2" w:rsidRDefault="003F0B83" w:rsidP="00151AC1">
      <w:pPr>
        <w:jc w:val="both"/>
        <w:rPr>
          <w:rFonts w:ascii="Calibri" w:hAnsi="Calibri" w:cs="Calibri"/>
          <w:lang w:val="en-GB"/>
        </w:rPr>
      </w:pPr>
      <w:r w:rsidRPr="00DD65C2">
        <w:rPr>
          <w:rFonts w:ascii="Calibri" w:hAnsi="Calibri" w:cs="Calibri"/>
          <w:lang w:val="en-GB"/>
        </w:rPr>
        <w:t>This would have been best achieved by</w:t>
      </w:r>
      <w:r w:rsidR="00860C3D" w:rsidRPr="00DD65C2">
        <w:rPr>
          <w:rFonts w:ascii="Calibri" w:hAnsi="Calibri" w:cs="Calibri"/>
          <w:lang w:val="en-GB"/>
        </w:rPr>
        <w:t xml:space="preserve"> </w:t>
      </w:r>
      <w:r w:rsidRPr="00DD65C2">
        <w:rPr>
          <w:rFonts w:ascii="Calibri" w:hAnsi="Calibri" w:cs="Calibri"/>
          <w:lang w:val="en-GB"/>
        </w:rPr>
        <w:t>analysing the compatibility of</w:t>
      </w:r>
      <w:r w:rsidR="009133FD" w:rsidRPr="00DD65C2">
        <w:rPr>
          <w:rFonts w:ascii="Calibri" w:hAnsi="Calibri" w:cs="Calibri"/>
          <w:lang w:val="en-GB"/>
        </w:rPr>
        <w:t xml:space="preserve"> the appealed decision</w:t>
      </w:r>
      <w:r w:rsidRPr="00DD65C2">
        <w:rPr>
          <w:rFonts w:ascii="Calibri" w:hAnsi="Calibri" w:cs="Calibri"/>
          <w:lang w:val="en-GB"/>
        </w:rPr>
        <w:t xml:space="preserve"> denying registration to the sign </w:t>
      </w:r>
      <w:r w:rsidR="000B557C">
        <w:rPr>
          <w:rFonts w:ascii="Calibri" w:hAnsi="Calibri" w:cs="Calibri"/>
          <w:lang w:val="en-GB"/>
        </w:rPr>
        <w:t>‘</w:t>
      </w:r>
      <w:r w:rsidR="000B557C" w:rsidRPr="00DD65C2">
        <w:rPr>
          <w:rFonts w:ascii="Calibri" w:hAnsi="Calibri" w:cs="Calibri"/>
          <w:lang w:val="en-GB" w:eastAsia="en-US"/>
        </w:rPr>
        <w:t>F</w:t>
      </w:r>
      <w:r w:rsidR="000B557C">
        <w:rPr>
          <w:rFonts w:ascii="Calibri" w:hAnsi="Calibri" w:cs="Calibri"/>
          <w:lang w:val="en-GB" w:eastAsia="en-US"/>
        </w:rPr>
        <w:t>ack Ju Göhte</w:t>
      </w:r>
      <w:r w:rsidR="000B557C" w:rsidRPr="00DD65C2">
        <w:rPr>
          <w:rFonts w:ascii="Calibri" w:hAnsi="Calibri" w:cs="Calibri"/>
          <w:lang w:val="en-GB" w:eastAsia="en-US"/>
        </w:rPr>
        <w:t>’</w:t>
      </w:r>
      <w:r w:rsidR="000B557C">
        <w:rPr>
          <w:rFonts w:ascii="Calibri" w:hAnsi="Calibri" w:cs="Calibri"/>
          <w:lang w:val="en-GB" w:eastAsia="en-US"/>
        </w:rPr>
        <w:t xml:space="preserve"> </w:t>
      </w:r>
      <w:r w:rsidR="009133FD" w:rsidRPr="00DD65C2">
        <w:rPr>
          <w:rFonts w:ascii="Calibri" w:hAnsi="Calibri" w:cs="Calibri"/>
          <w:lang w:val="en-GB"/>
        </w:rPr>
        <w:t xml:space="preserve">with the proportionality test mandated under Article 10 ECHR. </w:t>
      </w:r>
      <w:r w:rsidR="00630B1B" w:rsidRPr="00DD65C2">
        <w:rPr>
          <w:rFonts w:ascii="Calibri" w:hAnsi="Calibri" w:cs="Calibri"/>
          <w:lang w:val="en-GB"/>
        </w:rPr>
        <w:t xml:space="preserve">For reasons that I will go on to explain, </w:t>
      </w:r>
      <w:r w:rsidR="00BC4346" w:rsidRPr="00DD65C2">
        <w:rPr>
          <w:rFonts w:ascii="Calibri" w:hAnsi="Calibri" w:cs="Calibri"/>
          <w:lang w:val="en-GB"/>
        </w:rPr>
        <w:t>this analysis</w:t>
      </w:r>
      <w:r w:rsidR="00630B1B" w:rsidRPr="00DD65C2">
        <w:rPr>
          <w:rFonts w:ascii="Calibri" w:hAnsi="Calibri" w:cs="Calibri"/>
          <w:lang w:val="en-GB"/>
        </w:rPr>
        <w:t xml:space="preserve"> </w:t>
      </w:r>
      <w:r w:rsidR="00630B1B" w:rsidRPr="00DD65C2">
        <w:rPr>
          <w:rFonts w:ascii="Calibri" w:hAnsi="Calibri" w:cs="Calibri"/>
          <w:lang w:val="en-GB"/>
        </w:rPr>
        <w:lastRenderedPageBreak/>
        <w:t>would not have altered to any meaningful extent the substance of the test</w:t>
      </w:r>
      <w:r w:rsidR="00384565" w:rsidRPr="00DD65C2">
        <w:rPr>
          <w:rFonts w:ascii="Calibri" w:hAnsi="Calibri" w:cs="Calibri"/>
          <w:lang w:val="en-GB"/>
        </w:rPr>
        <w:t xml:space="preserve"> of morality</w:t>
      </w:r>
      <w:r w:rsidR="00630B1B" w:rsidRPr="00DD65C2">
        <w:rPr>
          <w:rFonts w:ascii="Calibri" w:hAnsi="Calibri" w:cs="Calibri"/>
          <w:lang w:val="en-GB"/>
        </w:rPr>
        <w:t xml:space="preserve"> proposed by the CJEU. </w:t>
      </w:r>
      <w:r w:rsidR="00EB02DC" w:rsidRPr="00DD65C2">
        <w:rPr>
          <w:rFonts w:ascii="Calibri" w:hAnsi="Calibri" w:cs="Calibri"/>
          <w:lang w:val="en-GB"/>
        </w:rPr>
        <w:t>This is perhaps counterintuitive. However, t</w:t>
      </w:r>
      <w:r w:rsidR="00110D19" w:rsidRPr="00DD65C2">
        <w:rPr>
          <w:rFonts w:ascii="Calibri" w:hAnsi="Calibri" w:cs="Calibri"/>
          <w:lang w:val="en-GB"/>
        </w:rPr>
        <w:t>he</w:t>
      </w:r>
      <w:r w:rsidR="00630B1B" w:rsidRPr="00DD65C2">
        <w:rPr>
          <w:rFonts w:ascii="Calibri" w:hAnsi="Calibri" w:cs="Calibri"/>
          <w:lang w:val="en-GB"/>
        </w:rPr>
        <w:t xml:space="preserve"> empirical nature of </w:t>
      </w:r>
      <w:r w:rsidR="00110D19" w:rsidRPr="00DD65C2">
        <w:rPr>
          <w:rFonts w:ascii="Calibri" w:hAnsi="Calibri" w:cs="Calibri"/>
          <w:lang w:val="en-GB"/>
        </w:rPr>
        <w:t xml:space="preserve">this test </w:t>
      </w:r>
      <w:r w:rsidR="00BC4346" w:rsidRPr="00DD65C2">
        <w:rPr>
          <w:rFonts w:ascii="Calibri" w:hAnsi="Calibri" w:cs="Calibri"/>
          <w:lang w:val="en-GB"/>
        </w:rPr>
        <w:t>conforms with the evidentiary requirements imposed under Article 10 ECHR</w:t>
      </w:r>
      <w:r w:rsidR="00F02A0A" w:rsidRPr="00DD65C2">
        <w:rPr>
          <w:rFonts w:ascii="Calibri" w:hAnsi="Calibri" w:cs="Calibri"/>
          <w:lang w:val="en-GB"/>
        </w:rPr>
        <w:t xml:space="preserve"> for encroachments on speech to be justified</w:t>
      </w:r>
      <w:r w:rsidR="00BC4346" w:rsidRPr="00DD65C2">
        <w:rPr>
          <w:rFonts w:ascii="Calibri" w:hAnsi="Calibri" w:cs="Calibri"/>
          <w:lang w:val="en-GB"/>
        </w:rPr>
        <w:t xml:space="preserve">. </w:t>
      </w:r>
      <w:r w:rsidR="00F3338B" w:rsidRPr="00DD65C2">
        <w:rPr>
          <w:rFonts w:ascii="Calibri" w:hAnsi="Calibri" w:cs="Calibri"/>
          <w:lang w:val="en-GB"/>
        </w:rPr>
        <w:t xml:space="preserve">To illustrate this, I will guide the reader through the application of the proportionality test </w:t>
      </w:r>
      <w:r w:rsidR="00BC4346" w:rsidRPr="00DD65C2">
        <w:rPr>
          <w:rFonts w:ascii="Calibri" w:hAnsi="Calibri" w:cs="Calibri"/>
          <w:lang w:val="en-GB"/>
        </w:rPr>
        <w:t xml:space="preserve">mandated under the Convention to the </w:t>
      </w:r>
      <w:r w:rsidR="00F3338B" w:rsidRPr="00DD65C2">
        <w:rPr>
          <w:rFonts w:ascii="Calibri" w:hAnsi="Calibri" w:cs="Calibri"/>
          <w:lang w:val="en-GB"/>
        </w:rPr>
        <w:t xml:space="preserve">morality exclusion. </w:t>
      </w:r>
    </w:p>
    <w:p w14:paraId="2187ABE5" w14:textId="77777777" w:rsidR="00F3338B" w:rsidRPr="00DD65C2" w:rsidRDefault="00F3338B" w:rsidP="00151AC1">
      <w:pPr>
        <w:jc w:val="both"/>
        <w:rPr>
          <w:rFonts w:ascii="Calibri" w:hAnsi="Calibri" w:cs="Calibri"/>
          <w:lang w:val="en-GB"/>
        </w:rPr>
      </w:pPr>
    </w:p>
    <w:p w14:paraId="6F119572" w14:textId="655BAD25" w:rsidR="007B2AD6" w:rsidRPr="00DD65C2" w:rsidRDefault="007B2AD6" w:rsidP="007A1561">
      <w:pPr>
        <w:jc w:val="both"/>
        <w:rPr>
          <w:rFonts w:ascii="Calibri" w:hAnsi="Calibri" w:cs="Calibri"/>
          <w:lang w:val="en-GB"/>
        </w:rPr>
      </w:pPr>
      <w:r w:rsidRPr="00DD65C2">
        <w:rPr>
          <w:rFonts w:ascii="Calibri" w:hAnsi="Calibri" w:cs="Calibri"/>
          <w:lang w:val="en-GB"/>
        </w:rPr>
        <w:t xml:space="preserve">As we saw </w:t>
      </w:r>
      <w:r w:rsidR="00055AC2" w:rsidRPr="00DD65C2">
        <w:rPr>
          <w:rFonts w:ascii="Calibri" w:hAnsi="Calibri" w:cs="Calibri"/>
          <w:lang w:val="en-GB"/>
        </w:rPr>
        <w:t>in Section 3.1.</w:t>
      </w:r>
      <w:r w:rsidRPr="00DD65C2">
        <w:rPr>
          <w:rFonts w:ascii="Calibri" w:hAnsi="Calibri" w:cs="Calibri"/>
          <w:lang w:val="en-GB"/>
        </w:rPr>
        <w:t xml:space="preserve">, </w:t>
      </w:r>
      <w:r w:rsidR="00162667" w:rsidRPr="00DD65C2">
        <w:rPr>
          <w:rFonts w:ascii="Calibri" w:hAnsi="Calibri" w:cs="Calibri"/>
          <w:lang w:val="en-GB"/>
        </w:rPr>
        <w:t>t</w:t>
      </w:r>
      <w:r w:rsidR="00151AC1" w:rsidRPr="00DD65C2">
        <w:rPr>
          <w:rFonts w:ascii="Calibri" w:hAnsi="Calibri" w:cs="Calibri"/>
          <w:lang w:val="en-GB"/>
        </w:rPr>
        <w:t xml:space="preserve">he justifiability of a public measure encroaching on freedom of expression is contingent on a plurality of factors: (a) the measure must be prescribed by law; (b) the measure must pursue a legitimate aim; and (c) the measure must be </w:t>
      </w:r>
      <w:r w:rsidR="002A0C5E" w:rsidRPr="00DD65C2">
        <w:rPr>
          <w:rFonts w:ascii="Calibri" w:hAnsi="Calibri" w:cs="Calibri"/>
          <w:lang w:val="en-GB"/>
        </w:rPr>
        <w:t>‘</w:t>
      </w:r>
      <w:r w:rsidR="00151AC1" w:rsidRPr="00DD65C2">
        <w:rPr>
          <w:rFonts w:ascii="Calibri" w:hAnsi="Calibri" w:cs="Calibri"/>
          <w:lang w:val="en-GB"/>
        </w:rPr>
        <w:t>necessary</w:t>
      </w:r>
      <w:r w:rsidR="002A0C5E" w:rsidRPr="00DD65C2">
        <w:rPr>
          <w:rFonts w:ascii="Calibri" w:hAnsi="Calibri" w:cs="Calibri"/>
          <w:lang w:val="en-GB"/>
        </w:rPr>
        <w:t>’</w:t>
      </w:r>
      <w:r w:rsidR="00151AC1" w:rsidRPr="00DD65C2">
        <w:rPr>
          <w:rFonts w:ascii="Calibri" w:hAnsi="Calibri" w:cs="Calibri"/>
          <w:lang w:val="en-GB"/>
        </w:rPr>
        <w:t xml:space="preserve"> in a democratic society. </w:t>
      </w:r>
      <w:r w:rsidRPr="00DD65C2">
        <w:rPr>
          <w:rFonts w:ascii="Calibri" w:hAnsi="Calibri" w:cs="Calibri"/>
          <w:lang w:val="en-GB"/>
        </w:rPr>
        <w:t>The</w:t>
      </w:r>
      <w:r w:rsidR="00151AC1" w:rsidRPr="00DD65C2">
        <w:rPr>
          <w:rFonts w:ascii="Calibri" w:hAnsi="Calibri" w:cs="Calibri"/>
          <w:lang w:val="en-GB"/>
        </w:rPr>
        <w:t xml:space="preserve"> first two limbs of the test </w:t>
      </w:r>
      <w:r w:rsidR="00C721EE" w:rsidRPr="00DD65C2">
        <w:rPr>
          <w:rFonts w:ascii="Calibri" w:hAnsi="Calibri" w:cs="Calibri"/>
          <w:lang w:val="en-GB"/>
        </w:rPr>
        <w:t>will</w:t>
      </w:r>
      <w:r w:rsidR="00151AC1" w:rsidRPr="00DD65C2">
        <w:rPr>
          <w:rFonts w:ascii="Calibri" w:hAnsi="Calibri" w:cs="Calibri"/>
          <w:lang w:val="en-GB"/>
        </w:rPr>
        <w:t xml:space="preserve"> be easily met in cases dealing with the morality of applied-for signs, since refusals of registration on this ground are</w:t>
      </w:r>
      <w:r w:rsidR="00055AC2" w:rsidRPr="00DD65C2">
        <w:rPr>
          <w:rFonts w:ascii="Calibri" w:hAnsi="Calibri" w:cs="Calibri"/>
          <w:lang w:val="en-GB"/>
        </w:rPr>
        <w:t>: (a)</w:t>
      </w:r>
      <w:r w:rsidR="00151AC1" w:rsidRPr="00DD65C2">
        <w:rPr>
          <w:rFonts w:ascii="Calibri" w:hAnsi="Calibri" w:cs="Calibri"/>
          <w:lang w:val="en-GB"/>
        </w:rPr>
        <w:t xml:space="preserve"> prescribed by Article 7(1)(f) EUTMR</w:t>
      </w:r>
      <w:r w:rsidR="00055AC2" w:rsidRPr="00DD65C2">
        <w:rPr>
          <w:rFonts w:ascii="Calibri" w:hAnsi="Calibri" w:cs="Calibri"/>
          <w:lang w:val="en-GB"/>
        </w:rPr>
        <w:t>; and (b)</w:t>
      </w:r>
      <w:r w:rsidR="00151AC1" w:rsidRPr="00DD65C2">
        <w:rPr>
          <w:rFonts w:ascii="Calibri" w:hAnsi="Calibri" w:cs="Calibri"/>
          <w:lang w:val="en-GB"/>
        </w:rPr>
        <w:t xml:space="preserve"> with the aim of safeguarding society’s core moral values.</w:t>
      </w:r>
      <w:r w:rsidRPr="00DD65C2">
        <w:rPr>
          <w:rFonts w:ascii="Calibri" w:hAnsi="Calibri" w:cs="Calibri"/>
          <w:lang w:val="en-GB"/>
        </w:rPr>
        <w:t xml:space="preserve"> </w:t>
      </w:r>
    </w:p>
    <w:p w14:paraId="46CE3F6B" w14:textId="77777777" w:rsidR="007B2AD6" w:rsidRPr="00DD65C2" w:rsidRDefault="007B2AD6" w:rsidP="007A1561">
      <w:pPr>
        <w:jc w:val="both"/>
        <w:rPr>
          <w:rFonts w:ascii="Calibri" w:hAnsi="Calibri" w:cs="Calibri"/>
          <w:lang w:val="en-GB"/>
        </w:rPr>
      </w:pPr>
    </w:p>
    <w:p w14:paraId="15E1D74E" w14:textId="6D8FFB3B" w:rsidR="001C406D" w:rsidRPr="00DD65C2" w:rsidRDefault="007B2AD6" w:rsidP="007A1561">
      <w:pPr>
        <w:jc w:val="both"/>
        <w:rPr>
          <w:rFonts w:ascii="Calibri" w:hAnsi="Calibri" w:cs="Calibri"/>
          <w:lang w:val="en-GB"/>
        </w:rPr>
      </w:pPr>
      <w:r w:rsidRPr="00DD65C2">
        <w:rPr>
          <w:rFonts w:ascii="Calibri" w:hAnsi="Calibri" w:cs="Calibri"/>
          <w:lang w:val="en-GB"/>
        </w:rPr>
        <w:t>T</w:t>
      </w:r>
      <w:r w:rsidR="00162667" w:rsidRPr="00DD65C2">
        <w:rPr>
          <w:rFonts w:ascii="Calibri" w:hAnsi="Calibri" w:cs="Calibri"/>
          <w:lang w:val="en-GB"/>
        </w:rPr>
        <w:t xml:space="preserve">he </w:t>
      </w:r>
      <w:r w:rsidR="005F1D7A" w:rsidRPr="00DD65C2">
        <w:rPr>
          <w:rFonts w:ascii="Calibri" w:hAnsi="Calibri" w:cs="Calibri"/>
          <w:lang w:val="en-GB"/>
        </w:rPr>
        <w:t>‘necessity’</w:t>
      </w:r>
      <w:r w:rsidR="00162667" w:rsidRPr="00DD65C2">
        <w:rPr>
          <w:rFonts w:ascii="Calibri" w:hAnsi="Calibri" w:cs="Calibri"/>
          <w:lang w:val="en-GB"/>
        </w:rPr>
        <w:t xml:space="preserve"> limb of the test </w:t>
      </w:r>
      <w:r w:rsidRPr="00DD65C2">
        <w:rPr>
          <w:rFonts w:ascii="Calibri" w:hAnsi="Calibri" w:cs="Calibri"/>
          <w:lang w:val="en-GB"/>
        </w:rPr>
        <w:t xml:space="preserve">can </w:t>
      </w:r>
      <w:r w:rsidR="00162667" w:rsidRPr="00DD65C2">
        <w:rPr>
          <w:rFonts w:ascii="Calibri" w:hAnsi="Calibri" w:cs="Calibri"/>
          <w:lang w:val="en-GB"/>
        </w:rPr>
        <w:t xml:space="preserve">prove more problematic. </w:t>
      </w:r>
      <w:r w:rsidR="005F1D7A" w:rsidRPr="00DD65C2">
        <w:rPr>
          <w:rFonts w:ascii="Calibri" w:hAnsi="Calibri" w:cs="Calibri"/>
          <w:lang w:val="en-GB"/>
        </w:rPr>
        <w:t>A</w:t>
      </w:r>
      <w:r w:rsidR="00162667" w:rsidRPr="00DD65C2">
        <w:rPr>
          <w:rFonts w:ascii="Calibri" w:hAnsi="Calibri" w:cs="Calibri"/>
          <w:lang w:val="en-GB"/>
        </w:rPr>
        <w:t xml:space="preserve"> fundamental part of the inquiry revolve</w:t>
      </w:r>
      <w:r w:rsidRPr="00DD65C2">
        <w:rPr>
          <w:rFonts w:ascii="Calibri" w:hAnsi="Calibri" w:cs="Calibri"/>
          <w:lang w:val="en-GB"/>
        </w:rPr>
        <w:t>s</w:t>
      </w:r>
      <w:r w:rsidR="00162667" w:rsidRPr="00DD65C2">
        <w:rPr>
          <w:rFonts w:ascii="Calibri" w:hAnsi="Calibri" w:cs="Calibri"/>
          <w:lang w:val="en-GB"/>
        </w:rPr>
        <w:t xml:space="preserve"> around determination of the margin of appreciation to be afforded to the </w:t>
      </w:r>
      <w:r w:rsidR="00413A51" w:rsidRPr="00DD65C2">
        <w:rPr>
          <w:rFonts w:ascii="Calibri" w:hAnsi="Calibri" w:cs="Calibri"/>
          <w:lang w:val="en-GB"/>
        </w:rPr>
        <w:t>trade mark office</w:t>
      </w:r>
      <w:r w:rsidR="00655569" w:rsidRPr="00DD65C2">
        <w:rPr>
          <w:rFonts w:ascii="Calibri" w:hAnsi="Calibri" w:cs="Calibri"/>
          <w:lang w:val="en-GB"/>
        </w:rPr>
        <w:t xml:space="preserve"> or appeal court</w:t>
      </w:r>
      <w:r w:rsidR="00162667" w:rsidRPr="00DD65C2">
        <w:rPr>
          <w:rFonts w:ascii="Calibri" w:hAnsi="Calibri" w:cs="Calibri"/>
          <w:lang w:val="en-GB"/>
        </w:rPr>
        <w:t xml:space="preserve">. This will vary in accordance with the type of speech interfered with. </w:t>
      </w:r>
      <w:r w:rsidR="009E07BA" w:rsidRPr="00DD65C2">
        <w:rPr>
          <w:rFonts w:ascii="Calibri" w:hAnsi="Calibri" w:cs="Calibri"/>
          <w:lang w:val="en-GB"/>
        </w:rPr>
        <w:t>W</w:t>
      </w:r>
      <w:r w:rsidRPr="00DD65C2">
        <w:rPr>
          <w:rFonts w:ascii="Calibri" w:hAnsi="Calibri" w:cs="Calibri"/>
          <w:lang w:val="en-GB"/>
        </w:rPr>
        <w:t>hile having a comical element, ‘</w:t>
      </w:r>
      <w:r w:rsidR="000B557C" w:rsidRPr="00DD65C2">
        <w:rPr>
          <w:rFonts w:ascii="Calibri" w:hAnsi="Calibri" w:cs="Calibri"/>
          <w:lang w:val="en-GB" w:eastAsia="en-US"/>
        </w:rPr>
        <w:t>F</w:t>
      </w:r>
      <w:r w:rsidR="000B557C">
        <w:rPr>
          <w:rFonts w:ascii="Calibri" w:hAnsi="Calibri" w:cs="Calibri"/>
          <w:lang w:val="en-GB" w:eastAsia="en-US"/>
        </w:rPr>
        <w:t>ack Ju Göhte</w:t>
      </w:r>
      <w:r w:rsidR="000B557C" w:rsidRPr="00DD65C2">
        <w:rPr>
          <w:rFonts w:ascii="Calibri" w:hAnsi="Calibri" w:cs="Calibri"/>
          <w:lang w:val="en-GB" w:eastAsia="en-US"/>
        </w:rPr>
        <w:t>’</w:t>
      </w:r>
      <w:r w:rsidR="000B557C">
        <w:rPr>
          <w:rFonts w:ascii="Calibri" w:hAnsi="Calibri" w:cs="Calibri"/>
          <w:lang w:val="en-GB" w:eastAsia="en-US"/>
        </w:rPr>
        <w:t xml:space="preserve"> </w:t>
      </w:r>
      <w:r w:rsidRPr="00DD65C2">
        <w:rPr>
          <w:rFonts w:ascii="Calibri" w:hAnsi="Calibri" w:cs="Calibri"/>
          <w:lang w:val="en-GB"/>
        </w:rPr>
        <w:t xml:space="preserve">is unlikely to be deemed a sign with a strong ideological component of the sort that can be easily used to engage in mixed expression. </w:t>
      </w:r>
      <w:r w:rsidR="00A82A58" w:rsidRPr="00DD65C2">
        <w:rPr>
          <w:rFonts w:ascii="Calibri" w:hAnsi="Calibri" w:cs="Calibri"/>
          <w:lang w:val="en-GB"/>
        </w:rPr>
        <w:t>O</w:t>
      </w:r>
      <w:r w:rsidR="00A64C7C" w:rsidRPr="00DD65C2">
        <w:rPr>
          <w:rFonts w:ascii="Calibri" w:hAnsi="Calibri" w:cs="Calibri"/>
          <w:lang w:val="en-GB"/>
        </w:rPr>
        <w:t>ur analysis will</w:t>
      </w:r>
      <w:r w:rsidR="007D11F7" w:rsidRPr="00DD65C2">
        <w:rPr>
          <w:rFonts w:ascii="Calibri" w:hAnsi="Calibri" w:cs="Calibri"/>
          <w:lang w:val="en-GB"/>
        </w:rPr>
        <w:t>, thus,</w:t>
      </w:r>
      <w:r w:rsidR="00A64C7C" w:rsidRPr="00DD65C2">
        <w:rPr>
          <w:rFonts w:ascii="Calibri" w:hAnsi="Calibri" w:cs="Calibri"/>
          <w:lang w:val="en-GB"/>
        </w:rPr>
        <w:t xml:space="preserve"> operate on the </w:t>
      </w:r>
      <w:r w:rsidR="001E7980" w:rsidRPr="00DD65C2">
        <w:rPr>
          <w:rFonts w:ascii="Calibri" w:hAnsi="Calibri" w:cs="Calibri"/>
          <w:lang w:val="en-GB"/>
        </w:rPr>
        <w:t>basis</w:t>
      </w:r>
      <w:r w:rsidR="00A64C7C" w:rsidRPr="00DD65C2">
        <w:rPr>
          <w:rFonts w:ascii="Calibri" w:hAnsi="Calibri" w:cs="Calibri"/>
          <w:lang w:val="en-GB"/>
        </w:rPr>
        <w:t xml:space="preserve"> that the </w:t>
      </w:r>
      <w:r w:rsidR="002D07BE" w:rsidRPr="00DD65C2">
        <w:rPr>
          <w:rFonts w:ascii="Calibri" w:hAnsi="Calibri" w:cs="Calibri"/>
          <w:lang w:val="en-GB"/>
        </w:rPr>
        <w:t>category</w:t>
      </w:r>
      <w:r w:rsidR="00A64C7C" w:rsidRPr="00DD65C2">
        <w:rPr>
          <w:rFonts w:ascii="Calibri" w:hAnsi="Calibri" w:cs="Calibri"/>
          <w:lang w:val="en-GB"/>
        </w:rPr>
        <w:t xml:space="preserve"> of speech interfered with in </w:t>
      </w:r>
      <w:r w:rsidR="00A64C7C" w:rsidRPr="00DD65C2">
        <w:rPr>
          <w:rFonts w:ascii="Calibri" w:hAnsi="Calibri" w:cs="Calibri"/>
          <w:i/>
          <w:iCs/>
          <w:lang w:val="en-GB"/>
        </w:rPr>
        <w:t>Constantin Film Produktion</w:t>
      </w:r>
      <w:r w:rsidR="00A64C7C" w:rsidRPr="00DD65C2">
        <w:rPr>
          <w:rFonts w:ascii="Calibri" w:hAnsi="Calibri" w:cs="Calibri"/>
          <w:lang w:val="en-GB"/>
        </w:rPr>
        <w:t xml:space="preserve"> is commercial.</w:t>
      </w:r>
      <w:r w:rsidRPr="00DD65C2">
        <w:rPr>
          <w:rFonts w:ascii="Calibri" w:hAnsi="Calibri" w:cs="Calibri"/>
          <w:lang w:val="en-GB"/>
        </w:rPr>
        <w:t xml:space="preserve"> </w:t>
      </w:r>
    </w:p>
    <w:p w14:paraId="67FFBE1E" w14:textId="77777777" w:rsidR="001C406D" w:rsidRPr="00DD65C2" w:rsidRDefault="001C406D" w:rsidP="007A1561">
      <w:pPr>
        <w:jc w:val="both"/>
        <w:rPr>
          <w:rFonts w:ascii="Calibri" w:hAnsi="Calibri" w:cs="Calibri"/>
          <w:lang w:val="en-GB"/>
        </w:rPr>
      </w:pPr>
    </w:p>
    <w:p w14:paraId="4B52E864" w14:textId="5E8E213E" w:rsidR="00730A00" w:rsidRPr="00DD65C2" w:rsidRDefault="00B32A9F" w:rsidP="007A1561">
      <w:pPr>
        <w:jc w:val="both"/>
        <w:rPr>
          <w:rFonts w:ascii="Calibri" w:hAnsi="Calibri" w:cs="Calibri"/>
          <w:lang w:val="en-GB"/>
        </w:rPr>
      </w:pPr>
      <w:r w:rsidRPr="00DD65C2">
        <w:rPr>
          <w:rFonts w:ascii="Calibri" w:hAnsi="Calibri" w:cs="Calibri"/>
          <w:lang w:val="en-GB"/>
        </w:rPr>
        <w:t>Under commercial expression</w:t>
      </w:r>
      <w:r w:rsidR="00162667" w:rsidRPr="00DD65C2">
        <w:rPr>
          <w:rFonts w:ascii="Calibri" w:hAnsi="Calibri" w:cs="Calibri"/>
          <w:lang w:val="en-GB"/>
        </w:rPr>
        <w:t xml:space="preserve">, </w:t>
      </w:r>
      <w:r w:rsidR="00413A51" w:rsidRPr="00DD65C2">
        <w:rPr>
          <w:rFonts w:ascii="Calibri" w:hAnsi="Calibri" w:cs="Calibri"/>
          <w:lang w:val="en-GB"/>
        </w:rPr>
        <w:t>public authorities ‘</w:t>
      </w:r>
      <w:r w:rsidR="00162667" w:rsidRPr="00DD65C2">
        <w:rPr>
          <w:rFonts w:ascii="Calibri" w:hAnsi="Calibri" w:cs="Calibri"/>
          <w:lang w:val="en-GB"/>
        </w:rPr>
        <w:t>have a broad margin of appreciation in the regulation of speech in commercial matters or advertising’.</w:t>
      </w:r>
      <w:r w:rsidR="00162667" w:rsidRPr="00DD65C2">
        <w:rPr>
          <w:rStyle w:val="FootnoteReference"/>
          <w:rFonts w:ascii="Calibri" w:hAnsi="Calibri" w:cs="Calibri"/>
        </w:rPr>
        <w:footnoteReference w:id="131"/>
      </w:r>
      <w:r w:rsidR="00162667" w:rsidRPr="00DD65C2">
        <w:rPr>
          <w:rFonts w:ascii="Calibri" w:hAnsi="Calibri" w:cs="Calibri"/>
          <w:lang w:val="en-GB"/>
        </w:rPr>
        <w:t xml:space="preserve"> From the perspective of the judicial review undertaken by the </w:t>
      </w:r>
      <w:r w:rsidR="00413A51" w:rsidRPr="00DD65C2">
        <w:rPr>
          <w:rFonts w:ascii="Calibri" w:hAnsi="Calibri" w:cs="Calibri"/>
          <w:lang w:val="en-GB"/>
        </w:rPr>
        <w:t>ECtHR</w:t>
      </w:r>
      <w:r w:rsidR="00162667" w:rsidRPr="00DD65C2">
        <w:rPr>
          <w:rFonts w:ascii="Calibri" w:hAnsi="Calibri" w:cs="Calibri"/>
          <w:lang w:val="en-GB"/>
        </w:rPr>
        <w:t>, this sometimes translates into ensuring that the interference with freedom of commercial expression is ‘justifiable in principle’.</w:t>
      </w:r>
      <w:r w:rsidR="00162667" w:rsidRPr="00DD65C2">
        <w:rPr>
          <w:rStyle w:val="FootnoteReference"/>
          <w:rFonts w:ascii="Calibri" w:hAnsi="Calibri" w:cs="Calibri"/>
        </w:rPr>
        <w:footnoteReference w:id="132"/>
      </w:r>
      <w:r w:rsidR="00162667" w:rsidRPr="00DD65C2">
        <w:rPr>
          <w:rFonts w:ascii="Calibri" w:hAnsi="Calibri" w:cs="Calibri"/>
          <w:lang w:val="en-GB"/>
        </w:rPr>
        <w:t xml:space="preserve"> On other occasions</w:t>
      </w:r>
      <w:r w:rsidR="00F118FE" w:rsidRPr="00DD65C2">
        <w:rPr>
          <w:rFonts w:ascii="Calibri" w:hAnsi="Calibri" w:cs="Calibri"/>
          <w:lang w:val="en-GB"/>
        </w:rPr>
        <w:t>,</w:t>
      </w:r>
      <w:r w:rsidR="00162667" w:rsidRPr="00DD65C2">
        <w:rPr>
          <w:rFonts w:ascii="Calibri" w:hAnsi="Calibri" w:cs="Calibri"/>
          <w:lang w:val="en-GB"/>
        </w:rPr>
        <w:t xml:space="preserve"> the </w:t>
      </w:r>
      <w:r w:rsidR="00F118FE" w:rsidRPr="00DD65C2">
        <w:rPr>
          <w:rFonts w:ascii="Calibri" w:hAnsi="Calibri" w:cs="Calibri"/>
          <w:lang w:val="en-GB"/>
        </w:rPr>
        <w:t>C</w:t>
      </w:r>
      <w:r w:rsidR="00162667" w:rsidRPr="00DD65C2">
        <w:rPr>
          <w:rFonts w:ascii="Calibri" w:hAnsi="Calibri" w:cs="Calibri"/>
          <w:lang w:val="en-GB"/>
        </w:rPr>
        <w:t>ourt has referred to measures restricting speech as being justified on ‘reasonable grounds’.</w:t>
      </w:r>
      <w:r w:rsidR="00162667" w:rsidRPr="00DD65C2">
        <w:rPr>
          <w:rStyle w:val="FootnoteReference"/>
          <w:rFonts w:ascii="Calibri" w:hAnsi="Calibri" w:cs="Calibri"/>
        </w:rPr>
        <w:footnoteReference w:id="133"/>
      </w:r>
      <w:r w:rsidR="00162667" w:rsidRPr="00DD65C2">
        <w:rPr>
          <w:rFonts w:ascii="Calibri" w:hAnsi="Calibri" w:cs="Calibri"/>
          <w:lang w:val="en-GB"/>
        </w:rPr>
        <w:t xml:space="preserve"> This is not to say that encroachments on commercial expression will not ‘be closely scrutinised by the </w:t>
      </w:r>
      <w:r w:rsidR="00F118FE" w:rsidRPr="00DD65C2">
        <w:rPr>
          <w:rFonts w:ascii="Calibri" w:hAnsi="Calibri" w:cs="Calibri"/>
          <w:lang w:val="en-GB"/>
        </w:rPr>
        <w:t>Court</w:t>
      </w:r>
      <w:r w:rsidR="00413A51" w:rsidRPr="00DD65C2">
        <w:rPr>
          <w:rFonts w:ascii="Calibri" w:hAnsi="Calibri" w:cs="Calibri"/>
          <w:lang w:val="en-GB"/>
        </w:rPr>
        <w:t>’</w:t>
      </w:r>
      <w:r w:rsidR="00162667" w:rsidRPr="00DD65C2">
        <w:rPr>
          <w:rFonts w:ascii="Calibri" w:hAnsi="Calibri" w:cs="Calibri"/>
          <w:lang w:val="en-GB"/>
        </w:rPr>
        <w:t>,</w:t>
      </w:r>
      <w:r w:rsidR="00162667" w:rsidRPr="00DD65C2">
        <w:rPr>
          <w:rStyle w:val="FootnoteReference"/>
          <w:rFonts w:ascii="Calibri" w:hAnsi="Calibri" w:cs="Calibri"/>
        </w:rPr>
        <w:footnoteReference w:id="134"/>
      </w:r>
      <w:r w:rsidR="00162667" w:rsidRPr="00DD65C2">
        <w:rPr>
          <w:rFonts w:ascii="Calibri" w:hAnsi="Calibri" w:cs="Calibri"/>
          <w:lang w:val="en-GB"/>
        </w:rPr>
        <w:t xml:space="preserve"> which must ‘weigh the requirements of the protection of the [public good justifying the challenged measure] against the [encroachment on appellant’s freedom of expression]’.</w:t>
      </w:r>
      <w:r w:rsidR="00162667" w:rsidRPr="00DD65C2">
        <w:rPr>
          <w:rStyle w:val="FootnoteReference"/>
          <w:rFonts w:ascii="Calibri" w:hAnsi="Calibri" w:cs="Calibri"/>
        </w:rPr>
        <w:footnoteReference w:id="135"/>
      </w:r>
      <w:r w:rsidR="00162667" w:rsidRPr="00DD65C2">
        <w:rPr>
          <w:rFonts w:ascii="Calibri" w:hAnsi="Calibri" w:cs="Calibri"/>
          <w:lang w:val="en-GB"/>
        </w:rPr>
        <w:t xml:space="preserve"> Extrapolat</w:t>
      </w:r>
      <w:r w:rsidR="00F118FE" w:rsidRPr="00DD65C2">
        <w:rPr>
          <w:rFonts w:ascii="Calibri" w:hAnsi="Calibri" w:cs="Calibri"/>
          <w:lang w:val="en-GB"/>
        </w:rPr>
        <w:t xml:space="preserve">ed </w:t>
      </w:r>
      <w:r w:rsidR="00162667" w:rsidRPr="00DD65C2">
        <w:rPr>
          <w:rFonts w:ascii="Calibri" w:hAnsi="Calibri" w:cs="Calibri"/>
          <w:lang w:val="en-GB"/>
        </w:rPr>
        <w:t xml:space="preserve">to the </w:t>
      </w:r>
      <w:r w:rsidR="00AC196C" w:rsidRPr="00DD65C2">
        <w:rPr>
          <w:rFonts w:ascii="Calibri" w:hAnsi="Calibri" w:cs="Calibri"/>
          <w:lang w:val="en-GB"/>
        </w:rPr>
        <w:t>registration</w:t>
      </w:r>
      <w:r w:rsidR="00162667" w:rsidRPr="00DD65C2">
        <w:rPr>
          <w:rFonts w:ascii="Calibri" w:hAnsi="Calibri" w:cs="Calibri"/>
          <w:lang w:val="en-GB"/>
        </w:rPr>
        <w:t xml:space="preserve"> context, this would entail balancing the need to protect </w:t>
      </w:r>
      <w:r w:rsidR="00475041" w:rsidRPr="00DD65C2">
        <w:rPr>
          <w:rFonts w:ascii="Calibri" w:hAnsi="Calibri" w:cs="Calibri"/>
          <w:lang w:val="en-GB"/>
        </w:rPr>
        <w:t>the moral values of the relevant public</w:t>
      </w:r>
      <w:r w:rsidR="00162667" w:rsidRPr="00DD65C2">
        <w:rPr>
          <w:rFonts w:ascii="Calibri" w:hAnsi="Calibri" w:cs="Calibri"/>
          <w:lang w:val="en-GB"/>
        </w:rPr>
        <w:t xml:space="preserve"> against the </w:t>
      </w:r>
      <w:r w:rsidR="00475041" w:rsidRPr="00DD65C2">
        <w:rPr>
          <w:rFonts w:ascii="Calibri" w:hAnsi="Calibri" w:cs="Calibri"/>
          <w:lang w:val="en-GB"/>
        </w:rPr>
        <w:t>encroachment on applicant’s speech resulting from the refusal of registration</w:t>
      </w:r>
      <w:r w:rsidR="00162667" w:rsidRPr="00DD65C2">
        <w:rPr>
          <w:rFonts w:ascii="Calibri" w:hAnsi="Calibri" w:cs="Calibri"/>
          <w:lang w:val="en-GB"/>
        </w:rPr>
        <w:t xml:space="preserve">. </w:t>
      </w:r>
      <w:r w:rsidR="00413A51" w:rsidRPr="00DD65C2">
        <w:rPr>
          <w:rFonts w:ascii="Calibri" w:hAnsi="Calibri" w:cs="Calibri"/>
          <w:lang w:val="en-GB"/>
        </w:rPr>
        <w:t>A balancing exercise that</w:t>
      </w:r>
      <w:r w:rsidR="007A1561" w:rsidRPr="00DD65C2">
        <w:rPr>
          <w:rFonts w:ascii="Calibri" w:hAnsi="Calibri" w:cs="Calibri"/>
          <w:lang w:val="en-GB"/>
        </w:rPr>
        <w:t xml:space="preserve"> requires, for a finding that </w:t>
      </w:r>
      <w:r w:rsidR="00BA04EA" w:rsidRPr="00DD65C2">
        <w:rPr>
          <w:rFonts w:ascii="Calibri" w:hAnsi="Calibri" w:cs="Calibri"/>
          <w:lang w:val="en-GB"/>
        </w:rPr>
        <w:t xml:space="preserve">the </w:t>
      </w:r>
      <w:r w:rsidR="007A1561" w:rsidRPr="00DD65C2">
        <w:rPr>
          <w:rFonts w:ascii="Calibri" w:hAnsi="Calibri" w:cs="Calibri"/>
          <w:lang w:val="en-GB"/>
        </w:rPr>
        <w:t xml:space="preserve">refusal of registration legitimately </w:t>
      </w:r>
      <w:r w:rsidR="00BA04EA" w:rsidRPr="00DD65C2">
        <w:rPr>
          <w:rFonts w:ascii="Calibri" w:hAnsi="Calibri" w:cs="Calibri"/>
          <w:lang w:val="en-GB"/>
        </w:rPr>
        <w:t>interferes with</w:t>
      </w:r>
      <w:r w:rsidR="007A1561" w:rsidRPr="00DD65C2">
        <w:rPr>
          <w:rFonts w:ascii="Calibri" w:hAnsi="Calibri" w:cs="Calibri"/>
          <w:lang w:val="en-GB"/>
        </w:rPr>
        <w:t xml:space="preserve"> applicants’ freedom of expression, a modicum of evidence to the effect that the applied-for sign is contrary to accepted principles of morality. </w:t>
      </w:r>
    </w:p>
    <w:p w14:paraId="0939F371" w14:textId="77777777" w:rsidR="00730A00" w:rsidRPr="00DD65C2" w:rsidRDefault="00730A00" w:rsidP="007A1561">
      <w:pPr>
        <w:jc w:val="both"/>
        <w:rPr>
          <w:rFonts w:ascii="Calibri" w:hAnsi="Calibri" w:cs="Calibri"/>
          <w:lang w:val="en-GB"/>
        </w:rPr>
      </w:pPr>
    </w:p>
    <w:p w14:paraId="77AA57FC" w14:textId="02315D94" w:rsidR="00343D17" w:rsidRPr="00DD65C2" w:rsidRDefault="007A1561" w:rsidP="00EB6A03">
      <w:pPr>
        <w:jc w:val="both"/>
        <w:rPr>
          <w:rFonts w:ascii="Calibri" w:hAnsi="Calibri" w:cs="Calibri"/>
          <w:lang w:val="en-GB"/>
        </w:rPr>
      </w:pPr>
      <w:r w:rsidRPr="00DD65C2">
        <w:rPr>
          <w:rFonts w:ascii="Calibri" w:hAnsi="Calibri" w:cs="Calibri"/>
          <w:lang w:val="en-GB"/>
        </w:rPr>
        <w:t xml:space="preserve">At least in principle. An overview of the case law of the ECtHR reveals that the broad margin of appreciation enjoyed by public authorities in cases involving interferences </w:t>
      </w:r>
      <w:r w:rsidRPr="00DD65C2">
        <w:rPr>
          <w:rFonts w:ascii="Calibri" w:hAnsi="Calibri" w:cs="Calibri"/>
          <w:lang w:val="en-GB"/>
        </w:rPr>
        <w:lastRenderedPageBreak/>
        <w:t xml:space="preserve">with commercial expression often renders the proportionality exercise futile. </w:t>
      </w:r>
      <w:r w:rsidR="00A00086" w:rsidRPr="00DD65C2">
        <w:rPr>
          <w:rFonts w:ascii="Calibri" w:hAnsi="Calibri" w:cs="Calibri"/>
          <w:lang w:val="en-GB"/>
        </w:rPr>
        <w:t xml:space="preserve">This is especially true of its more recent case law, where the Court’s analysis of whether a restriction is ‘necessary’ is governed by the very deferential principle that ‘national authorities are […], by reason of their direct and continuous contact with the vital forces of their countries, in a better position than the international judge to give an opinion on the </w:t>
      </w:r>
      <w:r w:rsidR="00434660" w:rsidRPr="00DD65C2">
        <w:rPr>
          <w:rFonts w:ascii="Calibri" w:hAnsi="Calibri" w:cs="Calibri"/>
          <w:lang w:val="en-GB"/>
        </w:rPr>
        <w:t>“</w:t>
      </w:r>
      <w:r w:rsidR="00A00086" w:rsidRPr="00DD65C2">
        <w:rPr>
          <w:rFonts w:ascii="Calibri" w:hAnsi="Calibri" w:cs="Calibri"/>
          <w:lang w:val="en-GB"/>
        </w:rPr>
        <w:t>necessity</w:t>
      </w:r>
      <w:r w:rsidR="00434660" w:rsidRPr="00DD65C2">
        <w:rPr>
          <w:rFonts w:ascii="Calibri" w:hAnsi="Calibri" w:cs="Calibri"/>
          <w:lang w:val="en-GB"/>
        </w:rPr>
        <w:t>”</w:t>
      </w:r>
      <w:r w:rsidR="00A00086" w:rsidRPr="00DD65C2">
        <w:rPr>
          <w:rFonts w:ascii="Calibri" w:hAnsi="Calibri" w:cs="Calibri"/>
          <w:lang w:val="en-GB"/>
        </w:rPr>
        <w:t xml:space="preserve"> of a </w:t>
      </w:r>
      <w:r w:rsidR="00434660" w:rsidRPr="00DD65C2">
        <w:rPr>
          <w:rFonts w:ascii="Calibri" w:hAnsi="Calibri" w:cs="Calibri"/>
          <w:lang w:val="en-GB"/>
        </w:rPr>
        <w:t>“</w:t>
      </w:r>
      <w:r w:rsidR="00A00086" w:rsidRPr="00DD65C2">
        <w:rPr>
          <w:rFonts w:ascii="Calibri" w:hAnsi="Calibri" w:cs="Calibri"/>
          <w:lang w:val="en-GB"/>
        </w:rPr>
        <w:t>restriction</w:t>
      </w:r>
      <w:r w:rsidR="00434660" w:rsidRPr="00DD65C2">
        <w:rPr>
          <w:rFonts w:ascii="Calibri" w:hAnsi="Calibri" w:cs="Calibri"/>
          <w:lang w:val="en-GB"/>
        </w:rPr>
        <w:t>”’</w:t>
      </w:r>
      <w:r w:rsidR="00A00086" w:rsidRPr="00DD65C2">
        <w:rPr>
          <w:rFonts w:ascii="Calibri" w:hAnsi="Calibri" w:cs="Calibri"/>
          <w:lang w:val="en-GB"/>
        </w:rPr>
        <w:t>.</w:t>
      </w:r>
      <w:r w:rsidR="00A00086" w:rsidRPr="00DD65C2">
        <w:rPr>
          <w:rStyle w:val="FootnoteReference"/>
          <w:rFonts w:ascii="Calibri" w:hAnsi="Calibri" w:cs="Calibri"/>
        </w:rPr>
        <w:footnoteReference w:id="136"/>
      </w:r>
      <w:r w:rsidR="003F561F" w:rsidRPr="00DD65C2">
        <w:rPr>
          <w:rFonts w:ascii="Calibri" w:hAnsi="Calibri" w:cs="Calibri"/>
          <w:lang w:val="en-GB"/>
        </w:rPr>
        <w:t xml:space="preserve"> T</w:t>
      </w:r>
      <w:r w:rsidR="00A00086" w:rsidRPr="00DD65C2">
        <w:rPr>
          <w:rFonts w:ascii="Calibri" w:hAnsi="Calibri" w:cs="Calibri"/>
          <w:lang w:val="en-GB"/>
        </w:rPr>
        <w:t xml:space="preserve">his deferential approach often leads the </w:t>
      </w:r>
      <w:r w:rsidR="003E006E" w:rsidRPr="00DD65C2">
        <w:rPr>
          <w:rFonts w:ascii="Calibri" w:hAnsi="Calibri" w:cs="Calibri"/>
          <w:lang w:val="en-GB"/>
        </w:rPr>
        <w:t>C</w:t>
      </w:r>
      <w:r w:rsidR="00A00086" w:rsidRPr="00DD65C2">
        <w:rPr>
          <w:rFonts w:ascii="Calibri" w:hAnsi="Calibri" w:cs="Calibri"/>
          <w:lang w:val="en-GB"/>
        </w:rPr>
        <w:t>ourt to deny relief to appellant after a rather cursory analysis that requires little to no evidence of necessity.</w:t>
      </w:r>
      <w:r w:rsidR="00A00086" w:rsidRPr="00DD65C2">
        <w:rPr>
          <w:rStyle w:val="FootnoteReference"/>
          <w:rFonts w:ascii="Calibri" w:hAnsi="Calibri" w:cs="Calibri"/>
        </w:rPr>
        <w:footnoteReference w:id="137"/>
      </w:r>
      <w:r w:rsidR="00A00086" w:rsidRPr="00DD65C2">
        <w:rPr>
          <w:rFonts w:ascii="Calibri" w:hAnsi="Calibri" w:cs="Calibri"/>
          <w:lang w:val="en-GB"/>
        </w:rPr>
        <w:t xml:space="preserve"> </w:t>
      </w:r>
      <w:r w:rsidR="00ED6D69" w:rsidRPr="00DD65C2">
        <w:rPr>
          <w:rFonts w:ascii="Calibri" w:hAnsi="Calibri" w:cs="Calibri"/>
          <w:lang w:val="en-GB"/>
        </w:rPr>
        <w:t>Although several judges within the ECtHR have voiced their concerns over this deferential approach, it is doubtful that they will steer the Court towards demanding more robust justification of the necessity limb of the test in cases involving commercial expression</w:t>
      </w:r>
      <w:r w:rsidR="007B4E3D" w:rsidRPr="00DD65C2">
        <w:rPr>
          <w:rFonts w:ascii="Calibri" w:hAnsi="Calibri" w:cs="Calibri"/>
          <w:lang w:val="en-GB"/>
        </w:rPr>
        <w:t>.</w:t>
      </w:r>
      <w:r w:rsidR="007B4E3D" w:rsidRPr="00DD65C2">
        <w:rPr>
          <w:rStyle w:val="FootnoteReference"/>
          <w:rFonts w:ascii="Calibri" w:hAnsi="Calibri" w:cs="Calibri"/>
        </w:rPr>
        <w:footnoteReference w:id="138"/>
      </w:r>
      <w:r w:rsidR="007B4E3D" w:rsidRPr="00DD65C2">
        <w:rPr>
          <w:rFonts w:ascii="Calibri" w:hAnsi="Calibri" w:cs="Calibri"/>
          <w:lang w:val="en-GB"/>
        </w:rPr>
        <w:t xml:space="preserve"> </w:t>
      </w:r>
      <w:r w:rsidR="00A62E4A" w:rsidRPr="00DD65C2">
        <w:rPr>
          <w:rFonts w:ascii="Calibri" w:hAnsi="Calibri" w:cs="Calibri"/>
          <w:lang w:val="en-GB"/>
        </w:rPr>
        <w:t>Regardless of the outcome of this debate</w:t>
      </w:r>
      <w:r w:rsidR="00EC222A" w:rsidRPr="00DD65C2">
        <w:rPr>
          <w:rFonts w:ascii="Calibri" w:hAnsi="Calibri" w:cs="Calibri"/>
          <w:lang w:val="en-GB"/>
        </w:rPr>
        <w:t xml:space="preserve">, </w:t>
      </w:r>
      <w:r w:rsidR="00315D04" w:rsidRPr="00DD65C2">
        <w:rPr>
          <w:rFonts w:ascii="Calibri" w:hAnsi="Calibri" w:cs="Calibri"/>
          <w:lang w:val="en-GB"/>
        </w:rPr>
        <w:t>speech-based challenges to refusals of registration of morally</w:t>
      </w:r>
      <w:r w:rsidR="00354193">
        <w:rPr>
          <w:rFonts w:ascii="Calibri" w:hAnsi="Calibri" w:cs="Calibri"/>
          <w:lang w:val="en-GB"/>
        </w:rPr>
        <w:t xml:space="preserve"> </w:t>
      </w:r>
      <w:r w:rsidR="00315D04" w:rsidRPr="00DD65C2">
        <w:rPr>
          <w:rFonts w:ascii="Calibri" w:hAnsi="Calibri" w:cs="Calibri"/>
          <w:lang w:val="en-GB"/>
        </w:rPr>
        <w:t>objectionable signs are unlikely to ever escape this very deferential approach. T</w:t>
      </w:r>
      <w:r w:rsidR="00ED6D69" w:rsidRPr="00DD65C2">
        <w:rPr>
          <w:rFonts w:ascii="Calibri" w:hAnsi="Calibri" w:cs="Calibri"/>
          <w:lang w:val="en-GB"/>
        </w:rPr>
        <w:t>he ECtHR</w:t>
      </w:r>
      <w:r w:rsidR="00A62E4A" w:rsidRPr="00DD65C2">
        <w:rPr>
          <w:rFonts w:ascii="Calibri" w:hAnsi="Calibri" w:cs="Calibri"/>
          <w:lang w:val="en-GB"/>
        </w:rPr>
        <w:t xml:space="preserve"> has </w:t>
      </w:r>
      <w:r w:rsidR="00315D04" w:rsidRPr="00DD65C2">
        <w:rPr>
          <w:rFonts w:ascii="Calibri" w:hAnsi="Calibri" w:cs="Calibri"/>
          <w:lang w:val="en-GB"/>
        </w:rPr>
        <w:t xml:space="preserve">consistently </w:t>
      </w:r>
      <w:r w:rsidR="00A62E4A" w:rsidRPr="00DD65C2">
        <w:rPr>
          <w:rFonts w:ascii="Calibri" w:hAnsi="Calibri" w:cs="Calibri"/>
          <w:lang w:val="en-GB"/>
        </w:rPr>
        <w:t>held that</w:t>
      </w:r>
      <w:r w:rsidR="00ED6D69" w:rsidRPr="00DD65C2">
        <w:rPr>
          <w:rFonts w:ascii="Calibri" w:hAnsi="Calibri" w:cs="Calibri"/>
          <w:lang w:val="en-GB"/>
        </w:rPr>
        <w:t xml:space="preserve"> </w:t>
      </w:r>
      <w:r w:rsidR="00EB6A03" w:rsidRPr="00DD65C2">
        <w:rPr>
          <w:rFonts w:ascii="Calibri" w:hAnsi="Calibri" w:cs="Calibri"/>
          <w:lang w:val="en-GB"/>
        </w:rPr>
        <w:t xml:space="preserve">the same approach is of application to </w:t>
      </w:r>
      <w:r w:rsidR="00ED6D69" w:rsidRPr="00DD65C2">
        <w:rPr>
          <w:rFonts w:ascii="Calibri" w:hAnsi="Calibri" w:cs="Calibri"/>
          <w:lang w:val="en-GB"/>
        </w:rPr>
        <w:t>cases dealing with the ascertainment of public morals</w:t>
      </w:r>
      <w:r w:rsidR="009F0627" w:rsidRPr="00DD65C2">
        <w:rPr>
          <w:rFonts w:ascii="Calibri" w:hAnsi="Calibri" w:cs="Calibri"/>
          <w:lang w:val="en-GB"/>
        </w:rPr>
        <w:t xml:space="preserve"> –</w:t>
      </w:r>
      <w:r w:rsidR="00495448" w:rsidRPr="00DD65C2">
        <w:rPr>
          <w:rFonts w:ascii="Calibri" w:hAnsi="Calibri" w:cs="Calibri"/>
          <w:lang w:val="en-GB"/>
        </w:rPr>
        <w:t>including in</w:t>
      </w:r>
      <w:r w:rsidR="009F0627" w:rsidRPr="00DD65C2">
        <w:rPr>
          <w:rFonts w:ascii="Calibri" w:hAnsi="Calibri" w:cs="Calibri"/>
          <w:lang w:val="en-GB"/>
        </w:rPr>
        <w:t xml:space="preserve"> </w:t>
      </w:r>
      <w:r w:rsidR="009F0627" w:rsidRPr="00DD65C2">
        <w:rPr>
          <w:rFonts w:ascii="Calibri" w:hAnsi="Calibri" w:cs="Calibri"/>
          <w:i/>
          <w:iCs/>
          <w:lang w:val="en-GB"/>
        </w:rPr>
        <w:t>Dor</w:t>
      </w:r>
      <w:r w:rsidR="009F0627" w:rsidRPr="00DD65C2">
        <w:rPr>
          <w:rFonts w:ascii="Calibri" w:hAnsi="Calibri" w:cs="Calibri"/>
          <w:lang w:val="en-GB"/>
        </w:rPr>
        <w:t>, where appellant’s speech had been interfered with as a result of the refusal to register the religious sign ‘C</w:t>
      </w:r>
      <w:r w:rsidR="000B557C">
        <w:rPr>
          <w:rFonts w:ascii="Calibri" w:hAnsi="Calibri" w:cs="Calibri"/>
          <w:lang w:val="en-GB"/>
        </w:rPr>
        <w:t>rucifix</w:t>
      </w:r>
      <w:r w:rsidR="009F0627" w:rsidRPr="00DD65C2">
        <w:rPr>
          <w:rFonts w:ascii="Calibri" w:hAnsi="Calibri" w:cs="Calibri"/>
          <w:lang w:val="en-GB"/>
        </w:rPr>
        <w:t>’ on misleading grounds</w:t>
      </w:r>
      <w:r w:rsidR="00EB6A03" w:rsidRPr="00DD65C2">
        <w:rPr>
          <w:rFonts w:ascii="Calibri" w:hAnsi="Calibri" w:cs="Calibri"/>
          <w:lang w:val="en-GB"/>
        </w:rPr>
        <w:t>.</w:t>
      </w:r>
      <w:r w:rsidR="00A62E4A" w:rsidRPr="00DD65C2">
        <w:rPr>
          <w:rStyle w:val="FootnoteReference"/>
          <w:rFonts w:ascii="Calibri" w:hAnsi="Calibri" w:cs="Calibri"/>
        </w:rPr>
        <w:footnoteReference w:id="139"/>
      </w:r>
      <w:r w:rsidR="007276C2" w:rsidRPr="00DD65C2">
        <w:rPr>
          <w:rFonts w:ascii="Calibri" w:hAnsi="Calibri" w:cs="Calibri"/>
          <w:lang w:val="en-GB"/>
        </w:rPr>
        <w:t xml:space="preserve"> </w:t>
      </w:r>
    </w:p>
    <w:p w14:paraId="3C53DD3F" w14:textId="77777777" w:rsidR="00EC222A" w:rsidRPr="00DD65C2" w:rsidRDefault="00EC222A" w:rsidP="00EC222A">
      <w:pPr>
        <w:jc w:val="both"/>
        <w:rPr>
          <w:rFonts w:ascii="Calibri" w:hAnsi="Calibri" w:cs="Calibri"/>
          <w:lang w:val="en-GB"/>
        </w:rPr>
      </w:pPr>
    </w:p>
    <w:p w14:paraId="09698A40" w14:textId="3624022A" w:rsidR="00162667" w:rsidRPr="00DD65C2" w:rsidRDefault="00EC222A" w:rsidP="00162667">
      <w:pPr>
        <w:jc w:val="both"/>
        <w:rPr>
          <w:rFonts w:ascii="Calibri" w:hAnsi="Calibri" w:cs="Calibri"/>
          <w:lang w:val="en-GB"/>
        </w:rPr>
      </w:pPr>
      <w:r w:rsidRPr="00DD65C2">
        <w:rPr>
          <w:rFonts w:ascii="Calibri" w:hAnsi="Calibri" w:cs="Calibri"/>
          <w:lang w:val="en-GB"/>
        </w:rPr>
        <w:t xml:space="preserve">In any event, this discussion is for the most part superfluous for purposes of our current assessment. The fact that the Convention affords public authorities a very broad margin of appreciation in cases involving interferences with commercial expression, especially where moral values are involved, does not prevent them from properly justifying their findings under Article 10 ECHR. </w:t>
      </w:r>
      <w:r w:rsidR="00195288" w:rsidRPr="00DD65C2">
        <w:rPr>
          <w:rFonts w:ascii="Calibri" w:hAnsi="Calibri" w:cs="Calibri"/>
          <w:lang w:val="en-GB"/>
        </w:rPr>
        <w:t>Put differently</w:t>
      </w:r>
      <w:r w:rsidRPr="00DD65C2">
        <w:rPr>
          <w:rFonts w:ascii="Calibri" w:hAnsi="Calibri" w:cs="Calibri"/>
          <w:lang w:val="en-GB"/>
        </w:rPr>
        <w:t xml:space="preserve">, while not being required to ground their findings on ‘reasonable grounds’, </w:t>
      </w:r>
      <w:r w:rsidR="00CA4514" w:rsidRPr="00DD65C2">
        <w:rPr>
          <w:rFonts w:ascii="Calibri" w:hAnsi="Calibri" w:cs="Calibri"/>
          <w:lang w:val="en-GB"/>
        </w:rPr>
        <w:t>decision-maker</w:t>
      </w:r>
      <w:r w:rsidR="009A341A" w:rsidRPr="00DD65C2">
        <w:rPr>
          <w:rFonts w:ascii="Calibri" w:hAnsi="Calibri" w:cs="Calibri"/>
          <w:lang w:val="en-GB"/>
        </w:rPr>
        <w:t>s</w:t>
      </w:r>
      <w:r w:rsidRPr="00DD65C2">
        <w:rPr>
          <w:rFonts w:ascii="Calibri" w:hAnsi="Calibri" w:cs="Calibri"/>
          <w:lang w:val="en-GB"/>
        </w:rPr>
        <w:t xml:space="preserve"> may still decide to do so. If anything, such an approach</w:t>
      </w:r>
      <w:r w:rsidR="006751E3" w:rsidRPr="00DD65C2">
        <w:rPr>
          <w:rFonts w:ascii="Calibri" w:hAnsi="Calibri" w:cs="Calibri"/>
          <w:lang w:val="en-GB"/>
        </w:rPr>
        <w:t xml:space="preserve"> </w:t>
      </w:r>
      <w:r w:rsidR="0041587E">
        <w:rPr>
          <w:rFonts w:ascii="Calibri" w:hAnsi="Calibri" w:cs="Calibri"/>
          <w:lang w:val="en-GB"/>
        </w:rPr>
        <w:t>affords</w:t>
      </w:r>
      <w:r w:rsidRPr="00DD65C2">
        <w:rPr>
          <w:rFonts w:ascii="Calibri" w:hAnsi="Calibri" w:cs="Calibri"/>
          <w:lang w:val="en-GB"/>
        </w:rPr>
        <w:t xml:space="preserve"> an additional layer of protection to individuals’ freedom of expression</w:t>
      </w:r>
      <w:r w:rsidR="00A62E4A" w:rsidRPr="00DD65C2">
        <w:rPr>
          <w:rFonts w:ascii="Calibri" w:hAnsi="Calibri" w:cs="Calibri"/>
          <w:lang w:val="en-GB"/>
        </w:rPr>
        <w:t>.</w:t>
      </w:r>
      <w:r w:rsidR="004345E4" w:rsidRPr="00DD65C2">
        <w:rPr>
          <w:rFonts w:ascii="Calibri" w:hAnsi="Calibri" w:cs="Calibri"/>
          <w:lang w:val="en-GB"/>
        </w:rPr>
        <w:t xml:space="preserve"> </w:t>
      </w:r>
      <w:r w:rsidR="00730A00" w:rsidRPr="00DD65C2">
        <w:rPr>
          <w:rFonts w:ascii="Calibri" w:hAnsi="Calibri" w:cs="Calibri"/>
          <w:lang w:val="en-GB"/>
        </w:rPr>
        <w:t xml:space="preserve">This is arguably what the CJEU chose to do in </w:t>
      </w:r>
      <w:r w:rsidR="00730A00" w:rsidRPr="00DD65C2">
        <w:rPr>
          <w:rFonts w:ascii="Calibri" w:hAnsi="Calibri" w:cs="Calibri"/>
          <w:i/>
          <w:iCs/>
          <w:lang w:val="en-GB"/>
        </w:rPr>
        <w:t>Constantin Film Produktion</w:t>
      </w:r>
      <w:r w:rsidR="00730A00" w:rsidRPr="00DD65C2">
        <w:rPr>
          <w:rFonts w:ascii="Calibri" w:hAnsi="Calibri" w:cs="Calibri"/>
          <w:lang w:val="en-GB"/>
        </w:rPr>
        <w:t>. T</w:t>
      </w:r>
      <w:r w:rsidR="00162667" w:rsidRPr="00DD65C2">
        <w:rPr>
          <w:rFonts w:ascii="Calibri" w:hAnsi="Calibri" w:cs="Calibri"/>
          <w:lang w:val="en-GB"/>
        </w:rPr>
        <w:t xml:space="preserve">he fact-sensitive test developed by the </w:t>
      </w:r>
      <w:r w:rsidR="00730A00" w:rsidRPr="00DD65C2">
        <w:rPr>
          <w:rFonts w:ascii="Calibri" w:hAnsi="Calibri" w:cs="Calibri"/>
          <w:lang w:val="en-GB"/>
        </w:rPr>
        <w:t xml:space="preserve">Court would </w:t>
      </w:r>
      <w:r w:rsidR="00162667" w:rsidRPr="00DD65C2">
        <w:rPr>
          <w:rFonts w:ascii="Calibri" w:hAnsi="Calibri" w:cs="Calibri"/>
          <w:lang w:val="en-GB"/>
        </w:rPr>
        <w:t xml:space="preserve">seem to </w:t>
      </w:r>
      <w:r w:rsidR="00C6447D" w:rsidRPr="00DD65C2">
        <w:rPr>
          <w:rFonts w:ascii="Calibri" w:hAnsi="Calibri" w:cs="Calibri"/>
          <w:lang w:val="en-GB"/>
        </w:rPr>
        <w:t>conform to</w:t>
      </w:r>
      <w:r w:rsidR="00162667" w:rsidRPr="00DD65C2">
        <w:rPr>
          <w:rFonts w:ascii="Calibri" w:hAnsi="Calibri" w:cs="Calibri"/>
          <w:lang w:val="en-GB"/>
        </w:rPr>
        <w:t xml:space="preserve"> the requirement that refusals of registration be ‘closely scrutinise</w:t>
      </w:r>
      <w:r w:rsidR="00C6447D" w:rsidRPr="00DD65C2">
        <w:rPr>
          <w:rFonts w:ascii="Calibri" w:hAnsi="Calibri" w:cs="Calibri"/>
          <w:lang w:val="en-GB"/>
        </w:rPr>
        <w:t>d’</w:t>
      </w:r>
      <w:r w:rsidR="00162667" w:rsidRPr="00DD65C2">
        <w:rPr>
          <w:rFonts w:ascii="Calibri" w:hAnsi="Calibri" w:cs="Calibri"/>
          <w:lang w:val="en-GB"/>
        </w:rPr>
        <w:t xml:space="preserve">, in the sense of being justified on ‘reasonable grounds’. </w:t>
      </w:r>
      <w:r w:rsidR="00073AC6" w:rsidRPr="00DD65C2">
        <w:rPr>
          <w:rFonts w:ascii="Calibri" w:hAnsi="Calibri" w:cs="Calibri"/>
          <w:lang w:val="en-GB"/>
        </w:rPr>
        <w:t>It is, thus,</w:t>
      </w:r>
      <w:r w:rsidR="00712575" w:rsidRPr="00DD65C2">
        <w:rPr>
          <w:rFonts w:ascii="Calibri" w:hAnsi="Calibri" w:cs="Calibri"/>
          <w:lang w:val="en-GB"/>
        </w:rPr>
        <w:t xml:space="preserve"> compatible</w:t>
      </w:r>
      <w:r w:rsidR="00EA3401" w:rsidRPr="00DD65C2">
        <w:rPr>
          <w:rFonts w:ascii="Calibri" w:hAnsi="Calibri" w:cs="Calibri"/>
          <w:lang w:val="en-GB"/>
        </w:rPr>
        <w:t xml:space="preserve"> </w:t>
      </w:r>
      <w:r w:rsidR="00712575" w:rsidRPr="00DD65C2">
        <w:rPr>
          <w:rFonts w:ascii="Calibri" w:hAnsi="Calibri" w:cs="Calibri"/>
          <w:lang w:val="en-GB"/>
        </w:rPr>
        <w:t>with</w:t>
      </w:r>
      <w:r w:rsidR="00162667" w:rsidRPr="00DD65C2">
        <w:rPr>
          <w:rFonts w:ascii="Calibri" w:hAnsi="Calibri" w:cs="Calibri"/>
          <w:lang w:val="en-GB"/>
        </w:rPr>
        <w:t xml:space="preserve"> the proportionality requirements mandated under Article 10 ECHR.</w:t>
      </w:r>
      <w:r w:rsidR="00B32A9F" w:rsidRPr="00DD65C2">
        <w:rPr>
          <w:rStyle w:val="FootnoteReference"/>
          <w:rFonts w:ascii="Calibri" w:hAnsi="Calibri" w:cs="Calibri"/>
        </w:rPr>
        <w:footnoteReference w:id="140"/>
      </w:r>
      <w:r w:rsidR="00162667" w:rsidRPr="00DD65C2">
        <w:rPr>
          <w:rFonts w:ascii="Calibri" w:hAnsi="Calibri" w:cs="Calibri"/>
          <w:lang w:val="en-GB"/>
        </w:rPr>
        <w:t xml:space="preserve"> </w:t>
      </w:r>
    </w:p>
    <w:p w14:paraId="67E79912" w14:textId="30E97365" w:rsidR="00162667" w:rsidRPr="00DD65C2" w:rsidRDefault="00162667" w:rsidP="00162667">
      <w:pPr>
        <w:jc w:val="both"/>
        <w:rPr>
          <w:rFonts w:ascii="Calibri" w:hAnsi="Calibri" w:cs="Calibri"/>
          <w:lang w:val="en-GB"/>
        </w:rPr>
      </w:pPr>
    </w:p>
    <w:p w14:paraId="28096A84" w14:textId="0BD8233F" w:rsidR="00E221DD" w:rsidRPr="00DD65C2" w:rsidRDefault="00F153EF" w:rsidP="00504F94">
      <w:pPr>
        <w:jc w:val="both"/>
        <w:rPr>
          <w:rFonts w:ascii="Calibri" w:hAnsi="Calibri" w:cs="Calibri"/>
          <w:lang w:val="en-GB"/>
        </w:rPr>
      </w:pPr>
      <w:r w:rsidRPr="00DD65C2">
        <w:rPr>
          <w:rFonts w:ascii="Calibri" w:hAnsi="Calibri" w:cs="Calibri"/>
          <w:lang w:val="en-GB"/>
        </w:rPr>
        <w:t>T</w:t>
      </w:r>
      <w:r w:rsidR="00162667" w:rsidRPr="00DD65C2">
        <w:rPr>
          <w:rFonts w:ascii="Calibri" w:hAnsi="Calibri" w:cs="Calibri"/>
          <w:lang w:val="en-GB"/>
        </w:rPr>
        <w:t xml:space="preserve">his is not to say that the CJEU was right to ignore </w:t>
      </w:r>
      <w:r w:rsidR="00EE3BDC" w:rsidRPr="00DD65C2">
        <w:rPr>
          <w:rFonts w:ascii="Calibri" w:hAnsi="Calibri" w:cs="Calibri"/>
          <w:lang w:val="en-GB"/>
        </w:rPr>
        <w:t>the proportionality</w:t>
      </w:r>
      <w:r w:rsidR="00162667" w:rsidRPr="00DD65C2">
        <w:rPr>
          <w:rFonts w:ascii="Calibri" w:hAnsi="Calibri" w:cs="Calibri"/>
          <w:lang w:val="en-GB"/>
        </w:rPr>
        <w:t xml:space="preserve"> test</w:t>
      </w:r>
      <w:r w:rsidR="00EE3BDC" w:rsidRPr="00DD65C2">
        <w:rPr>
          <w:rFonts w:ascii="Calibri" w:hAnsi="Calibri" w:cs="Calibri"/>
          <w:lang w:val="en-GB"/>
        </w:rPr>
        <w:t xml:space="preserve"> </w:t>
      </w:r>
      <w:r w:rsidR="00024DB2" w:rsidRPr="00DD65C2">
        <w:rPr>
          <w:rFonts w:ascii="Calibri" w:hAnsi="Calibri" w:cs="Calibri"/>
          <w:lang w:val="en-GB"/>
        </w:rPr>
        <w:t xml:space="preserve">provided for </w:t>
      </w:r>
      <w:r w:rsidR="00EE3BDC" w:rsidRPr="00DD65C2">
        <w:rPr>
          <w:rFonts w:ascii="Calibri" w:hAnsi="Calibri" w:cs="Calibri"/>
          <w:lang w:val="en-GB"/>
        </w:rPr>
        <w:t>under the Convention</w:t>
      </w:r>
      <w:r w:rsidR="00162667" w:rsidRPr="00DD65C2">
        <w:rPr>
          <w:rFonts w:ascii="Calibri" w:hAnsi="Calibri" w:cs="Calibri"/>
          <w:lang w:val="en-GB"/>
        </w:rPr>
        <w:t xml:space="preserve">. Framing the judicial inquiry in morality cases within </w:t>
      </w:r>
      <w:r w:rsidR="00EE3BDC" w:rsidRPr="00DD65C2">
        <w:rPr>
          <w:rFonts w:ascii="Calibri" w:hAnsi="Calibri" w:cs="Calibri"/>
          <w:lang w:val="en-GB"/>
        </w:rPr>
        <w:t xml:space="preserve">this </w:t>
      </w:r>
      <w:r w:rsidR="00162667" w:rsidRPr="00DD65C2">
        <w:rPr>
          <w:rFonts w:ascii="Calibri" w:hAnsi="Calibri" w:cs="Calibri"/>
          <w:lang w:val="en-GB"/>
        </w:rPr>
        <w:t>test would have offered several advantages. First, it would have allowed the Court to tackle the question as to whether Article 7(1)(f)</w:t>
      </w:r>
      <w:r w:rsidR="00061ED3" w:rsidRPr="00DD65C2">
        <w:rPr>
          <w:rFonts w:ascii="Calibri" w:hAnsi="Calibri" w:cs="Calibri"/>
          <w:lang w:val="en-GB"/>
        </w:rPr>
        <w:t xml:space="preserve"> EUTMR</w:t>
      </w:r>
      <w:r w:rsidR="00162667" w:rsidRPr="00DD65C2">
        <w:rPr>
          <w:rFonts w:ascii="Calibri" w:hAnsi="Calibri" w:cs="Calibri"/>
          <w:lang w:val="en-GB"/>
        </w:rPr>
        <w:t xml:space="preserve">, by imposing public policy and morality as limits to registrability, already takes into account the balancing of rights mandated under Article 10 ECHR. </w:t>
      </w:r>
      <w:r w:rsidR="005A725C" w:rsidRPr="00DD65C2">
        <w:rPr>
          <w:rFonts w:ascii="Calibri" w:hAnsi="Calibri" w:cs="Calibri"/>
          <w:lang w:val="en-GB"/>
        </w:rPr>
        <w:t xml:space="preserve">In </w:t>
      </w:r>
      <w:r w:rsidR="005A725C" w:rsidRPr="00DD65C2">
        <w:rPr>
          <w:rFonts w:ascii="Calibri" w:hAnsi="Calibri" w:cs="Calibri"/>
          <w:i/>
          <w:iCs/>
          <w:lang w:val="en-GB"/>
        </w:rPr>
        <w:t>Basic</w:t>
      </w:r>
      <w:r w:rsidR="005A725C" w:rsidRPr="00DD65C2">
        <w:rPr>
          <w:rFonts w:ascii="Calibri" w:hAnsi="Calibri" w:cs="Calibri"/>
          <w:lang w:val="en-GB"/>
        </w:rPr>
        <w:t xml:space="preserve">, Hobbs QC had put forth such an interpretation of the </w:t>
      </w:r>
      <w:r w:rsidR="005A725C" w:rsidRPr="00DD65C2">
        <w:rPr>
          <w:rFonts w:ascii="Calibri" w:hAnsi="Calibri" w:cs="Calibri"/>
          <w:lang w:val="en-GB"/>
        </w:rPr>
        <w:lastRenderedPageBreak/>
        <w:t xml:space="preserve">public policy </w:t>
      </w:r>
      <w:r w:rsidR="00162667" w:rsidRPr="00DD65C2">
        <w:rPr>
          <w:rFonts w:ascii="Calibri" w:hAnsi="Calibri" w:cs="Calibri"/>
          <w:lang w:val="en-GB"/>
        </w:rPr>
        <w:t>and morality exclusions.</w:t>
      </w:r>
      <w:r w:rsidR="00162667" w:rsidRPr="00DD65C2">
        <w:rPr>
          <w:rStyle w:val="FootnoteReference"/>
          <w:rFonts w:ascii="Calibri" w:hAnsi="Calibri" w:cs="Calibri"/>
        </w:rPr>
        <w:footnoteReference w:id="141"/>
      </w:r>
      <w:r w:rsidR="00162667" w:rsidRPr="00DD65C2">
        <w:rPr>
          <w:rFonts w:ascii="Calibri" w:hAnsi="Calibri" w:cs="Calibri"/>
          <w:lang w:val="en-GB"/>
        </w:rPr>
        <w:t xml:space="preserve"> This interpretation was, however, expressly rejected by AG Bobek in his opinion in </w:t>
      </w:r>
      <w:r w:rsidR="00162667" w:rsidRPr="00DD65C2">
        <w:rPr>
          <w:rFonts w:ascii="Calibri" w:hAnsi="Calibri" w:cs="Calibri"/>
          <w:i/>
          <w:iCs/>
          <w:lang w:val="en-GB"/>
        </w:rPr>
        <w:t>Constantin Film Produktion</w:t>
      </w:r>
      <w:r w:rsidR="00162667" w:rsidRPr="00DD65C2">
        <w:rPr>
          <w:rFonts w:ascii="Calibri" w:hAnsi="Calibri" w:cs="Calibri"/>
          <w:lang w:val="en-GB"/>
        </w:rPr>
        <w:t xml:space="preserve"> –a matter on which the CJEU remained silent.</w:t>
      </w:r>
      <w:r w:rsidR="00162667" w:rsidRPr="00DD65C2">
        <w:rPr>
          <w:rStyle w:val="FootnoteReference"/>
          <w:rFonts w:ascii="Calibri" w:hAnsi="Calibri" w:cs="Calibri"/>
        </w:rPr>
        <w:footnoteReference w:id="142"/>
      </w:r>
      <w:r w:rsidR="00162667" w:rsidRPr="00DD65C2">
        <w:rPr>
          <w:rFonts w:ascii="Calibri" w:hAnsi="Calibri" w:cs="Calibri"/>
          <w:lang w:val="en-GB"/>
        </w:rPr>
        <w:t xml:space="preserve"> Accordingly, this </w:t>
      </w:r>
      <w:r w:rsidRPr="00DD65C2">
        <w:rPr>
          <w:rFonts w:ascii="Calibri" w:hAnsi="Calibri" w:cs="Calibri"/>
          <w:lang w:val="en-GB"/>
        </w:rPr>
        <w:t>is still</w:t>
      </w:r>
      <w:r w:rsidR="00162667" w:rsidRPr="00DD65C2">
        <w:rPr>
          <w:rFonts w:ascii="Calibri" w:hAnsi="Calibri" w:cs="Calibri"/>
          <w:lang w:val="en-GB"/>
        </w:rPr>
        <w:t xml:space="preserve"> a contested issue. Second, applying the proportionality test under Article 10 ECHR to the morality exclusion would have allowed for the consistent application of the human rights guarantees set forth in the </w:t>
      </w:r>
      <w:r w:rsidR="00190DDF" w:rsidRPr="00DD65C2">
        <w:rPr>
          <w:rFonts w:ascii="Calibri" w:hAnsi="Calibri" w:cs="Calibri"/>
          <w:lang w:val="en-GB"/>
        </w:rPr>
        <w:t>Convention</w:t>
      </w:r>
      <w:r w:rsidR="00162667" w:rsidRPr="00DD65C2">
        <w:rPr>
          <w:rFonts w:ascii="Calibri" w:hAnsi="Calibri" w:cs="Calibri"/>
          <w:lang w:val="en-GB"/>
        </w:rPr>
        <w:t xml:space="preserve">. Third, and most importantly, it would have served to illustrate how the balancing exercise in cases involving the interaction between marks and speech ought to be undertaken under EU law. This could have paved the way for future </w:t>
      </w:r>
      <w:r w:rsidR="00CA4514" w:rsidRPr="00DD65C2">
        <w:rPr>
          <w:rFonts w:ascii="Calibri" w:hAnsi="Calibri" w:cs="Calibri"/>
          <w:lang w:val="en-GB"/>
        </w:rPr>
        <w:t>decision-maker</w:t>
      </w:r>
      <w:r w:rsidR="00162667" w:rsidRPr="00DD65C2">
        <w:rPr>
          <w:rFonts w:ascii="Calibri" w:hAnsi="Calibri" w:cs="Calibri"/>
          <w:lang w:val="en-GB"/>
        </w:rPr>
        <w:t xml:space="preserve">s dealing with this interaction in the context of the public policy exclusion, and even beyond registration –notably in trade mark infringement, where the degree of </w:t>
      </w:r>
      <w:r w:rsidR="00CB064E" w:rsidRPr="00DD65C2">
        <w:rPr>
          <w:rFonts w:ascii="Calibri" w:hAnsi="Calibri" w:cs="Calibri"/>
          <w:lang w:val="en-GB"/>
        </w:rPr>
        <w:t>inconsistency</w:t>
      </w:r>
      <w:r w:rsidR="00162667" w:rsidRPr="00DD65C2">
        <w:rPr>
          <w:rFonts w:ascii="Calibri" w:hAnsi="Calibri" w:cs="Calibri"/>
          <w:lang w:val="en-GB"/>
        </w:rPr>
        <w:t xml:space="preserve"> is very worrying too.</w:t>
      </w:r>
      <w:r w:rsidR="00061ED3" w:rsidRPr="00DD65C2">
        <w:rPr>
          <w:rStyle w:val="FootnoteReference"/>
          <w:rFonts w:ascii="Calibri" w:hAnsi="Calibri" w:cs="Calibri"/>
        </w:rPr>
        <w:footnoteReference w:id="143"/>
      </w:r>
    </w:p>
    <w:p w14:paraId="0A854C20" w14:textId="77777777" w:rsidR="000177CC" w:rsidRPr="00DD65C2" w:rsidRDefault="000177CC" w:rsidP="00504F94">
      <w:pPr>
        <w:jc w:val="both"/>
        <w:rPr>
          <w:rFonts w:ascii="Calibri" w:hAnsi="Calibri" w:cs="Calibri"/>
          <w:lang w:val="en-GB"/>
        </w:rPr>
      </w:pPr>
    </w:p>
    <w:p w14:paraId="133BAF48" w14:textId="74A9B028" w:rsidR="007B5AC6" w:rsidRPr="00DD65C2" w:rsidRDefault="00EC5441" w:rsidP="003833A7">
      <w:pPr>
        <w:pStyle w:val="ListParagraph"/>
        <w:numPr>
          <w:ilvl w:val="0"/>
          <w:numId w:val="13"/>
        </w:numPr>
        <w:jc w:val="both"/>
        <w:rPr>
          <w:rFonts w:ascii="Calibri" w:hAnsi="Calibri" w:cs="Calibri"/>
          <w:b/>
          <w:bCs/>
        </w:rPr>
      </w:pPr>
      <w:r w:rsidRPr="00DD65C2">
        <w:rPr>
          <w:rFonts w:ascii="Calibri" w:hAnsi="Calibri" w:cs="Calibri"/>
          <w:b/>
          <w:bCs/>
        </w:rPr>
        <w:t>Conclusion</w:t>
      </w:r>
    </w:p>
    <w:p w14:paraId="70C68CDF" w14:textId="77777777" w:rsidR="00B04562" w:rsidRPr="00DD65C2" w:rsidRDefault="00B04562" w:rsidP="001F2D4E">
      <w:pPr>
        <w:jc w:val="both"/>
        <w:rPr>
          <w:rFonts w:ascii="Calibri" w:hAnsi="Calibri" w:cs="Calibri"/>
          <w:lang w:val="en-GB"/>
        </w:rPr>
      </w:pPr>
    </w:p>
    <w:p w14:paraId="30B0D320" w14:textId="270BA7AF" w:rsidR="00854ADE" w:rsidRPr="00DD65C2" w:rsidRDefault="00F711C4" w:rsidP="001F2D4E">
      <w:pPr>
        <w:jc w:val="both"/>
        <w:rPr>
          <w:rFonts w:ascii="Calibri" w:hAnsi="Calibri" w:cs="Calibri"/>
          <w:lang w:val="en-GB"/>
        </w:rPr>
      </w:pPr>
      <w:r w:rsidRPr="00DD65C2">
        <w:rPr>
          <w:rFonts w:ascii="Calibri" w:hAnsi="Calibri" w:cs="Calibri"/>
          <w:lang w:val="en-GB"/>
        </w:rPr>
        <w:t xml:space="preserve">The interpretation of the public policy and morality exclusions has proved to be a controversial subject in European trade mark law. </w:t>
      </w:r>
      <w:r w:rsidR="001A0586" w:rsidRPr="00DD65C2">
        <w:rPr>
          <w:rFonts w:ascii="Calibri" w:hAnsi="Calibri" w:cs="Calibri"/>
          <w:lang w:val="en-GB"/>
        </w:rPr>
        <w:t xml:space="preserve">Contrary to the common belief that </w:t>
      </w:r>
      <w:r w:rsidR="00CB064E" w:rsidRPr="00DD65C2">
        <w:rPr>
          <w:rFonts w:ascii="Calibri" w:hAnsi="Calibri" w:cs="Calibri"/>
          <w:lang w:val="en-GB"/>
        </w:rPr>
        <w:t>inconsistencies</w:t>
      </w:r>
      <w:r w:rsidR="001A0586" w:rsidRPr="00DD65C2">
        <w:rPr>
          <w:rFonts w:ascii="Calibri" w:hAnsi="Calibri" w:cs="Calibri"/>
          <w:lang w:val="en-GB"/>
        </w:rPr>
        <w:t xml:space="preserve"> in this area of law result from </w:t>
      </w:r>
      <w:r w:rsidR="007F6443" w:rsidRPr="00DD65C2">
        <w:rPr>
          <w:rFonts w:ascii="Calibri" w:hAnsi="Calibri" w:cs="Calibri"/>
          <w:lang w:val="en-GB"/>
        </w:rPr>
        <w:t>decision-makers’</w:t>
      </w:r>
      <w:r w:rsidR="001A0586" w:rsidRPr="00DD65C2">
        <w:rPr>
          <w:rFonts w:ascii="Calibri" w:hAnsi="Calibri" w:cs="Calibri"/>
          <w:lang w:val="en-GB"/>
        </w:rPr>
        <w:t xml:space="preserve"> failure to properly engage with the interaction between marks and speech, this article has shown that there are several </w:t>
      </w:r>
      <w:r w:rsidR="00DE6A04" w:rsidRPr="00DD65C2">
        <w:rPr>
          <w:rFonts w:ascii="Calibri" w:hAnsi="Calibri" w:cs="Calibri"/>
          <w:lang w:val="en-GB"/>
        </w:rPr>
        <w:t>sources</w:t>
      </w:r>
      <w:r w:rsidR="001A0586" w:rsidRPr="00DD65C2">
        <w:rPr>
          <w:rFonts w:ascii="Calibri" w:hAnsi="Calibri" w:cs="Calibri"/>
          <w:lang w:val="en-GB"/>
        </w:rPr>
        <w:t xml:space="preserve"> of </w:t>
      </w:r>
      <w:r w:rsidR="00CB064E" w:rsidRPr="00DD65C2">
        <w:rPr>
          <w:rFonts w:ascii="Calibri" w:hAnsi="Calibri" w:cs="Calibri"/>
          <w:lang w:val="en-GB"/>
        </w:rPr>
        <w:t>inconsistency</w:t>
      </w:r>
      <w:r w:rsidR="001A0586" w:rsidRPr="00DD65C2">
        <w:rPr>
          <w:rFonts w:ascii="Calibri" w:hAnsi="Calibri" w:cs="Calibri"/>
          <w:lang w:val="en-GB"/>
        </w:rPr>
        <w:t xml:space="preserve">. </w:t>
      </w:r>
      <w:r w:rsidR="00793CC6" w:rsidRPr="00DD65C2">
        <w:rPr>
          <w:rFonts w:ascii="Calibri" w:hAnsi="Calibri" w:cs="Calibri"/>
          <w:lang w:val="en-GB"/>
        </w:rPr>
        <w:t xml:space="preserve">It is only if </w:t>
      </w:r>
      <w:r w:rsidR="00CA4514" w:rsidRPr="00DD65C2">
        <w:rPr>
          <w:rFonts w:ascii="Calibri" w:hAnsi="Calibri" w:cs="Calibri"/>
          <w:lang w:val="en-GB"/>
        </w:rPr>
        <w:t>decision-maker</w:t>
      </w:r>
      <w:r w:rsidR="00793CC6" w:rsidRPr="00DD65C2">
        <w:rPr>
          <w:rFonts w:ascii="Calibri" w:hAnsi="Calibri" w:cs="Calibri"/>
          <w:lang w:val="en-GB"/>
        </w:rPr>
        <w:t xml:space="preserve">s acknowledge and address </w:t>
      </w:r>
      <w:r w:rsidR="00FE2B47" w:rsidRPr="00DD65C2">
        <w:rPr>
          <w:rFonts w:ascii="Calibri" w:hAnsi="Calibri" w:cs="Calibri"/>
          <w:lang w:val="en-GB"/>
        </w:rPr>
        <w:t>all</w:t>
      </w:r>
      <w:r w:rsidR="00CB064E" w:rsidRPr="00DD65C2">
        <w:rPr>
          <w:rFonts w:ascii="Calibri" w:hAnsi="Calibri" w:cs="Calibri"/>
          <w:lang w:val="en-GB"/>
        </w:rPr>
        <w:t xml:space="preserve"> sources identified</w:t>
      </w:r>
      <w:r w:rsidR="00793CC6" w:rsidRPr="00DD65C2">
        <w:rPr>
          <w:rFonts w:ascii="Calibri" w:hAnsi="Calibri" w:cs="Calibri"/>
          <w:lang w:val="en-GB"/>
        </w:rPr>
        <w:t xml:space="preserve"> that it will be possible to bring the required level of consistency to th</w:t>
      </w:r>
      <w:r w:rsidR="00012AC2" w:rsidRPr="00DD65C2">
        <w:rPr>
          <w:rFonts w:ascii="Calibri" w:hAnsi="Calibri" w:cs="Calibri"/>
          <w:lang w:val="en-GB"/>
        </w:rPr>
        <w:t>e interpretation of Article 7(1)(f) EUTMR</w:t>
      </w:r>
      <w:r w:rsidR="00793CC6" w:rsidRPr="00DD65C2">
        <w:rPr>
          <w:rFonts w:ascii="Calibri" w:hAnsi="Calibri" w:cs="Calibri"/>
          <w:lang w:val="en-GB"/>
        </w:rPr>
        <w:t xml:space="preserve">. The CJEU, in particular, must play an active role in further harmonising the interpretation of the public policy and morality exclusions, building on its decision in </w:t>
      </w:r>
      <w:r w:rsidR="00793CC6" w:rsidRPr="00DD65C2">
        <w:rPr>
          <w:rFonts w:ascii="Calibri" w:hAnsi="Calibri" w:cs="Calibri"/>
          <w:i/>
          <w:iCs/>
          <w:lang w:val="en-GB"/>
        </w:rPr>
        <w:t>Constantin Film Produktion</w:t>
      </w:r>
      <w:r w:rsidR="00793CC6" w:rsidRPr="00DD65C2">
        <w:rPr>
          <w:rFonts w:ascii="Calibri" w:hAnsi="Calibri" w:cs="Calibri"/>
          <w:lang w:val="en-GB"/>
        </w:rPr>
        <w:t xml:space="preserve">. </w:t>
      </w:r>
    </w:p>
    <w:p w14:paraId="40749BFE" w14:textId="77777777" w:rsidR="00854ADE" w:rsidRPr="00DD65C2" w:rsidRDefault="00854ADE" w:rsidP="001F2D4E">
      <w:pPr>
        <w:jc w:val="both"/>
        <w:rPr>
          <w:rFonts w:ascii="Calibri" w:hAnsi="Calibri" w:cs="Calibri"/>
          <w:lang w:val="en-GB"/>
        </w:rPr>
      </w:pPr>
    </w:p>
    <w:p w14:paraId="69F95537" w14:textId="1F252BC7" w:rsidR="00307BA5" w:rsidRPr="00DD65C2" w:rsidRDefault="00793CC6" w:rsidP="001F2D4E">
      <w:pPr>
        <w:jc w:val="both"/>
        <w:rPr>
          <w:rFonts w:ascii="Calibri" w:hAnsi="Calibri" w:cs="Calibri"/>
          <w:lang w:val="en-GB"/>
        </w:rPr>
      </w:pPr>
      <w:r w:rsidRPr="00DD65C2">
        <w:rPr>
          <w:rFonts w:ascii="Calibri" w:hAnsi="Calibri" w:cs="Calibri"/>
          <w:lang w:val="en-GB"/>
        </w:rPr>
        <w:t xml:space="preserve">As we have seen, this decision ultimately constitutes a missed opportunity on the part of the </w:t>
      </w:r>
      <w:r w:rsidR="00196BB5" w:rsidRPr="00DD65C2">
        <w:rPr>
          <w:rFonts w:ascii="Calibri" w:hAnsi="Calibri" w:cs="Calibri"/>
          <w:lang w:val="en-GB"/>
        </w:rPr>
        <w:t xml:space="preserve">Court to redress the core shortcomings identified in the case law. </w:t>
      </w:r>
      <w:r w:rsidR="00A06554" w:rsidRPr="00DD65C2">
        <w:rPr>
          <w:rFonts w:ascii="Calibri" w:hAnsi="Calibri" w:cs="Calibri"/>
          <w:lang w:val="en-GB"/>
        </w:rPr>
        <w:t xml:space="preserve">First, the Court fails to address the conceptual differences between both exclusions and, thus, to clarify whether they can sometimes overlap and, if so, to what extent. Second, although bound by procedural considerations, the Court does not question the definition of relevant public </w:t>
      </w:r>
      <w:r w:rsidR="00C8464C" w:rsidRPr="00DD65C2">
        <w:rPr>
          <w:rFonts w:ascii="Calibri" w:hAnsi="Calibri" w:cs="Calibri"/>
          <w:lang w:val="en-GB"/>
        </w:rPr>
        <w:t>provided</w:t>
      </w:r>
      <w:r w:rsidR="00A06554" w:rsidRPr="00DD65C2">
        <w:rPr>
          <w:rFonts w:ascii="Calibri" w:hAnsi="Calibri" w:cs="Calibri"/>
          <w:lang w:val="en-GB"/>
        </w:rPr>
        <w:t xml:space="preserve"> by the EUIPO BoA and subsequently accepted  by the GC</w:t>
      </w:r>
      <w:r w:rsidR="007B5AC6" w:rsidRPr="00DD65C2">
        <w:rPr>
          <w:rFonts w:ascii="Calibri" w:hAnsi="Calibri" w:cs="Calibri"/>
          <w:lang w:val="en-GB"/>
        </w:rPr>
        <w:t>. This leads the Court to assess the morality of the sign ‘</w:t>
      </w:r>
      <w:r w:rsidR="000B557C" w:rsidRPr="00DD65C2">
        <w:rPr>
          <w:rFonts w:ascii="Calibri" w:hAnsi="Calibri" w:cs="Calibri"/>
          <w:lang w:val="en-GB" w:eastAsia="en-US"/>
        </w:rPr>
        <w:t>F</w:t>
      </w:r>
      <w:r w:rsidR="000B557C">
        <w:rPr>
          <w:rFonts w:ascii="Calibri" w:hAnsi="Calibri" w:cs="Calibri"/>
          <w:lang w:val="en-GB" w:eastAsia="en-US"/>
        </w:rPr>
        <w:t>ack Ju Göhte</w:t>
      </w:r>
      <w:r w:rsidR="000B557C" w:rsidRPr="00DD65C2">
        <w:rPr>
          <w:rFonts w:ascii="Calibri" w:hAnsi="Calibri" w:cs="Calibri"/>
          <w:lang w:val="en-GB" w:eastAsia="en-US"/>
        </w:rPr>
        <w:t>’</w:t>
      </w:r>
      <w:r w:rsidR="000B557C">
        <w:rPr>
          <w:rFonts w:ascii="Calibri" w:hAnsi="Calibri" w:cs="Calibri"/>
          <w:lang w:val="en-GB" w:eastAsia="en-US"/>
        </w:rPr>
        <w:t xml:space="preserve"> </w:t>
      </w:r>
      <w:r w:rsidR="007B5AC6" w:rsidRPr="00DD65C2">
        <w:rPr>
          <w:rFonts w:ascii="Calibri" w:hAnsi="Calibri" w:cs="Calibri"/>
          <w:lang w:val="en-GB"/>
        </w:rPr>
        <w:t xml:space="preserve">without taking into consideration the English-speaking public within the EU, despite ‘Fuck You’ being a vulgar expression in the English language. Third, </w:t>
      </w:r>
      <w:r w:rsidR="00116650" w:rsidRPr="00DD65C2">
        <w:rPr>
          <w:rFonts w:ascii="Calibri" w:hAnsi="Calibri" w:cs="Calibri"/>
          <w:lang w:val="en-GB"/>
        </w:rPr>
        <w:t>while the CJEU proposes a fact-sensiti</w:t>
      </w:r>
      <w:r w:rsidR="00B04562" w:rsidRPr="00DD65C2">
        <w:rPr>
          <w:rFonts w:ascii="Calibri" w:hAnsi="Calibri" w:cs="Calibri"/>
          <w:lang w:val="en-GB"/>
        </w:rPr>
        <w:t xml:space="preserve">ve test </w:t>
      </w:r>
      <w:r w:rsidR="001A31D1" w:rsidRPr="00DD65C2">
        <w:rPr>
          <w:rFonts w:ascii="Calibri" w:hAnsi="Calibri" w:cs="Calibri"/>
          <w:lang w:val="en-GB"/>
        </w:rPr>
        <w:t>of</w:t>
      </w:r>
      <w:r w:rsidR="00B04562" w:rsidRPr="00DD65C2">
        <w:rPr>
          <w:rFonts w:ascii="Calibri" w:hAnsi="Calibri" w:cs="Calibri"/>
          <w:lang w:val="en-GB"/>
        </w:rPr>
        <w:t xml:space="preserve"> morality that is bound to harmonize the interpretation of the morality exclusion, it fails to do the same for the public policy exclusion. And, fourth, the Court’s efforts to bring clarity to the interaction between marks and speech in the registration context are insufficient. </w:t>
      </w:r>
      <w:r w:rsidR="003B508C" w:rsidRPr="00DD65C2">
        <w:rPr>
          <w:rFonts w:ascii="Calibri" w:hAnsi="Calibri" w:cs="Calibri"/>
          <w:lang w:val="en-GB"/>
        </w:rPr>
        <w:t>T</w:t>
      </w:r>
      <w:r w:rsidR="00307BA5" w:rsidRPr="00DD65C2">
        <w:rPr>
          <w:rFonts w:ascii="Calibri" w:hAnsi="Calibri" w:cs="Calibri"/>
          <w:lang w:val="en-GB"/>
        </w:rPr>
        <w:t xml:space="preserve">he Court should have explored the complex dynamics underlying </w:t>
      </w:r>
      <w:r w:rsidR="007266B2" w:rsidRPr="00DD65C2">
        <w:rPr>
          <w:rFonts w:ascii="Calibri" w:hAnsi="Calibri" w:cs="Calibri"/>
          <w:lang w:val="en-GB"/>
        </w:rPr>
        <w:t>this</w:t>
      </w:r>
      <w:r w:rsidR="00307BA5" w:rsidRPr="00DD65C2">
        <w:rPr>
          <w:rFonts w:ascii="Calibri" w:hAnsi="Calibri" w:cs="Calibri"/>
          <w:lang w:val="en-GB"/>
        </w:rPr>
        <w:t xml:space="preserve"> </w:t>
      </w:r>
      <w:r w:rsidR="003B508C" w:rsidRPr="00DD65C2">
        <w:rPr>
          <w:rFonts w:ascii="Calibri" w:hAnsi="Calibri" w:cs="Calibri"/>
          <w:lang w:val="en-GB"/>
        </w:rPr>
        <w:t>interaction</w:t>
      </w:r>
      <w:r w:rsidR="00307BA5" w:rsidRPr="00DD65C2">
        <w:rPr>
          <w:rFonts w:ascii="Calibri" w:hAnsi="Calibri" w:cs="Calibri"/>
          <w:lang w:val="en-GB"/>
        </w:rPr>
        <w:t xml:space="preserve">. This </w:t>
      </w:r>
      <w:r w:rsidR="003B508C" w:rsidRPr="00DD65C2">
        <w:rPr>
          <w:rFonts w:ascii="Calibri" w:hAnsi="Calibri" w:cs="Calibri"/>
          <w:lang w:val="en-GB"/>
        </w:rPr>
        <w:t>w</w:t>
      </w:r>
      <w:r w:rsidR="00307BA5" w:rsidRPr="00DD65C2">
        <w:rPr>
          <w:rFonts w:ascii="Calibri" w:hAnsi="Calibri" w:cs="Calibri"/>
          <w:lang w:val="en-GB"/>
        </w:rPr>
        <w:t xml:space="preserve">ould have greatly assisted future </w:t>
      </w:r>
      <w:r w:rsidR="00CA4514" w:rsidRPr="00DD65C2">
        <w:rPr>
          <w:rFonts w:ascii="Calibri" w:hAnsi="Calibri" w:cs="Calibri"/>
          <w:lang w:val="en-GB"/>
        </w:rPr>
        <w:t>decision-maker</w:t>
      </w:r>
      <w:r w:rsidR="00307BA5" w:rsidRPr="00DD65C2">
        <w:rPr>
          <w:rFonts w:ascii="Calibri" w:hAnsi="Calibri" w:cs="Calibri"/>
          <w:lang w:val="en-GB"/>
        </w:rPr>
        <w:t>s hearing speech-based challenges in trade mark registration and beyond –notably</w:t>
      </w:r>
      <w:r w:rsidR="008A56D1" w:rsidRPr="00DD65C2">
        <w:rPr>
          <w:rFonts w:ascii="Calibri" w:hAnsi="Calibri" w:cs="Calibri"/>
          <w:lang w:val="en-GB"/>
        </w:rPr>
        <w:t>,</w:t>
      </w:r>
      <w:r w:rsidR="001E6FA9" w:rsidRPr="00DD65C2">
        <w:rPr>
          <w:rFonts w:ascii="Calibri" w:hAnsi="Calibri" w:cs="Calibri"/>
          <w:lang w:val="en-GB"/>
        </w:rPr>
        <w:t xml:space="preserve"> </w:t>
      </w:r>
      <w:r w:rsidR="00307BA5" w:rsidRPr="00DD65C2">
        <w:rPr>
          <w:rFonts w:ascii="Calibri" w:hAnsi="Calibri" w:cs="Calibri"/>
          <w:lang w:val="en-GB"/>
        </w:rPr>
        <w:t>infringement</w:t>
      </w:r>
      <w:r w:rsidR="008A56D1" w:rsidRPr="00DD65C2">
        <w:rPr>
          <w:rFonts w:ascii="Calibri" w:hAnsi="Calibri" w:cs="Calibri"/>
          <w:lang w:val="en-GB"/>
        </w:rPr>
        <w:t>.</w:t>
      </w:r>
    </w:p>
    <w:p w14:paraId="5AB8F265" w14:textId="77777777" w:rsidR="00D9557D" w:rsidRPr="00DD65C2" w:rsidRDefault="00D9557D" w:rsidP="001F2D4E">
      <w:pPr>
        <w:jc w:val="both"/>
        <w:rPr>
          <w:rFonts w:ascii="Calibri" w:hAnsi="Calibri" w:cs="Calibri"/>
          <w:lang w:val="en-GB"/>
        </w:rPr>
      </w:pPr>
    </w:p>
    <w:p w14:paraId="1ACEAC91" w14:textId="2913DBA6" w:rsidR="001F2D4E" w:rsidRPr="00DD65C2" w:rsidRDefault="001F2D4E" w:rsidP="001F2D4E">
      <w:pPr>
        <w:jc w:val="both"/>
        <w:rPr>
          <w:rFonts w:ascii="Calibri" w:hAnsi="Calibri" w:cs="Calibri"/>
          <w:lang w:val="en-GB"/>
        </w:rPr>
      </w:pPr>
      <w:r w:rsidRPr="00DD65C2">
        <w:rPr>
          <w:rFonts w:ascii="Calibri" w:hAnsi="Calibri" w:cs="Calibri"/>
          <w:lang w:val="en-GB"/>
        </w:rPr>
        <w:lastRenderedPageBreak/>
        <w:t xml:space="preserve">Against this backdrop, the CJEU would be best advised to </w:t>
      </w:r>
      <w:r w:rsidR="00D9557D" w:rsidRPr="00DD65C2">
        <w:rPr>
          <w:rFonts w:ascii="Calibri" w:hAnsi="Calibri" w:cs="Calibri"/>
          <w:lang w:val="en-GB"/>
        </w:rPr>
        <w:t xml:space="preserve">shed further light on the interpretation of </w:t>
      </w:r>
      <w:r w:rsidR="003E525C" w:rsidRPr="00DD65C2">
        <w:rPr>
          <w:rFonts w:ascii="Calibri" w:hAnsi="Calibri" w:cs="Calibri"/>
          <w:lang w:val="en-GB"/>
        </w:rPr>
        <w:t>the public policy and morality exclusions</w:t>
      </w:r>
      <w:r w:rsidRPr="00DD65C2">
        <w:rPr>
          <w:rFonts w:ascii="Calibri" w:hAnsi="Calibri" w:cs="Calibri"/>
          <w:lang w:val="en-GB"/>
        </w:rPr>
        <w:t xml:space="preserve">, if it wishes to put an end to the growing sense of uncertainty in the field. To facilitate this process, courts of Member States hearing appeals to refusals of registration of </w:t>
      </w:r>
      <w:r w:rsidR="00854ADE" w:rsidRPr="00DD65C2">
        <w:rPr>
          <w:rFonts w:ascii="Calibri" w:hAnsi="Calibri" w:cs="Calibri"/>
          <w:lang w:val="en-GB"/>
        </w:rPr>
        <w:t xml:space="preserve">signs that are liable to contravene public policy or morality </w:t>
      </w:r>
      <w:r w:rsidRPr="00DD65C2">
        <w:rPr>
          <w:rFonts w:ascii="Calibri" w:hAnsi="Calibri" w:cs="Calibri"/>
          <w:lang w:val="en-GB"/>
        </w:rPr>
        <w:t xml:space="preserve">should ask the CJEU to provide further insights on the </w:t>
      </w:r>
      <w:r w:rsidR="00D9557D" w:rsidRPr="00DD65C2">
        <w:rPr>
          <w:rFonts w:ascii="Calibri" w:hAnsi="Calibri" w:cs="Calibri"/>
          <w:lang w:val="en-GB"/>
        </w:rPr>
        <w:t>interpretation of these exclusions</w:t>
      </w:r>
      <w:r w:rsidRPr="00DD65C2">
        <w:rPr>
          <w:rFonts w:ascii="Calibri" w:hAnsi="Calibri" w:cs="Calibri"/>
          <w:lang w:val="en-GB"/>
        </w:rPr>
        <w:t xml:space="preserve"> by means of carefully</w:t>
      </w:r>
      <w:r w:rsidR="000B557C">
        <w:rPr>
          <w:rFonts w:ascii="Calibri" w:hAnsi="Calibri" w:cs="Calibri"/>
          <w:lang w:val="en-GB"/>
        </w:rPr>
        <w:t xml:space="preserve"> </w:t>
      </w:r>
      <w:r w:rsidRPr="00DD65C2">
        <w:rPr>
          <w:rFonts w:ascii="Calibri" w:hAnsi="Calibri" w:cs="Calibri"/>
          <w:lang w:val="en-GB"/>
        </w:rPr>
        <w:t>tailored requests for preliminary rulings.</w:t>
      </w:r>
      <w:r w:rsidR="000E0358" w:rsidRPr="00DD65C2">
        <w:rPr>
          <w:rFonts w:ascii="Calibri" w:hAnsi="Calibri" w:cs="Calibri"/>
          <w:lang w:val="en-GB"/>
        </w:rPr>
        <w:t xml:space="preserve"> This will be particularly </w:t>
      </w:r>
      <w:r w:rsidR="00350AEF" w:rsidRPr="00DD65C2">
        <w:rPr>
          <w:rFonts w:ascii="Calibri" w:hAnsi="Calibri" w:cs="Calibri"/>
          <w:lang w:val="en-GB"/>
        </w:rPr>
        <w:t>useful</w:t>
      </w:r>
      <w:r w:rsidR="000E0358" w:rsidRPr="00DD65C2">
        <w:rPr>
          <w:rFonts w:ascii="Calibri" w:hAnsi="Calibri" w:cs="Calibri"/>
          <w:lang w:val="en-GB"/>
        </w:rPr>
        <w:t xml:space="preserve"> where appeals are launched by trade mark applicants on grounds that refusals of registration contravene their Article 10 ECHR rights.</w:t>
      </w:r>
      <w:r w:rsidRPr="00DD65C2">
        <w:rPr>
          <w:rFonts w:ascii="Calibri" w:hAnsi="Calibri" w:cs="Calibri"/>
          <w:lang w:val="en-GB"/>
        </w:rPr>
        <w:t xml:space="preserve"> </w:t>
      </w:r>
      <w:r w:rsidR="00A94EA2" w:rsidRPr="00DD65C2">
        <w:rPr>
          <w:rFonts w:ascii="Calibri" w:hAnsi="Calibri" w:cs="Calibri"/>
          <w:lang w:val="en-GB"/>
        </w:rPr>
        <w:t xml:space="preserve">In this regard, </w:t>
      </w:r>
      <w:r w:rsidRPr="00DD65C2">
        <w:rPr>
          <w:rFonts w:ascii="Calibri" w:hAnsi="Calibri" w:cs="Calibri"/>
          <w:lang w:val="en-GB"/>
        </w:rPr>
        <w:t xml:space="preserve">Brexit might prove a disruptive force </w:t>
      </w:r>
      <w:r w:rsidR="00854ADE" w:rsidRPr="00DD65C2">
        <w:rPr>
          <w:rFonts w:ascii="Calibri" w:hAnsi="Calibri" w:cs="Calibri"/>
          <w:lang w:val="en-GB"/>
        </w:rPr>
        <w:t>yet again</w:t>
      </w:r>
      <w:r w:rsidR="00350AEF" w:rsidRPr="00DD65C2">
        <w:rPr>
          <w:rFonts w:ascii="Calibri" w:hAnsi="Calibri" w:cs="Calibri"/>
          <w:lang w:val="en-GB"/>
        </w:rPr>
        <w:t>,</w:t>
      </w:r>
      <w:r w:rsidRPr="00DD65C2">
        <w:rPr>
          <w:rFonts w:ascii="Calibri" w:hAnsi="Calibri" w:cs="Calibri"/>
          <w:lang w:val="en-GB"/>
        </w:rPr>
        <w:t xml:space="preserve"> </w:t>
      </w:r>
      <w:r w:rsidR="00350AEF" w:rsidRPr="00DD65C2">
        <w:rPr>
          <w:rFonts w:ascii="Calibri" w:hAnsi="Calibri" w:cs="Calibri"/>
          <w:lang w:val="en-GB"/>
        </w:rPr>
        <w:t>since</w:t>
      </w:r>
      <w:r w:rsidR="008649ED" w:rsidRPr="00DD65C2">
        <w:rPr>
          <w:rFonts w:ascii="Calibri" w:hAnsi="Calibri" w:cs="Calibri"/>
          <w:lang w:val="en-GB"/>
        </w:rPr>
        <w:t>: (a)</w:t>
      </w:r>
      <w:r w:rsidRPr="00DD65C2">
        <w:rPr>
          <w:rFonts w:ascii="Calibri" w:hAnsi="Calibri" w:cs="Calibri"/>
          <w:lang w:val="en-GB"/>
        </w:rPr>
        <w:t xml:space="preserve"> most national cases matching this profile to date have been brought before the UK </w:t>
      </w:r>
      <w:r w:rsidR="00E74CBB" w:rsidRPr="00DD65C2">
        <w:rPr>
          <w:rFonts w:ascii="Calibri" w:hAnsi="Calibri" w:cs="Calibri"/>
          <w:lang w:val="en-GB"/>
        </w:rPr>
        <w:t>AP</w:t>
      </w:r>
      <w:r w:rsidR="008649ED" w:rsidRPr="00DD65C2">
        <w:rPr>
          <w:rFonts w:ascii="Calibri" w:hAnsi="Calibri" w:cs="Calibri"/>
          <w:lang w:val="en-GB"/>
        </w:rPr>
        <w:t>;</w:t>
      </w:r>
      <w:r w:rsidR="008649ED" w:rsidRPr="00DD65C2">
        <w:rPr>
          <w:rStyle w:val="FootnoteReference"/>
          <w:rFonts w:ascii="Calibri" w:hAnsi="Calibri" w:cs="Calibri"/>
        </w:rPr>
        <w:footnoteReference w:id="144"/>
      </w:r>
      <w:r w:rsidRPr="00DD65C2">
        <w:rPr>
          <w:rFonts w:ascii="Calibri" w:hAnsi="Calibri" w:cs="Calibri"/>
          <w:lang w:val="en-GB"/>
        </w:rPr>
        <w:t xml:space="preserve"> and</w:t>
      </w:r>
      <w:r w:rsidR="008649ED" w:rsidRPr="00DD65C2">
        <w:rPr>
          <w:rFonts w:ascii="Calibri" w:hAnsi="Calibri" w:cs="Calibri"/>
          <w:lang w:val="en-GB"/>
        </w:rPr>
        <w:t xml:space="preserve"> (b)</w:t>
      </w:r>
      <w:r w:rsidRPr="00DD65C2">
        <w:rPr>
          <w:rFonts w:ascii="Calibri" w:hAnsi="Calibri" w:cs="Calibri"/>
          <w:lang w:val="en-GB"/>
        </w:rPr>
        <w:t xml:space="preserve"> UK judges have </w:t>
      </w:r>
      <w:r w:rsidR="00D96E1A" w:rsidRPr="00DD65C2">
        <w:rPr>
          <w:rFonts w:ascii="Calibri" w:hAnsi="Calibri" w:cs="Calibri"/>
          <w:lang w:val="en-GB"/>
        </w:rPr>
        <w:t xml:space="preserve">historically </w:t>
      </w:r>
      <w:r w:rsidRPr="00DD65C2">
        <w:rPr>
          <w:rFonts w:ascii="Calibri" w:hAnsi="Calibri" w:cs="Calibri"/>
          <w:lang w:val="en-GB"/>
        </w:rPr>
        <w:t>adopted a very active role in mobilising the CJEU to clarify the interpretation of EU trade mark law</w:t>
      </w:r>
      <w:r w:rsidR="00854ADE" w:rsidRPr="00DD65C2">
        <w:rPr>
          <w:rFonts w:ascii="Calibri" w:hAnsi="Calibri" w:cs="Calibri"/>
          <w:lang w:val="en-GB"/>
        </w:rPr>
        <w:t>s</w:t>
      </w:r>
      <w:r w:rsidRPr="00DD65C2">
        <w:rPr>
          <w:rFonts w:ascii="Calibri" w:hAnsi="Calibri" w:cs="Calibri"/>
          <w:lang w:val="en-GB"/>
        </w:rPr>
        <w:t>.</w:t>
      </w:r>
      <w:r w:rsidR="00BC61D0" w:rsidRPr="00DD65C2">
        <w:rPr>
          <w:rStyle w:val="FootnoteReference"/>
          <w:rFonts w:ascii="Calibri" w:hAnsi="Calibri" w:cs="Calibri"/>
        </w:rPr>
        <w:footnoteReference w:id="145"/>
      </w:r>
    </w:p>
    <w:p w14:paraId="169580DE" w14:textId="063C0ECB" w:rsidR="00651E5F" w:rsidRPr="00DD65C2" w:rsidRDefault="00651E5F" w:rsidP="001A0586">
      <w:pPr>
        <w:jc w:val="both"/>
        <w:rPr>
          <w:rFonts w:ascii="Calibri" w:hAnsi="Calibri" w:cs="Calibri"/>
          <w:lang w:val="en-GB"/>
        </w:rPr>
      </w:pPr>
    </w:p>
    <w:p w14:paraId="491037FE" w14:textId="77777777" w:rsidR="001D3561" w:rsidRPr="00DD65C2" w:rsidRDefault="001D3561" w:rsidP="001A0586">
      <w:pPr>
        <w:jc w:val="both"/>
        <w:rPr>
          <w:rFonts w:ascii="Calibri" w:hAnsi="Calibri" w:cs="Calibri"/>
          <w:lang w:val="en-GB"/>
        </w:rPr>
      </w:pPr>
    </w:p>
    <w:p w14:paraId="15A324E5" w14:textId="7CBFBE5C" w:rsidR="00C66E98" w:rsidRPr="00DD65C2" w:rsidRDefault="003E09B1" w:rsidP="00261DCA">
      <w:pPr>
        <w:jc w:val="center"/>
        <w:rPr>
          <w:rFonts w:ascii="Calibri" w:hAnsi="Calibri" w:cs="Calibri"/>
          <w:lang w:val="en-GB"/>
        </w:rPr>
      </w:pPr>
      <w:r w:rsidRPr="00DD65C2">
        <w:rPr>
          <w:rFonts w:ascii="Calibri" w:hAnsi="Calibri" w:cs="Calibri"/>
          <w:lang w:val="en-GB"/>
        </w:rPr>
        <w:t>***</w:t>
      </w:r>
    </w:p>
    <w:sectPr w:rsidR="00C66E98" w:rsidRPr="00DD65C2" w:rsidSect="002E591A">
      <w:headerReference w:type="default" r:id="rId9"/>
      <w:footerReference w:type="even"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49DA" w14:textId="77777777" w:rsidR="00285809" w:rsidRDefault="00285809" w:rsidP="00F749B8">
      <w:r>
        <w:separator/>
      </w:r>
    </w:p>
  </w:endnote>
  <w:endnote w:type="continuationSeparator" w:id="0">
    <w:p w14:paraId="3AF3E0A8" w14:textId="77777777" w:rsidR="00285809" w:rsidRDefault="00285809" w:rsidP="00F7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9A9D" w14:textId="77777777" w:rsidR="00F21CD4" w:rsidRDefault="00F21CD4" w:rsidP="002E59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2CE61C" w14:textId="77777777" w:rsidR="00F21CD4" w:rsidRDefault="00F21CD4" w:rsidP="00C26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1748" w14:textId="77777777" w:rsidR="00F21CD4" w:rsidRPr="002E591A" w:rsidRDefault="00F21CD4" w:rsidP="002E591A">
    <w:pPr>
      <w:pStyle w:val="Footer"/>
      <w:framePr w:wrap="none" w:vAnchor="text" w:hAnchor="margin" w:xAlign="center" w:y="1"/>
      <w:rPr>
        <w:rStyle w:val="PageNumber"/>
        <w:rFonts w:ascii="Calibri" w:hAnsi="Calibri" w:cs="Calibri"/>
      </w:rPr>
    </w:pPr>
    <w:r w:rsidRPr="002E591A">
      <w:rPr>
        <w:rStyle w:val="PageNumber"/>
        <w:rFonts w:ascii="Calibri" w:hAnsi="Calibri" w:cs="Calibri"/>
      </w:rPr>
      <w:fldChar w:fldCharType="begin"/>
    </w:r>
    <w:r w:rsidRPr="002E591A">
      <w:rPr>
        <w:rStyle w:val="PageNumber"/>
        <w:rFonts w:ascii="Calibri" w:hAnsi="Calibri" w:cs="Calibri"/>
      </w:rPr>
      <w:instrText xml:space="preserve">PAGE  </w:instrText>
    </w:r>
    <w:r w:rsidRPr="002E591A">
      <w:rPr>
        <w:rStyle w:val="PageNumber"/>
        <w:rFonts w:ascii="Calibri" w:hAnsi="Calibri" w:cs="Calibri"/>
      </w:rPr>
      <w:fldChar w:fldCharType="separate"/>
    </w:r>
    <w:r w:rsidRPr="002E591A">
      <w:rPr>
        <w:rStyle w:val="PageNumber"/>
        <w:rFonts w:ascii="Calibri" w:hAnsi="Calibri" w:cs="Calibri"/>
        <w:noProof/>
      </w:rPr>
      <w:t>94</w:t>
    </w:r>
    <w:r w:rsidRPr="002E591A">
      <w:rPr>
        <w:rStyle w:val="PageNumber"/>
        <w:rFonts w:ascii="Calibri" w:hAnsi="Calibri" w:cs="Calibri"/>
      </w:rPr>
      <w:fldChar w:fldCharType="end"/>
    </w:r>
  </w:p>
  <w:p w14:paraId="3F15FF5B" w14:textId="02965E0D" w:rsidR="00F21CD4" w:rsidRPr="002E591A" w:rsidRDefault="00F21CD4" w:rsidP="00C26A02">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39DE" w14:textId="77777777" w:rsidR="00285809" w:rsidRDefault="00285809" w:rsidP="00F749B8">
      <w:r>
        <w:separator/>
      </w:r>
    </w:p>
  </w:footnote>
  <w:footnote w:type="continuationSeparator" w:id="0">
    <w:p w14:paraId="1DBDEFA1" w14:textId="77777777" w:rsidR="00285809" w:rsidRDefault="00285809" w:rsidP="00F749B8">
      <w:r>
        <w:continuationSeparator/>
      </w:r>
    </w:p>
  </w:footnote>
  <w:footnote w:id="1">
    <w:p w14:paraId="1F85A10A" w14:textId="225E90E9" w:rsidR="00B0741D" w:rsidRPr="00B0741D" w:rsidRDefault="00B0741D" w:rsidP="00B0741D">
      <w:pPr>
        <w:pStyle w:val="FootnoteText"/>
        <w:jc w:val="both"/>
        <w:rPr>
          <w:rFonts w:ascii="Calibri" w:hAnsi="Calibri" w:cs="Calibri"/>
        </w:rPr>
      </w:pPr>
      <w:r w:rsidRPr="00B0741D">
        <w:rPr>
          <w:rFonts w:ascii="Calibri" w:hAnsi="Calibri" w:cs="Calibri"/>
        </w:rPr>
        <w:t xml:space="preserve">* Assistant Professor in Intellectual Property Law, Department of Legal Studies, Central European University. </w:t>
      </w:r>
      <w:r w:rsidR="008D5ECB">
        <w:rPr>
          <w:rFonts w:ascii="Calibri" w:hAnsi="Calibri" w:cs="Calibri"/>
        </w:rPr>
        <w:t xml:space="preserve">DPhil (University of Oxford); LLM (University of Harvard). </w:t>
      </w:r>
      <w:r w:rsidRPr="00B0741D">
        <w:rPr>
          <w:rFonts w:ascii="Calibri" w:hAnsi="Calibri" w:cs="Calibri"/>
        </w:rPr>
        <w:t>The author would like to thank Professor Graeme Dinwoodie for comments on an earlier version of this article.</w:t>
      </w:r>
    </w:p>
    <w:p w14:paraId="6A8FAC3A" w14:textId="48EBF793"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Regulation (EU) 2017/1001 of the European Parliament and of the Council of 14 June 2017 on the European Union Trade Mark.</w:t>
      </w:r>
    </w:p>
  </w:footnote>
  <w:footnote w:id="2">
    <w:p w14:paraId="106E8276" w14:textId="61C6FA20"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Directive (EU) 2015/2436 of the European Parliament and of the Council of 16 December 2015 to approximate the laws of the Member States Relating to Trade Marks; UK Trade Marks Act 1994 (UK TMA).</w:t>
      </w:r>
    </w:p>
  </w:footnote>
  <w:footnote w:id="3">
    <w:p w14:paraId="051DD4C8" w14:textId="2BE25AE6"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The unpredictability governing this area of law was noted by the EUIPO Board of Appeal in </w:t>
      </w:r>
      <w:r w:rsidRPr="00B0741D">
        <w:rPr>
          <w:rFonts w:ascii="Calibri" w:hAnsi="Calibri" w:cs="Calibri"/>
          <w:i/>
          <w:iCs/>
        </w:rPr>
        <w:t>R-793/2014-2, Application of Ung Cancer ('Fuck Cancer’)</w:t>
      </w:r>
      <w:r w:rsidRPr="00B0741D">
        <w:rPr>
          <w:rFonts w:ascii="Calibri" w:hAnsi="Calibri" w:cs="Calibri"/>
        </w:rPr>
        <w:t xml:space="preserve"> 23 February 2015 (EUIPO Board of Appeal) [22].</w:t>
      </w:r>
      <w:r w:rsidRPr="00B0741D">
        <w:rPr>
          <w:rFonts w:ascii="Calibri" w:hAnsi="Calibri" w:cs="Calibri"/>
          <w:lang w:val="en-ES"/>
        </w:rPr>
        <w:t xml:space="preserve"> </w:t>
      </w:r>
    </w:p>
  </w:footnote>
  <w:footnote w:id="4">
    <w:p w14:paraId="2D85671B" w14:textId="05BA20C1"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168/2011-1, Application of Türpitz ('Fucking Freezing!’)</w:t>
      </w:r>
      <w:r w:rsidRPr="00B0741D">
        <w:rPr>
          <w:rFonts w:ascii="Calibri" w:hAnsi="Calibri" w:cs="Calibri"/>
        </w:rPr>
        <w:t xml:space="preserve"> 30 November 2010 (EUIPO Board of Appeal); </w:t>
      </w:r>
      <w:r w:rsidRPr="00B0741D">
        <w:rPr>
          <w:rFonts w:ascii="Calibri" w:hAnsi="Calibri" w:cs="Calibri"/>
          <w:i/>
          <w:iCs/>
        </w:rPr>
        <w:t>Case T-417/10, Federico Cortés del Valle López v OHIM ('¡Que Buenu Ye! Hijoputa’)</w:t>
      </w:r>
      <w:r w:rsidRPr="00B0741D">
        <w:rPr>
          <w:rFonts w:ascii="Calibri" w:hAnsi="Calibri" w:cs="Calibri"/>
        </w:rPr>
        <w:t xml:space="preserve"> (2012) ECLI:EU:T:2012:120; </w:t>
      </w:r>
      <w:r w:rsidRPr="00B0741D">
        <w:rPr>
          <w:rFonts w:ascii="Calibri" w:hAnsi="Calibri" w:cs="Calibri"/>
          <w:i/>
          <w:iCs/>
        </w:rPr>
        <w:t>Case T-526/09, PAKI Logistics GmbH ('Paki’) v OHIM</w:t>
      </w:r>
      <w:r w:rsidRPr="00B0741D">
        <w:rPr>
          <w:rFonts w:ascii="Calibri" w:hAnsi="Calibri" w:cs="Calibri"/>
        </w:rPr>
        <w:t xml:space="preserve"> (2011) ECR II-00346; </w:t>
      </w:r>
      <w:r w:rsidRPr="00B0741D">
        <w:rPr>
          <w:rFonts w:ascii="Calibri" w:hAnsi="Calibri" w:cs="Calibri"/>
          <w:i/>
          <w:iCs/>
        </w:rPr>
        <w:t>Case T-54/13, Efag Trade Mark Company ('Ficken’) v OHIM</w:t>
      </w:r>
      <w:r w:rsidRPr="00B0741D">
        <w:rPr>
          <w:rFonts w:ascii="Calibri" w:hAnsi="Calibri" w:cs="Calibri"/>
        </w:rPr>
        <w:t xml:space="preserve"> (2013) EU:T:2013:593; </w:t>
      </w:r>
      <w:r w:rsidRPr="00B0741D">
        <w:rPr>
          <w:rFonts w:ascii="Calibri" w:hAnsi="Calibri" w:cs="Calibri"/>
          <w:i/>
          <w:iCs/>
        </w:rPr>
        <w:t>R-793/2014-2, Application of Ung Cancer ('Fuck Cancer’)</w:t>
      </w:r>
      <w:r w:rsidRPr="00B0741D">
        <w:rPr>
          <w:rFonts w:ascii="Calibri" w:hAnsi="Calibri" w:cs="Calibri"/>
        </w:rPr>
        <w:t xml:space="preserve"> (n 3); </w:t>
      </w:r>
      <w:r w:rsidRPr="00B0741D">
        <w:rPr>
          <w:rFonts w:ascii="Calibri" w:hAnsi="Calibri" w:cs="Calibri"/>
          <w:i/>
          <w:iCs/>
        </w:rPr>
        <w:t>R 495/2005-G, Application of Jebaraj Kenneth ('Screw You’)</w:t>
      </w:r>
      <w:r w:rsidRPr="00B0741D">
        <w:rPr>
          <w:rFonts w:ascii="Calibri" w:hAnsi="Calibri" w:cs="Calibri"/>
        </w:rPr>
        <w:t xml:space="preserve"> (2006) [2007] ETMR 7 (EUIPO Grand Board of Appeal); </w:t>
      </w:r>
      <w:r w:rsidRPr="00B0741D">
        <w:rPr>
          <w:rFonts w:ascii="Calibri" w:hAnsi="Calibri" w:cs="Calibri"/>
          <w:i/>
          <w:iCs/>
        </w:rPr>
        <w:t>Case T-266/13, Brainlab AG v OHIM ('Curve’)</w:t>
      </w:r>
      <w:r w:rsidRPr="00B0741D">
        <w:rPr>
          <w:rFonts w:ascii="Calibri" w:hAnsi="Calibri" w:cs="Calibri"/>
        </w:rPr>
        <w:t xml:space="preserve"> (2014) ECLI: EU: T: 2014: 836; </w:t>
      </w:r>
      <w:r w:rsidRPr="00B0741D">
        <w:rPr>
          <w:rFonts w:ascii="Calibri" w:hAnsi="Calibri" w:cs="Calibri"/>
          <w:i/>
          <w:iCs/>
        </w:rPr>
        <w:t>R 288/2012-2, Application of HNI Technologies Inc ('Curve 300’)</w:t>
      </w:r>
      <w:r w:rsidRPr="00B0741D">
        <w:rPr>
          <w:rFonts w:ascii="Calibri" w:hAnsi="Calibri" w:cs="Calibri"/>
        </w:rPr>
        <w:t xml:space="preserve"> 1 June 2012 (EUIPO Board of Appeal); </w:t>
      </w:r>
      <w:r w:rsidRPr="00B0741D">
        <w:rPr>
          <w:rFonts w:ascii="Calibri" w:hAnsi="Calibri" w:cs="Calibri"/>
          <w:i/>
          <w:iCs/>
        </w:rPr>
        <w:t>R 2804/2014-5, Application of Square Enix Ltd ('Mechanical Apartheid’)</w:t>
      </w:r>
      <w:r w:rsidRPr="00B0741D">
        <w:rPr>
          <w:rFonts w:ascii="Calibri" w:hAnsi="Calibri" w:cs="Calibri"/>
        </w:rPr>
        <w:t xml:space="preserve"> 6 February 2015 (EUIPO Board of Appeal); </w:t>
      </w:r>
      <w:r w:rsidRPr="00B0741D">
        <w:rPr>
          <w:rFonts w:ascii="Calibri" w:hAnsi="Calibri" w:cs="Calibri"/>
          <w:i/>
          <w:iCs/>
        </w:rPr>
        <w:t>R 176/2004-2, Application of Falcon Sporting Goods AG ('Bin Ladin’)</w:t>
      </w:r>
      <w:r w:rsidRPr="00B0741D">
        <w:rPr>
          <w:rFonts w:ascii="Calibri" w:hAnsi="Calibri" w:cs="Calibri"/>
        </w:rPr>
        <w:t xml:space="preserve"> 29 September 2004 (EUIPO Board of Appeal); </w:t>
      </w:r>
      <w:r w:rsidRPr="00B0741D">
        <w:rPr>
          <w:rFonts w:ascii="Calibri" w:hAnsi="Calibri" w:cs="Calibri"/>
          <w:i/>
          <w:iCs/>
        </w:rPr>
        <w:t>Basic Trademark SA’s Trade Mark Application ('Jesus’)</w:t>
      </w:r>
      <w:r w:rsidRPr="00B0741D">
        <w:rPr>
          <w:rFonts w:ascii="Calibri" w:hAnsi="Calibri" w:cs="Calibri"/>
        </w:rPr>
        <w:t xml:space="preserve"> [2005] 1 WLUK 196 (Appointed Person); </w:t>
      </w:r>
      <w:r w:rsidRPr="00B0741D">
        <w:rPr>
          <w:rFonts w:ascii="Calibri" w:hAnsi="Calibri" w:cs="Calibri"/>
          <w:i/>
          <w:iCs/>
        </w:rPr>
        <w:t>Ghazilian’s Trade Mark Application ('Tiny Penis’)</w:t>
      </w:r>
      <w:r w:rsidRPr="00B0741D">
        <w:rPr>
          <w:rFonts w:ascii="Calibri" w:hAnsi="Calibri" w:cs="Calibri"/>
        </w:rPr>
        <w:t xml:space="preserve"> [2001] 11 WLUK 742 (Lord Chancellor’s Appointed Person); </w:t>
      </w:r>
      <w:r w:rsidRPr="00B0741D">
        <w:rPr>
          <w:rFonts w:ascii="Calibri" w:hAnsi="Calibri" w:cs="Calibri"/>
          <w:i/>
          <w:iCs/>
        </w:rPr>
        <w:t>Scranage’s Trade Mark Application ('Fook’)</w:t>
      </w:r>
      <w:r w:rsidRPr="00B0741D">
        <w:rPr>
          <w:rFonts w:ascii="Calibri" w:hAnsi="Calibri" w:cs="Calibri"/>
        </w:rPr>
        <w:t xml:space="preserve"> [2008] 3 WLUK 577 (Appointed Person).</w:t>
      </w:r>
    </w:p>
  </w:footnote>
  <w:footnote w:id="5">
    <w:p w14:paraId="4C07C200" w14:textId="4843AB2B"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EUIPO Trade Mark Database: EUTM No 018088477 ('Fooc’)</w:t>
      </w:r>
      <w:r w:rsidRPr="00B0741D">
        <w:rPr>
          <w:rFonts w:ascii="Calibri" w:hAnsi="Calibri" w:cs="Calibri"/>
        </w:rPr>
        <w:t xml:space="preserve"> registered on 22 November 2019, owned by He Qiongyang; </w:t>
      </w:r>
      <w:r w:rsidR="006365EF" w:rsidRPr="00B0741D">
        <w:rPr>
          <w:rFonts w:ascii="Calibri" w:hAnsi="Calibri" w:cs="Calibri"/>
          <w:i/>
          <w:iCs/>
        </w:rPr>
        <w:t>French Connection Ltd’s Trade Mark Application ('FCUK’)</w:t>
      </w:r>
      <w:r w:rsidR="006365EF" w:rsidRPr="00B0741D">
        <w:rPr>
          <w:rFonts w:ascii="Calibri" w:hAnsi="Calibri" w:cs="Calibri"/>
        </w:rPr>
        <w:t xml:space="preserve"> [2006] 5 WLUK 432 (Appointed Person); </w:t>
      </w:r>
      <w:r w:rsidRPr="00B0741D">
        <w:rPr>
          <w:rFonts w:ascii="Calibri" w:hAnsi="Calibri" w:cs="Calibri"/>
          <w:i/>
          <w:iCs/>
        </w:rPr>
        <w:t>Case C-240/18, Constantin Film Produktion ('Fack Ju Göhte’) v EUIPO</w:t>
      </w:r>
      <w:r w:rsidRPr="00B0741D">
        <w:rPr>
          <w:rFonts w:ascii="Calibri" w:hAnsi="Calibri" w:cs="Calibri"/>
        </w:rPr>
        <w:t xml:space="preserve"> (2019) EU:C:2019:553; </w:t>
      </w:r>
      <w:r w:rsidRPr="00B0741D">
        <w:rPr>
          <w:rFonts w:ascii="Calibri" w:hAnsi="Calibri" w:cs="Calibri"/>
          <w:i/>
          <w:iCs/>
        </w:rPr>
        <w:t>R 385/2008-4, Application of Stefan Fellenberg and Dr Florian Krause ('Fucking Hell’)</w:t>
      </w:r>
      <w:r w:rsidRPr="00B0741D">
        <w:rPr>
          <w:rFonts w:ascii="Calibri" w:hAnsi="Calibri" w:cs="Calibri"/>
        </w:rPr>
        <w:t xml:space="preserve"> 21 January 2010 (EUIPO Board of Appeal); </w:t>
      </w:r>
      <w:r w:rsidRPr="00B0741D">
        <w:rPr>
          <w:rFonts w:ascii="Calibri" w:hAnsi="Calibri" w:cs="Calibri"/>
          <w:i/>
          <w:iCs/>
        </w:rPr>
        <w:t>R 111/2002-4, Application of Dick Lexic Ltd ('Dick &amp; Fanny’)</w:t>
      </w:r>
      <w:r w:rsidRPr="00B0741D">
        <w:rPr>
          <w:rFonts w:ascii="Calibri" w:hAnsi="Calibri" w:cs="Calibri"/>
        </w:rPr>
        <w:t xml:space="preserve"> [2005] ETMR 99 (EUIPO Board of Appeal); </w:t>
      </w:r>
      <w:r w:rsidRPr="00B0741D">
        <w:rPr>
          <w:rFonts w:ascii="Calibri" w:hAnsi="Calibri" w:cs="Calibri"/>
          <w:i/>
          <w:iCs/>
        </w:rPr>
        <w:t>R 519/2015-4, Application of Josef Reich ('Jewish Monkeys’)</w:t>
      </w:r>
      <w:r w:rsidRPr="00B0741D">
        <w:rPr>
          <w:rFonts w:ascii="Calibri" w:hAnsi="Calibri" w:cs="Calibri"/>
        </w:rPr>
        <w:t xml:space="preserve"> 2 September 2015 (EUIPO Board of Appeal); </w:t>
      </w:r>
      <w:r w:rsidRPr="00B0741D">
        <w:rPr>
          <w:rFonts w:ascii="Calibri" w:hAnsi="Calibri" w:cs="Calibri"/>
          <w:i/>
          <w:iCs/>
        </w:rPr>
        <w:t>R 482/2012-1, Application of Michael Kühn ('Kuro’)</w:t>
      </w:r>
      <w:r w:rsidRPr="00B0741D">
        <w:rPr>
          <w:rFonts w:ascii="Calibri" w:hAnsi="Calibri" w:cs="Calibri"/>
        </w:rPr>
        <w:t xml:space="preserve"> 22 November 2012 (EUIPO Board of Appeal); </w:t>
      </w:r>
      <w:r w:rsidRPr="00B0741D">
        <w:rPr>
          <w:rFonts w:ascii="Calibri" w:hAnsi="Calibri" w:cs="Calibri"/>
          <w:i/>
          <w:iCs/>
        </w:rPr>
        <w:t>R 203/2014-2, Application of ResMed Ltd ('Aircurve’)</w:t>
      </w:r>
      <w:r w:rsidRPr="00B0741D">
        <w:rPr>
          <w:rFonts w:ascii="Calibri" w:hAnsi="Calibri" w:cs="Calibri"/>
        </w:rPr>
        <w:t xml:space="preserve"> 4 June 2014 (EUIPO Board of Appeal).</w:t>
      </w:r>
    </w:p>
  </w:footnote>
  <w:footnote w:id="6">
    <w:p w14:paraId="5044C409" w14:textId="66BDB0F4"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Scranage </w:t>
      </w:r>
      <w:r w:rsidRPr="00B0741D">
        <w:rPr>
          <w:rFonts w:ascii="Calibri" w:hAnsi="Calibri" w:cs="Calibri"/>
        </w:rPr>
        <w:t>(n 4). In the UK, appeals from decisions by the Registrar of Trade Marks can be brought before the High Court or the Lord Chancellor’s Appointed Person. See TMA, ss 76 and 77.</w:t>
      </w:r>
    </w:p>
  </w:footnote>
  <w:footnote w:id="7">
    <w:p w14:paraId="62130F1A" w14:textId="135C64A4"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EUIPO Trade Mark Database: EUTM No 883006 (‘Fook’) registered on 10 January 2006, owned by Kevin Scranage.</w:t>
      </w:r>
    </w:p>
  </w:footnote>
  <w:footnote w:id="8">
    <w:p w14:paraId="7CC3550D" w14:textId="2F69F4EB" w:rsidR="00F21CD4" w:rsidRPr="00B0741D" w:rsidRDefault="00F21CD4" w:rsidP="00B0741D">
      <w:pPr>
        <w:pStyle w:val="FootnoteText"/>
        <w:jc w:val="both"/>
        <w:rPr>
          <w:rFonts w:ascii="Calibri" w:hAnsi="Calibri" w:cs="Calibri"/>
          <w:lang w:val="en-E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2244/2016-2, Application of Brexit Drinks Ltd ('B</w:t>
      </w:r>
      <w:r w:rsidR="00FE10B8" w:rsidRPr="00B0741D">
        <w:rPr>
          <w:rFonts w:ascii="Calibri" w:hAnsi="Calibri" w:cs="Calibri"/>
          <w:i/>
          <w:iCs/>
        </w:rPr>
        <w:t>rexit</w:t>
      </w:r>
      <w:r w:rsidRPr="00B0741D">
        <w:rPr>
          <w:rFonts w:ascii="Calibri" w:hAnsi="Calibri" w:cs="Calibri"/>
          <w:i/>
          <w:iCs/>
        </w:rPr>
        <w:t>’)</w:t>
      </w:r>
      <w:r w:rsidRPr="00B0741D">
        <w:rPr>
          <w:rFonts w:ascii="Calibri" w:hAnsi="Calibri" w:cs="Calibri"/>
        </w:rPr>
        <w:t xml:space="preserve"> 28 June 2017 (EUIPO Board of Appeal) [17]. </w:t>
      </w:r>
    </w:p>
  </w:footnote>
  <w:footnote w:id="9">
    <w:p w14:paraId="57E425B2" w14:textId="29371B5A"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Basic</w:t>
      </w:r>
      <w:r w:rsidRPr="00B0741D">
        <w:rPr>
          <w:rFonts w:ascii="Calibri" w:hAnsi="Calibri" w:cs="Calibri"/>
        </w:rPr>
        <w:t xml:space="preserve"> (n 4) [13].</w:t>
      </w:r>
    </w:p>
  </w:footnote>
  <w:footnote w:id="10">
    <w:p w14:paraId="5CB16A6C" w14:textId="4F161A0E"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Convention for the Protection of Human Rights and Fundamental Freedoms (European Convention on Human Rights, as amended).</w:t>
      </w:r>
    </w:p>
  </w:footnote>
  <w:footnote w:id="11">
    <w:p w14:paraId="5D85A890" w14:textId="09347B13"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Matal </w:t>
      </w:r>
      <w:r w:rsidRPr="00B0741D">
        <w:rPr>
          <w:rFonts w:ascii="Calibri" w:hAnsi="Calibri" w:cs="Calibri"/>
        </w:rPr>
        <w:t xml:space="preserve">137 S Ct 1744 (2017); </w:t>
      </w:r>
      <w:r w:rsidRPr="00B0741D">
        <w:rPr>
          <w:rFonts w:ascii="Calibri" w:hAnsi="Calibri" w:cs="Calibri"/>
          <w:i/>
          <w:iCs/>
        </w:rPr>
        <w:t xml:space="preserve">Iancu </w:t>
      </w:r>
      <w:r w:rsidRPr="00B0741D">
        <w:rPr>
          <w:rFonts w:ascii="Calibri" w:hAnsi="Calibri" w:cs="Calibri"/>
        </w:rPr>
        <w:t xml:space="preserve">139 S Ct 2294 (2019). </w:t>
      </w:r>
    </w:p>
  </w:footnote>
  <w:footnote w:id="12">
    <w:p w14:paraId="25D15F8F" w14:textId="398500DC"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Courts from different EU Member States have reached contrasting outcomes in infringement litigation involving modified uses of reputed marks for expressive purposes, normally for parody or commentary. This is often the result of different courts adopting divergent thresholds for determination of what amounts to expressive use of a mark that is deserving of protection under Article 10 ECHR. The stricter threshold imposed in the UK has often led courts to side with plaintiffs after a finding that defendants’ use was not expressive. </w:t>
      </w:r>
      <w:r w:rsidRPr="00B0741D">
        <w:rPr>
          <w:rFonts w:ascii="Calibri" w:hAnsi="Calibri" w:cs="Calibri"/>
          <w:i/>
          <w:iCs/>
        </w:rPr>
        <w:t>Ate My Heart Inc (AKA Lady Gaga) v Mind Candy Ltd</w:t>
      </w:r>
      <w:r w:rsidRPr="00B0741D">
        <w:rPr>
          <w:rFonts w:ascii="Calibri" w:hAnsi="Calibri" w:cs="Calibri"/>
        </w:rPr>
        <w:t xml:space="preserve"> [2011] EWHC 2741 (Ch); </w:t>
      </w:r>
      <w:r w:rsidRPr="00B0741D">
        <w:rPr>
          <w:rFonts w:ascii="Calibri" w:hAnsi="Calibri" w:cs="Calibri"/>
          <w:i/>
          <w:iCs/>
        </w:rPr>
        <w:t>Miss World Ltd v Channel 4 Television Corp</w:t>
      </w:r>
      <w:r w:rsidRPr="00B0741D">
        <w:rPr>
          <w:rFonts w:ascii="Calibri" w:hAnsi="Calibri" w:cs="Calibri"/>
        </w:rPr>
        <w:t xml:space="preserve"> [2007] EWHC 982 (Pat). In contrast, the more generous threshold applied by the courts of Germany and The Netherlands has shielded defendants from infringement after a finding that their use was indeed expressive. Respectively: </w:t>
      </w:r>
      <w:r w:rsidRPr="00B0741D">
        <w:rPr>
          <w:rFonts w:ascii="Calibri" w:hAnsi="Calibri" w:cs="Calibri"/>
          <w:i/>
          <w:iCs/>
        </w:rPr>
        <w:t>Nadia Plesner v Louis Vuitton</w:t>
      </w:r>
      <w:r w:rsidRPr="00B0741D">
        <w:rPr>
          <w:rFonts w:ascii="Calibri" w:hAnsi="Calibri" w:cs="Calibri"/>
        </w:rPr>
        <w:t xml:space="preserve"> (2011) case LJN BQ3525 (The Hague District Court); </w:t>
      </w:r>
      <w:r w:rsidRPr="00B0741D">
        <w:rPr>
          <w:rFonts w:ascii="Calibri" w:hAnsi="Calibri" w:cs="Calibri"/>
          <w:i/>
          <w:iCs/>
        </w:rPr>
        <w:t>Violet Postcard (Lila-Postkarte)</w:t>
      </w:r>
      <w:r w:rsidRPr="00B0741D">
        <w:rPr>
          <w:rFonts w:ascii="Calibri" w:hAnsi="Calibri" w:cs="Calibri"/>
        </w:rPr>
        <w:t xml:space="preserve"> (2007) 38 IIC 119 (BGH, 3 Feb 2005). </w:t>
      </w:r>
    </w:p>
  </w:footnote>
  <w:footnote w:id="13">
    <w:p w14:paraId="597B3DDA" w14:textId="02D18899"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Tobias Endrich-Laimböck and Svenja Schenk, ‘Then Tell Me What You Think About Morality: A Freedom of Expression Perspective on the CJEU’s Decision in FACK JU GÖHTE (C-240/18 P)’ [2020] IIC; Christophe Geiger and Leonardo M Pontes, ‘Trade Mark Registration, Public Policy, Morality and Fundamental Rights’ Centre for International Intellectual Property Studies (CEIPI) Research Paper No 2017-01; Susan Snedden, ‘Immoral Trade Marks in the UK and at OHIM: How Would the Redskins Dispute Be Decided There?’ (2016) 11 JIPLP 270; Enrico Bonadio, ‘Brands, Morality and Public Policy: Some Reflections on the Ban on Registration of Controversial Trademark’ (2015) 19 Marquette IP L R 43; Ilanah Simon Fhima, ‘Trade Marks and Free Speech’ [2013] IIC 293; Jonathan Griffiths, ‘Is There a Right to an Immoral Mark?’ in Paul Torremans (ed), </w:t>
      </w:r>
      <w:r w:rsidRPr="00B0741D">
        <w:rPr>
          <w:rFonts w:ascii="Calibri" w:hAnsi="Calibri" w:cs="Calibri"/>
          <w:i/>
          <w:iCs/>
        </w:rPr>
        <w:t>Intellectual Property and Human Rights</w:t>
      </w:r>
      <w:r w:rsidRPr="00B0741D">
        <w:rPr>
          <w:rFonts w:ascii="Calibri" w:hAnsi="Calibri" w:cs="Calibri"/>
        </w:rPr>
        <w:t xml:space="preserve"> (Kluwer 2008); Marco Ricolfi, ‘Trademarks and Human Rights’ in Paul Torremans (ed), </w:t>
      </w:r>
      <w:r w:rsidRPr="00B0741D">
        <w:rPr>
          <w:rFonts w:ascii="Calibri" w:hAnsi="Calibri" w:cs="Calibri"/>
          <w:i/>
          <w:iCs/>
        </w:rPr>
        <w:t>Intellectual Property and Human Rights</w:t>
      </w:r>
      <w:r w:rsidRPr="00B0741D">
        <w:rPr>
          <w:rFonts w:ascii="Calibri" w:hAnsi="Calibri" w:cs="Calibri"/>
        </w:rPr>
        <w:t xml:space="preserve"> (Kluwer 2008).</w:t>
      </w:r>
    </w:p>
  </w:footnote>
  <w:footnote w:id="14">
    <w:p w14:paraId="7A12E574" w14:textId="3925D636"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Admittedly, Snedden and Humphreys have noted that European decision-makers have not always made a clear-cut distinction between both grounds of refusal. Snedden (n 13) 273; Gordon Humphreys, ‘Deceit and Immorality in Trade Mark Matters: Does It Pay to Be Bad?’ (2007) 2 JIPLP 89, 91.</w:t>
      </w:r>
      <w:r w:rsidRPr="00B0741D">
        <w:rPr>
          <w:rFonts w:ascii="Calibri" w:hAnsi="Calibri" w:cs="Calibri"/>
          <w:lang w:val="en-US"/>
        </w:rPr>
        <w:t xml:space="preserve"> </w:t>
      </w:r>
      <w:r w:rsidRPr="00B0741D">
        <w:rPr>
          <w:rFonts w:ascii="Calibri" w:hAnsi="Calibri" w:cs="Calibri"/>
        </w:rPr>
        <w:t xml:space="preserve">However, their analyses did not go any further, whether by exploring cases where such a distinction has been made or proposing avenues for reform. </w:t>
      </w:r>
    </w:p>
  </w:footnote>
  <w:footnote w:id="15">
    <w:p w14:paraId="6922ABAA" w14:textId="7B3E26A3"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2804/2014-5, Square Enix</w:t>
      </w:r>
      <w:r w:rsidRPr="00B0741D">
        <w:rPr>
          <w:rFonts w:ascii="Calibri" w:hAnsi="Calibri" w:cs="Calibri"/>
        </w:rPr>
        <w:t xml:space="preserve"> (n 4); </w:t>
      </w:r>
      <w:r w:rsidRPr="00B0741D">
        <w:rPr>
          <w:rFonts w:ascii="Calibri" w:hAnsi="Calibri" w:cs="Calibri"/>
          <w:i/>
          <w:iCs/>
        </w:rPr>
        <w:t xml:space="preserve">Basic </w:t>
      </w:r>
      <w:r w:rsidRPr="00B0741D">
        <w:rPr>
          <w:rFonts w:ascii="Calibri" w:hAnsi="Calibri" w:cs="Calibri"/>
        </w:rPr>
        <w:t xml:space="preserve">(n 4); </w:t>
      </w:r>
      <w:r w:rsidRPr="00B0741D">
        <w:rPr>
          <w:rFonts w:ascii="Calibri" w:hAnsi="Calibri" w:cs="Calibri"/>
          <w:i/>
          <w:iCs/>
        </w:rPr>
        <w:t>R 495/2005-G, Jebaraj Kenneth</w:t>
      </w:r>
      <w:r w:rsidRPr="00B0741D">
        <w:rPr>
          <w:rFonts w:ascii="Calibri" w:hAnsi="Calibri" w:cs="Calibri"/>
        </w:rPr>
        <w:t xml:space="preserve"> (n 4). </w:t>
      </w:r>
    </w:p>
  </w:footnote>
  <w:footnote w:id="16">
    <w:p w14:paraId="7230FA64" w14:textId="1A5D3E6B"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(n 5).</w:t>
      </w:r>
    </w:p>
  </w:footnote>
  <w:footnote w:id="17">
    <w:p w14:paraId="1B12EAC9" w14:textId="0B1851DE"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2804/2014-5, Square Enix</w:t>
      </w:r>
      <w:r w:rsidRPr="00B0741D">
        <w:rPr>
          <w:rFonts w:ascii="Calibri" w:hAnsi="Calibri" w:cs="Calibri"/>
        </w:rPr>
        <w:t xml:space="preserve"> (n 4) [8] (emphasis added).</w:t>
      </w:r>
    </w:p>
  </w:footnote>
  <w:footnote w:id="18">
    <w:p w14:paraId="3FC5ED4C" w14:textId="77777777"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lang w:val="en-US"/>
        </w:rPr>
        <w:t>ibid [10] (emphasis added).</w:t>
      </w:r>
    </w:p>
  </w:footnote>
  <w:footnote w:id="19">
    <w:p w14:paraId="272D5301" w14:textId="77777777"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lang w:val="en-US"/>
        </w:rPr>
        <w:t>ibid [30] (emphasis added).</w:t>
      </w:r>
    </w:p>
  </w:footnote>
  <w:footnote w:id="20">
    <w:p w14:paraId="531FC140" w14:textId="593B4464"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Case T-232/10, Couture Tech Ltd v OHIM</w:t>
      </w:r>
      <w:r w:rsidRPr="00B0741D">
        <w:rPr>
          <w:rFonts w:ascii="Calibri" w:hAnsi="Calibri" w:cs="Calibri"/>
        </w:rPr>
        <w:t xml:space="preserve"> (2011) ECR II-06469 [72] (emphasis added).</w:t>
      </w:r>
    </w:p>
  </w:footnote>
  <w:footnote w:id="21">
    <w:p w14:paraId="01FC6F0C" w14:textId="08934130"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This has also been noted by </w:t>
      </w:r>
      <w:r w:rsidRPr="00B0741D">
        <w:rPr>
          <w:rFonts w:ascii="Calibri" w:hAnsi="Calibri" w:cs="Calibri"/>
          <w:noProof/>
        </w:rPr>
        <w:t>Snedden (n 13) 273.</w:t>
      </w:r>
    </w:p>
  </w:footnote>
  <w:footnote w:id="22">
    <w:p w14:paraId="117B4B8B" w14:textId="61B64C61"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Case E-5/16, Municipality of Oslo ('Vigeland’)</w:t>
      </w:r>
      <w:r w:rsidRPr="00B0741D">
        <w:rPr>
          <w:rFonts w:ascii="Calibri" w:hAnsi="Calibri" w:cs="Calibri"/>
        </w:rPr>
        <w:t xml:space="preserve"> [2017] (EFTA) [85].</w:t>
      </w:r>
    </w:p>
  </w:footnote>
  <w:footnote w:id="23">
    <w:p w14:paraId="78A9DCEE" w14:textId="0C097270"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 xml:space="preserve">(n 5) Opinion of AG Bobek [59] discussing the appealed decision from the GC: </w:t>
      </w:r>
      <w:r w:rsidRPr="00B0741D">
        <w:rPr>
          <w:rFonts w:ascii="Calibri" w:hAnsi="Calibri" w:cs="Calibri"/>
          <w:i/>
          <w:iCs/>
        </w:rPr>
        <w:t>Case T-69/17, Constantin Film Produktion v EUIPO</w:t>
      </w:r>
      <w:r w:rsidRPr="00B0741D">
        <w:rPr>
          <w:rFonts w:ascii="Calibri" w:hAnsi="Calibri" w:cs="Calibri"/>
        </w:rPr>
        <w:t xml:space="preserve"> (2018) ECLI:EU:T:2018:27 [23]. </w:t>
      </w:r>
    </w:p>
  </w:footnote>
  <w:footnote w:id="24">
    <w:p w14:paraId="5CCA93EA" w14:textId="3FE84DFE"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 xml:space="preserve">(n 5) Opinion of AG Bobek [60]. This is also the opinion of Arnold QC in </w:t>
      </w:r>
      <w:r w:rsidRPr="00B0741D">
        <w:rPr>
          <w:rFonts w:ascii="Calibri" w:hAnsi="Calibri" w:cs="Calibri"/>
          <w:i/>
          <w:iCs/>
        </w:rPr>
        <w:t>French Connection</w:t>
      </w:r>
      <w:r w:rsidRPr="00B0741D">
        <w:rPr>
          <w:rFonts w:ascii="Calibri" w:hAnsi="Calibri" w:cs="Calibri"/>
        </w:rPr>
        <w:t xml:space="preserve"> (n 5) [59].</w:t>
      </w:r>
    </w:p>
  </w:footnote>
  <w:footnote w:id="25">
    <w:p w14:paraId="0AF80DFC" w14:textId="23D7808C"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This was also the finding of the EFTA Court in </w:t>
      </w:r>
      <w:r w:rsidRPr="00B0741D">
        <w:rPr>
          <w:rFonts w:ascii="Calibri" w:hAnsi="Calibri" w:cs="Calibri"/>
          <w:i/>
          <w:iCs/>
        </w:rPr>
        <w:t>Case E-5/16, Vigeland</w:t>
      </w:r>
      <w:r w:rsidRPr="00B0741D">
        <w:rPr>
          <w:rFonts w:ascii="Calibri" w:hAnsi="Calibri" w:cs="Calibri"/>
        </w:rPr>
        <w:t xml:space="preserve"> (n 22) [84]-[85].</w:t>
      </w:r>
    </w:p>
  </w:footnote>
  <w:footnote w:id="26">
    <w:p w14:paraId="4567B228" w14:textId="1D6B3767"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 xml:space="preserve">(n 5) Opinion of AG Bobek [75]-[83]. </w:t>
      </w:r>
    </w:p>
  </w:footnote>
  <w:footnote w:id="27">
    <w:p w14:paraId="1AC5A0F0" w14:textId="5C69823F"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As acknowledged by AG Bobek in ibid [78], the EFTA Court has established a similar distinction between both grounds of refusal in </w:t>
      </w:r>
      <w:r w:rsidRPr="00B0741D">
        <w:rPr>
          <w:rFonts w:ascii="Calibri" w:hAnsi="Calibri" w:cs="Calibri"/>
          <w:i/>
          <w:iCs/>
        </w:rPr>
        <w:t>Case E-5/16, Vigeland</w:t>
      </w:r>
      <w:r w:rsidRPr="00B0741D">
        <w:rPr>
          <w:rFonts w:ascii="Calibri" w:hAnsi="Calibri" w:cs="Calibri"/>
        </w:rPr>
        <w:t xml:space="preserve"> (n 22) [86]. </w:t>
      </w:r>
    </w:p>
  </w:footnote>
  <w:footnote w:id="28">
    <w:p w14:paraId="3551A14D" w14:textId="6EFCAE31" w:rsidR="00F21CD4" w:rsidRPr="00B0741D" w:rsidRDefault="00F21CD4" w:rsidP="00B0741D">
      <w:pPr>
        <w:pStyle w:val="FootnoteText"/>
        <w:jc w:val="both"/>
        <w:rPr>
          <w:rFonts w:ascii="Calibri" w:hAnsi="Calibri" w:cs="Calibri"/>
          <w:lang w:val="es-ES"/>
        </w:rPr>
      </w:pPr>
      <w:r w:rsidRPr="00B0741D">
        <w:rPr>
          <w:rStyle w:val="FootnoteReference"/>
          <w:rFonts w:ascii="Calibri" w:hAnsi="Calibri" w:cs="Calibri"/>
        </w:rPr>
        <w:footnoteRef/>
      </w:r>
      <w:r w:rsidRPr="00B0741D">
        <w:rPr>
          <w:rFonts w:ascii="Calibri" w:hAnsi="Calibri" w:cs="Calibri"/>
          <w:lang w:val="es-ES"/>
        </w:rPr>
        <w:t xml:space="preserve"> </w:t>
      </w:r>
      <w:r w:rsidRPr="00B0741D">
        <w:rPr>
          <w:rFonts w:ascii="Calibri" w:hAnsi="Calibri" w:cs="Calibri"/>
          <w:i/>
          <w:iCs/>
          <w:lang w:val="es-ES"/>
        </w:rPr>
        <w:t>Case T-1/17, La Mafia Franchises SL (</w:t>
      </w:r>
      <w:r w:rsidR="00FE10B8" w:rsidRPr="00B0741D">
        <w:rPr>
          <w:rFonts w:ascii="Calibri" w:hAnsi="Calibri" w:cs="Calibri"/>
          <w:i/>
          <w:iCs/>
          <w:lang w:val="es-ES"/>
        </w:rPr>
        <w:t>‘La Mafia se Sienta a la</w:t>
      </w:r>
      <w:r w:rsidRPr="00B0741D">
        <w:rPr>
          <w:rFonts w:ascii="Calibri" w:hAnsi="Calibri" w:cs="Calibri"/>
          <w:i/>
          <w:iCs/>
          <w:lang w:val="es-ES"/>
        </w:rPr>
        <w:t xml:space="preserve"> M</w:t>
      </w:r>
      <w:r w:rsidR="00FE10B8" w:rsidRPr="00B0741D">
        <w:rPr>
          <w:rFonts w:ascii="Calibri" w:hAnsi="Calibri" w:cs="Calibri"/>
          <w:i/>
          <w:iCs/>
          <w:lang w:val="es-ES"/>
        </w:rPr>
        <w:t>esa</w:t>
      </w:r>
      <w:r w:rsidRPr="00B0741D">
        <w:rPr>
          <w:rFonts w:ascii="Calibri" w:hAnsi="Calibri" w:cs="Calibri"/>
          <w:i/>
          <w:iCs/>
          <w:lang w:val="es-ES"/>
        </w:rPr>
        <w:t>’) v EUIPO</w:t>
      </w:r>
      <w:r w:rsidRPr="00B0741D">
        <w:rPr>
          <w:rFonts w:ascii="Calibri" w:hAnsi="Calibri" w:cs="Calibri"/>
          <w:lang w:val="es-ES"/>
        </w:rPr>
        <w:t xml:space="preserve"> (2018) ECLI:EU:T:2018:146 [28].</w:t>
      </w:r>
    </w:p>
  </w:footnote>
  <w:footnote w:id="29">
    <w:p w14:paraId="4C1A7F88" w14:textId="44293EF1"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Ghazilian</w:t>
      </w:r>
      <w:r w:rsidRPr="00B0741D">
        <w:rPr>
          <w:rFonts w:ascii="Calibri" w:hAnsi="Calibri" w:cs="Calibri"/>
        </w:rPr>
        <w:t xml:space="preserve"> (n 4) [50]. This standard was also followed by Hobbs QC in </w:t>
      </w:r>
      <w:r w:rsidRPr="00B0741D">
        <w:rPr>
          <w:rFonts w:ascii="Calibri" w:hAnsi="Calibri" w:cs="Calibri"/>
          <w:i/>
          <w:iCs/>
        </w:rPr>
        <w:t>Basic</w:t>
      </w:r>
      <w:r w:rsidRPr="00B0741D">
        <w:rPr>
          <w:rFonts w:ascii="Calibri" w:hAnsi="Calibri" w:cs="Calibri"/>
        </w:rPr>
        <w:t xml:space="preserve"> (n 4) [17]-[19].</w:t>
      </w:r>
    </w:p>
  </w:footnote>
  <w:footnote w:id="30">
    <w:p w14:paraId="2F9B65E4" w14:textId="3268CE1D"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Ghazilian</w:t>
      </w:r>
      <w:r w:rsidRPr="00B0741D">
        <w:rPr>
          <w:rFonts w:ascii="Calibri" w:hAnsi="Calibri" w:cs="Calibri"/>
        </w:rPr>
        <w:t xml:space="preserve"> (n 4) [32].</w:t>
      </w:r>
    </w:p>
  </w:footnote>
  <w:footnote w:id="31">
    <w:p w14:paraId="77A09B5D" w14:textId="79B7FA82"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French Connection </w:t>
      </w:r>
      <w:r w:rsidRPr="00B0741D">
        <w:rPr>
          <w:rFonts w:ascii="Calibri" w:hAnsi="Calibri" w:cs="Calibri"/>
        </w:rPr>
        <w:t>(n 5) [60(4)].</w:t>
      </w:r>
    </w:p>
  </w:footnote>
  <w:footnote w:id="32">
    <w:p w14:paraId="6775402F" w14:textId="12229FD4"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lang w:val="en-US"/>
        </w:rPr>
        <w:t xml:space="preserve"> </w:t>
      </w:r>
      <w:r w:rsidRPr="00B0741D">
        <w:rPr>
          <w:rFonts w:ascii="Calibri" w:hAnsi="Calibri" w:cs="Calibri"/>
          <w:i/>
          <w:iCs/>
          <w:lang w:val="en-US"/>
        </w:rPr>
        <w:t xml:space="preserve">Case T-417/10, Federico Cortés </w:t>
      </w:r>
      <w:r w:rsidRPr="00B0741D">
        <w:rPr>
          <w:rFonts w:ascii="Calibri" w:hAnsi="Calibri" w:cs="Calibri"/>
        </w:rPr>
        <w:t xml:space="preserve">(n 4) [17]; </w:t>
      </w:r>
      <w:r w:rsidRPr="00B0741D">
        <w:rPr>
          <w:rFonts w:ascii="Calibri" w:hAnsi="Calibri" w:cs="Calibri"/>
          <w:i/>
          <w:iCs/>
        </w:rPr>
        <w:t>Case T-526/09, PAKI Logistics</w:t>
      </w:r>
      <w:r w:rsidRPr="00B0741D">
        <w:rPr>
          <w:rFonts w:ascii="Calibri" w:hAnsi="Calibri" w:cs="Calibri"/>
        </w:rPr>
        <w:t xml:space="preserve"> (n 4) [12]; </w:t>
      </w:r>
      <w:r w:rsidRPr="00B0741D">
        <w:rPr>
          <w:rFonts w:ascii="Calibri" w:hAnsi="Calibri" w:cs="Calibri"/>
          <w:i/>
          <w:iCs/>
        </w:rPr>
        <w:t>R 495/2005-G, Jebaraj Kenneth</w:t>
      </w:r>
      <w:r w:rsidRPr="00B0741D">
        <w:rPr>
          <w:rFonts w:ascii="Calibri" w:hAnsi="Calibri" w:cs="Calibri"/>
        </w:rPr>
        <w:t xml:space="preserve"> (n 4). </w:t>
      </w:r>
    </w:p>
  </w:footnote>
  <w:footnote w:id="33">
    <w:p w14:paraId="56706E6E" w14:textId="77FFC0EA"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T-232/10, Couture Tech Ltd </w:t>
      </w:r>
      <w:r w:rsidRPr="00B0741D">
        <w:rPr>
          <w:rFonts w:ascii="Calibri" w:hAnsi="Calibri" w:cs="Calibri"/>
        </w:rPr>
        <w:t>(n 20) [6].</w:t>
      </w:r>
    </w:p>
  </w:footnote>
  <w:footnote w:id="34">
    <w:p w14:paraId="749048A3" w14:textId="555A3FE9"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T-526/09, PAKI Logistics </w:t>
      </w:r>
      <w:r w:rsidRPr="00B0741D">
        <w:rPr>
          <w:rFonts w:ascii="Calibri" w:hAnsi="Calibri" w:cs="Calibri"/>
        </w:rPr>
        <w:t xml:space="preserve">(n 4) [19] (author’s translation from French). </w:t>
      </w:r>
    </w:p>
  </w:footnote>
  <w:footnote w:id="35">
    <w:p w14:paraId="5E3F8BAD" w14:textId="35BB5959"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lang w:val="en-US"/>
        </w:rPr>
        <w:t xml:space="preserve"> </w:t>
      </w:r>
      <w:r w:rsidRPr="00B0741D">
        <w:rPr>
          <w:rFonts w:ascii="Calibri" w:hAnsi="Calibri" w:cs="Calibri"/>
          <w:i/>
          <w:iCs/>
          <w:lang w:val="en-US"/>
        </w:rPr>
        <w:t>Case T-417/10, Federico Cortés</w:t>
      </w:r>
      <w:r w:rsidRPr="00B0741D">
        <w:rPr>
          <w:rFonts w:ascii="Calibri" w:hAnsi="Calibri" w:cs="Calibri"/>
        </w:rPr>
        <w:t xml:space="preserve"> (n 4) [13] (author’s translation from Spanish).</w:t>
      </w:r>
    </w:p>
  </w:footnote>
  <w:footnote w:id="36">
    <w:p w14:paraId="46DE4C6E" w14:textId="1C01B3B4"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Case T-266/13, Brainlab</w:t>
      </w:r>
      <w:r w:rsidRPr="00B0741D">
        <w:rPr>
          <w:rFonts w:ascii="Calibri" w:hAnsi="Calibri" w:cs="Calibri"/>
        </w:rPr>
        <w:t xml:space="preserve"> (n 4) [15] (author’s translation from German).</w:t>
      </w:r>
    </w:p>
  </w:footnote>
  <w:footnote w:id="37">
    <w:p w14:paraId="5926F6F8" w14:textId="2ACDB3CE"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T-54/13, Efag </w:t>
      </w:r>
      <w:r w:rsidRPr="00B0741D">
        <w:rPr>
          <w:rFonts w:ascii="Calibri" w:hAnsi="Calibri" w:cs="Calibri"/>
        </w:rPr>
        <w:t>(n 4) [13] (author’s translation from German).</w:t>
      </w:r>
    </w:p>
  </w:footnote>
  <w:footnote w:id="38">
    <w:p w14:paraId="46DD6E39" w14:textId="5A88899A"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T-69/17, Constantin Film Produktion </w:t>
      </w:r>
      <w:r w:rsidRPr="00B0741D">
        <w:rPr>
          <w:rFonts w:ascii="Calibri" w:hAnsi="Calibri" w:cs="Calibri"/>
        </w:rPr>
        <w:t xml:space="preserve">(n 23) [17] (author’s translation from German). Judging from this excerpt, it could be argued that the definition of relevant public in this case was partially premised on cultural considerations, i.e. Goethe’s revered status in German and Austrian culture. However, it is unlikely that this cultural element carried much weight in the definition of relevant public when the BoA had not, in the previous instance, taken it into consideration upon formulating its definition. </w:t>
      </w:r>
      <w:r w:rsidRPr="00B0741D">
        <w:rPr>
          <w:rFonts w:ascii="Calibri" w:hAnsi="Calibri" w:cs="Calibri"/>
          <w:i/>
          <w:iCs/>
        </w:rPr>
        <w:t>R 2205/2015-5, Application of Constantin Film Produktion GmbH (</w:t>
      </w:r>
      <w:r w:rsidR="003F5B72" w:rsidRPr="00B0741D">
        <w:rPr>
          <w:rFonts w:ascii="Calibri" w:hAnsi="Calibri" w:cs="Calibri"/>
          <w:i/>
          <w:iCs/>
        </w:rPr>
        <w:t>‘Fack Ju Göhte’</w:t>
      </w:r>
      <w:r w:rsidRPr="00B0741D">
        <w:rPr>
          <w:rFonts w:ascii="Calibri" w:hAnsi="Calibri" w:cs="Calibri"/>
          <w:i/>
          <w:iCs/>
        </w:rPr>
        <w:t>)</w:t>
      </w:r>
      <w:r w:rsidRPr="00B0741D">
        <w:rPr>
          <w:rFonts w:ascii="Calibri" w:hAnsi="Calibri" w:cs="Calibri"/>
        </w:rPr>
        <w:t xml:space="preserve"> 1 December 2016 (EUIPO Board of Appeal) [16]-[20].</w:t>
      </w:r>
    </w:p>
  </w:footnote>
  <w:footnote w:id="39">
    <w:p w14:paraId="37DA4A4A" w14:textId="59DE4533"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R 2205/2015-5, Constantin Film Produktion </w:t>
      </w:r>
      <w:r w:rsidRPr="00B0741D">
        <w:rPr>
          <w:rFonts w:ascii="Calibri" w:hAnsi="Calibri" w:cs="Calibri"/>
        </w:rPr>
        <w:t>(n 38) [23].</w:t>
      </w:r>
    </w:p>
  </w:footnote>
  <w:footnote w:id="40">
    <w:p w14:paraId="4C60BA98" w14:textId="48A6C194"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R-793/2014-2, Ung Cancer</w:t>
      </w:r>
      <w:r w:rsidR="00E5422F">
        <w:rPr>
          <w:rFonts w:ascii="Calibri" w:hAnsi="Calibri" w:cs="Calibri"/>
          <w:i/>
          <w:iCs/>
        </w:rPr>
        <w:t xml:space="preserve"> (‘Fuck Cancer’)</w:t>
      </w:r>
      <w:r w:rsidRPr="00B0741D">
        <w:rPr>
          <w:rFonts w:ascii="Calibri" w:hAnsi="Calibri" w:cs="Calibri"/>
        </w:rPr>
        <w:t xml:space="preserve"> (n 3); </w:t>
      </w:r>
      <w:r w:rsidRPr="00B0741D">
        <w:rPr>
          <w:rFonts w:ascii="Calibri" w:hAnsi="Calibri" w:cs="Calibri"/>
          <w:i/>
          <w:iCs/>
        </w:rPr>
        <w:t>R 168/2011-1, Türpitz</w:t>
      </w:r>
      <w:r w:rsidR="00E5422F">
        <w:rPr>
          <w:rFonts w:ascii="Calibri" w:hAnsi="Calibri" w:cs="Calibri"/>
          <w:i/>
          <w:iCs/>
        </w:rPr>
        <w:t xml:space="preserve"> (‘Fucking Freezing!’)</w:t>
      </w:r>
      <w:r w:rsidRPr="00B0741D">
        <w:rPr>
          <w:rFonts w:ascii="Calibri" w:hAnsi="Calibri" w:cs="Calibri"/>
        </w:rPr>
        <w:t xml:space="preserve"> (n 4); </w:t>
      </w:r>
      <w:r w:rsidRPr="00B0741D">
        <w:rPr>
          <w:rFonts w:ascii="Calibri" w:hAnsi="Calibri" w:cs="Calibri"/>
          <w:i/>
          <w:iCs/>
        </w:rPr>
        <w:t>R 385/2008-4, Stefan Fellenberg</w:t>
      </w:r>
      <w:r w:rsidR="00E5422F">
        <w:rPr>
          <w:rFonts w:ascii="Calibri" w:hAnsi="Calibri" w:cs="Calibri"/>
          <w:i/>
          <w:iCs/>
        </w:rPr>
        <w:t xml:space="preserve"> (‘Fucking Hell’)</w:t>
      </w:r>
      <w:r w:rsidRPr="00B0741D">
        <w:rPr>
          <w:rFonts w:ascii="Calibri" w:hAnsi="Calibri" w:cs="Calibri"/>
          <w:i/>
          <w:iCs/>
        </w:rPr>
        <w:t xml:space="preserve"> </w:t>
      </w:r>
      <w:r w:rsidRPr="00B0741D">
        <w:rPr>
          <w:rFonts w:ascii="Calibri" w:hAnsi="Calibri" w:cs="Calibri"/>
        </w:rPr>
        <w:t>(n 5)</w:t>
      </w:r>
      <w:r w:rsidR="00E5422F">
        <w:rPr>
          <w:rFonts w:ascii="Calibri" w:hAnsi="Calibri" w:cs="Calibri"/>
        </w:rPr>
        <w:t>.</w:t>
      </w:r>
    </w:p>
  </w:footnote>
  <w:footnote w:id="41">
    <w:p w14:paraId="35E33E86" w14:textId="661E1C28"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Application of Eurokaizen Ltd No 008987943 ('ibizafuKingisland’)</w:t>
      </w:r>
      <w:r w:rsidRPr="00B0741D">
        <w:rPr>
          <w:rFonts w:ascii="Calibri" w:hAnsi="Calibri" w:cs="Calibri"/>
        </w:rPr>
        <w:t xml:space="preserve"> 25 August 2010 (EUIPO Examination Division).</w:t>
      </w:r>
    </w:p>
  </w:footnote>
  <w:footnote w:id="42">
    <w:p w14:paraId="69E26455" w14:textId="2C2B13E2"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(n 5) Opinion of AG Bobek [87].</w:t>
      </w:r>
    </w:p>
  </w:footnote>
  <w:footnote w:id="43">
    <w:p w14:paraId="2D2FFFED" w14:textId="6257F862"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Lela Ivaz, Albert Costa and Jon A Duñabeitia, ‘The Emotional Impact of Being Myself: Emotions and Foreign-Language Processing’ (2015) 42 Journal of Experimental Psychology Learning Memory and Cognition 3.</w:t>
      </w:r>
    </w:p>
  </w:footnote>
  <w:footnote w:id="44">
    <w:p w14:paraId="35C0B693" w14:textId="0BA6876B"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(n 5) Opinion of AG Bobek [87].</w:t>
      </w:r>
    </w:p>
  </w:footnote>
  <w:footnote w:id="45">
    <w:p w14:paraId="2579E1EB" w14:textId="1FA468DA"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ibid [87] (emphasis added).</w:t>
      </w:r>
    </w:p>
  </w:footnote>
  <w:footnote w:id="46">
    <w:p w14:paraId="4FDCBE66" w14:textId="0770636F"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This is acknowledged by the CJEU in </w:t>
      </w:r>
      <w:r w:rsidRPr="00B0741D">
        <w:rPr>
          <w:rFonts w:ascii="Calibri" w:hAnsi="Calibri" w:cs="Calibri"/>
          <w:i/>
          <w:iCs/>
        </w:rPr>
        <w:t xml:space="preserve">Case C-240/18, Constantin Film Produktion </w:t>
      </w:r>
      <w:r w:rsidRPr="00B0741D">
        <w:rPr>
          <w:rFonts w:ascii="Calibri" w:hAnsi="Calibri" w:cs="Calibri"/>
        </w:rPr>
        <w:t>(n 5) [45].</w:t>
      </w:r>
    </w:p>
  </w:footnote>
  <w:footnote w:id="47">
    <w:p w14:paraId="77C8059B" w14:textId="0252BAD2"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ibid Opinion of AG Bobek; </w:t>
      </w:r>
      <w:r w:rsidRPr="00B0741D">
        <w:rPr>
          <w:rFonts w:ascii="Calibri" w:hAnsi="Calibri" w:cs="Calibri"/>
          <w:i/>
          <w:iCs/>
        </w:rPr>
        <w:t xml:space="preserve">R 2244/2016-2, Brexit Drinks </w:t>
      </w:r>
      <w:r w:rsidRPr="00B0741D">
        <w:rPr>
          <w:rFonts w:ascii="Calibri" w:hAnsi="Calibri" w:cs="Calibri"/>
        </w:rPr>
        <w:t xml:space="preserve">(n 8); </w:t>
      </w:r>
      <w:r w:rsidRPr="00B0741D">
        <w:rPr>
          <w:rFonts w:ascii="Calibri" w:hAnsi="Calibri" w:cs="Calibri"/>
          <w:i/>
          <w:iCs/>
        </w:rPr>
        <w:t xml:space="preserve">Case T-232/10, Couture Tech </w:t>
      </w:r>
      <w:r w:rsidRPr="00B0741D">
        <w:rPr>
          <w:rFonts w:ascii="Calibri" w:hAnsi="Calibri" w:cs="Calibri"/>
        </w:rPr>
        <w:t xml:space="preserve">(n 20); </w:t>
      </w:r>
      <w:r w:rsidRPr="00B0741D">
        <w:rPr>
          <w:rFonts w:ascii="Calibri" w:hAnsi="Calibri" w:cs="Calibri"/>
          <w:i/>
          <w:iCs/>
        </w:rPr>
        <w:t xml:space="preserve">Case T-526/09, PAKI Logistics </w:t>
      </w:r>
      <w:r w:rsidRPr="00B0741D">
        <w:rPr>
          <w:rFonts w:ascii="Calibri" w:hAnsi="Calibri" w:cs="Calibri"/>
        </w:rPr>
        <w:t xml:space="preserve">(n 4); </w:t>
      </w:r>
      <w:r w:rsidRPr="00B0741D">
        <w:rPr>
          <w:rFonts w:ascii="Calibri" w:hAnsi="Calibri" w:cs="Calibri"/>
          <w:i/>
          <w:iCs/>
        </w:rPr>
        <w:t>French Connection</w:t>
      </w:r>
      <w:r w:rsidRPr="00B0741D">
        <w:rPr>
          <w:rFonts w:ascii="Calibri" w:hAnsi="Calibri" w:cs="Calibri"/>
        </w:rPr>
        <w:t xml:space="preserve"> (n 5).</w:t>
      </w:r>
    </w:p>
  </w:footnote>
  <w:footnote w:id="48">
    <w:p w14:paraId="5F372E30" w14:textId="62DD3A47"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519/2015-4, Josef Reich</w:t>
      </w:r>
      <w:r w:rsidRPr="00B0741D">
        <w:rPr>
          <w:rFonts w:ascii="Calibri" w:hAnsi="Calibri" w:cs="Calibri"/>
        </w:rPr>
        <w:t xml:space="preserve"> (n 5); </w:t>
      </w:r>
      <w:r w:rsidRPr="00B0741D">
        <w:rPr>
          <w:rFonts w:ascii="Calibri" w:hAnsi="Calibri" w:cs="Calibri"/>
          <w:i/>
          <w:iCs/>
        </w:rPr>
        <w:t>R 2804/2014-5, Square Enix</w:t>
      </w:r>
      <w:r w:rsidRPr="00B0741D">
        <w:rPr>
          <w:rFonts w:ascii="Calibri" w:hAnsi="Calibri" w:cs="Calibri"/>
        </w:rPr>
        <w:t xml:space="preserve"> (n 4); </w:t>
      </w:r>
      <w:r w:rsidRPr="00B0741D">
        <w:rPr>
          <w:rFonts w:ascii="Calibri" w:hAnsi="Calibri" w:cs="Calibri"/>
          <w:i/>
          <w:iCs/>
        </w:rPr>
        <w:t>R 2889/2014-4, Application of Verlagsgruppe D K GmbH &amp; Iny Klocke ('D</w:t>
      </w:r>
      <w:r w:rsidR="003F5B72" w:rsidRPr="00B0741D">
        <w:rPr>
          <w:rFonts w:ascii="Calibri" w:hAnsi="Calibri" w:cs="Calibri"/>
          <w:i/>
          <w:iCs/>
        </w:rPr>
        <w:t>ie</w:t>
      </w:r>
      <w:r w:rsidRPr="00B0741D">
        <w:rPr>
          <w:rFonts w:ascii="Calibri" w:hAnsi="Calibri" w:cs="Calibri"/>
          <w:i/>
          <w:iCs/>
        </w:rPr>
        <w:t xml:space="preserve"> W</w:t>
      </w:r>
      <w:r w:rsidR="003F5B72" w:rsidRPr="00B0741D">
        <w:rPr>
          <w:rFonts w:ascii="Calibri" w:hAnsi="Calibri" w:cs="Calibri"/>
          <w:i/>
          <w:iCs/>
        </w:rPr>
        <w:t>anderhure</w:t>
      </w:r>
      <w:r w:rsidRPr="00B0741D">
        <w:rPr>
          <w:rFonts w:ascii="Calibri" w:hAnsi="Calibri" w:cs="Calibri"/>
          <w:i/>
          <w:iCs/>
        </w:rPr>
        <w:t>’)</w:t>
      </w:r>
      <w:r w:rsidRPr="00B0741D">
        <w:rPr>
          <w:rFonts w:ascii="Calibri" w:hAnsi="Calibri" w:cs="Calibri"/>
        </w:rPr>
        <w:t xml:space="preserve"> 28 May 2015 (EUIPO Board of Appeal); </w:t>
      </w:r>
      <w:r w:rsidRPr="00B0741D">
        <w:rPr>
          <w:rFonts w:ascii="Calibri" w:hAnsi="Calibri" w:cs="Calibri"/>
          <w:i/>
          <w:iCs/>
        </w:rPr>
        <w:t>R-793/2014-2, Ung Cancer</w:t>
      </w:r>
      <w:r w:rsidRPr="00B0741D">
        <w:rPr>
          <w:rFonts w:ascii="Calibri" w:hAnsi="Calibri" w:cs="Calibri"/>
        </w:rPr>
        <w:t xml:space="preserve"> (n 3); </w:t>
      </w:r>
      <w:r w:rsidRPr="00B0741D">
        <w:rPr>
          <w:rFonts w:ascii="Calibri" w:hAnsi="Calibri" w:cs="Calibri"/>
          <w:i/>
          <w:iCs/>
        </w:rPr>
        <w:t xml:space="preserve">Case T-417/10, Federico Cortés </w:t>
      </w:r>
      <w:r w:rsidRPr="00B0741D">
        <w:rPr>
          <w:rFonts w:ascii="Calibri" w:hAnsi="Calibri" w:cs="Calibri"/>
        </w:rPr>
        <w:t xml:space="preserve">(n 4); </w:t>
      </w:r>
      <w:r w:rsidRPr="00B0741D">
        <w:rPr>
          <w:rFonts w:ascii="Calibri" w:hAnsi="Calibri" w:cs="Calibri"/>
          <w:i/>
          <w:iCs/>
        </w:rPr>
        <w:t xml:space="preserve">R 168/2011-1, Türpitz </w:t>
      </w:r>
      <w:r w:rsidRPr="00B0741D">
        <w:rPr>
          <w:rFonts w:ascii="Calibri" w:hAnsi="Calibri" w:cs="Calibri"/>
        </w:rPr>
        <w:t xml:space="preserve">(n 4); </w:t>
      </w:r>
      <w:r w:rsidRPr="00B0741D">
        <w:rPr>
          <w:rFonts w:ascii="Calibri" w:hAnsi="Calibri" w:cs="Calibri"/>
          <w:i/>
          <w:iCs/>
        </w:rPr>
        <w:t>R 495/2005-G, Jebaraj Kenneth</w:t>
      </w:r>
      <w:r w:rsidRPr="00B0741D">
        <w:rPr>
          <w:rFonts w:ascii="Calibri" w:hAnsi="Calibri" w:cs="Calibri"/>
        </w:rPr>
        <w:t xml:space="preserve"> (n 4); </w:t>
      </w:r>
      <w:r w:rsidRPr="00B0741D">
        <w:rPr>
          <w:rFonts w:ascii="Calibri" w:hAnsi="Calibri" w:cs="Calibri"/>
          <w:i/>
          <w:iCs/>
        </w:rPr>
        <w:t>Basic</w:t>
      </w:r>
      <w:r w:rsidRPr="00B0741D">
        <w:rPr>
          <w:rFonts w:ascii="Calibri" w:hAnsi="Calibri" w:cs="Calibri"/>
        </w:rPr>
        <w:t xml:space="preserve"> (n 4); </w:t>
      </w:r>
      <w:r w:rsidRPr="00B0741D">
        <w:rPr>
          <w:rFonts w:ascii="Calibri" w:hAnsi="Calibri" w:cs="Calibri"/>
          <w:i/>
          <w:iCs/>
        </w:rPr>
        <w:t>Scranage</w:t>
      </w:r>
      <w:r w:rsidRPr="00B0741D">
        <w:rPr>
          <w:rFonts w:ascii="Calibri" w:hAnsi="Calibri" w:cs="Calibri"/>
        </w:rPr>
        <w:t xml:space="preserve"> (n 4); </w:t>
      </w:r>
      <w:r w:rsidRPr="00B0741D">
        <w:rPr>
          <w:rFonts w:ascii="Calibri" w:hAnsi="Calibri" w:cs="Calibri"/>
          <w:i/>
          <w:iCs/>
        </w:rPr>
        <w:t xml:space="preserve">R 176/2004-2, Falcon </w:t>
      </w:r>
      <w:r w:rsidRPr="00B0741D">
        <w:rPr>
          <w:rFonts w:ascii="Calibri" w:hAnsi="Calibri" w:cs="Calibri"/>
        </w:rPr>
        <w:t xml:space="preserve">(n 4); </w:t>
      </w:r>
      <w:r w:rsidRPr="00B0741D">
        <w:rPr>
          <w:rFonts w:ascii="Calibri" w:hAnsi="Calibri" w:cs="Calibri"/>
          <w:i/>
          <w:iCs/>
        </w:rPr>
        <w:t>Ghazilian</w:t>
      </w:r>
      <w:r w:rsidRPr="00B0741D">
        <w:rPr>
          <w:rFonts w:ascii="Calibri" w:hAnsi="Calibri" w:cs="Calibri"/>
        </w:rPr>
        <w:t xml:space="preserve"> (n 4).</w:t>
      </w:r>
    </w:p>
  </w:footnote>
  <w:footnote w:id="49">
    <w:p w14:paraId="2DF3CFB9" w14:textId="5A67C82A"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519/2015-4, Josef Reich</w:t>
      </w:r>
      <w:r w:rsidRPr="00B0741D">
        <w:rPr>
          <w:rFonts w:ascii="Calibri" w:hAnsi="Calibri" w:cs="Calibri"/>
        </w:rPr>
        <w:t xml:space="preserve"> (n 5) [16]; </w:t>
      </w:r>
      <w:r w:rsidRPr="00B0741D">
        <w:rPr>
          <w:rFonts w:ascii="Calibri" w:hAnsi="Calibri" w:cs="Calibri"/>
          <w:i/>
          <w:iCs/>
        </w:rPr>
        <w:t xml:space="preserve">R 2889/2014-4, Verlagsgruppe </w:t>
      </w:r>
      <w:r w:rsidRPr="00B0741D">
        <w:rPr>
          <w:rFonts w:ascii="Calibri" w:hAnsi="Calibri" w:cs="Calibri"/>
        </w:rPr>
        <w:t>(n 48) [12]. In similar terms, the EUIPO BoA held that ‘</w:t>
      </w:r>
      <w:r w:rsidRPr="00B0741D">
        <w:rPr>
          <w:rFonts w:ascii="Calibri" w:hAnsi="Calibri" w:cs="Calibri"/>
          <w:lang w:val="en-ES"/>
        </w:rPr>
        <w:t xml:space="preserve">the assessment </w:t>
      </w:r>
      <w:r w:rsidRPr="00B0741D">
        <w:rPr>
          <w:rFonts w:ascii="Calibri" w:hAnsi="Calibri" w:cs="Calibri"/>
          <w:lang w:val="en-US"/>
        </w:rPr>
        <w:t xml:space="preserve">[under Article 7(1)(f) EUTMR] </w:t>
      </w:r>
      <w:r w:rsidRPr="00B0741D">
        <w:rPr>
          <w:rFonts w:ascii="Calibri" w:hAnsi="Calibri" w:cs="Calibri"/>
          <w:lang w:val="en-ES"/>
        </w:rPr>
        <w:t>must consider whether the sign objectively breaches moral and social sentiments</w:t>
      </w:r>
      <w:r w:rsidRPr="00B0741D">
        <w:rPr>
          <w:rFonts w:ascii="Calibri" w:hAnsi="Calibri" w:cs="Calibri"/>
          <w:lang w:val="en-US"/>
        </w:rPr>
        <w:t xml:space="preserve">’ in </w:t>
      </w:r>
      <w:r w:rsidRPr="00B0741D">
        <w:rPr>
          <w:rFonts w:ascii="Calibri" w:hAnsi="Calibri" w:cs="Calibri"/>
          <w:i/>
          <w:iCs/>
        </w:rPr>
        <w:t>R 1727/2014-2, Maktab Tarighat Oveyssi Shahmaghsoudi eV v Roberto Cavalli SpA</w:t>
      </w:r>
      <w:r w:rsidRPr="00B0741D">
        <w:rPr>
          <w:rFonts w:ascii="Calibri" w:hAnsi="Calibri" w:cs="Calibri"/>
        </w:rPr>
        <w:t xml:space="preserve"> </w:t>
      </w:r>
      <w:r w:rsidRPr="00B0741D">
        <w:rPr>
          <w:rFonts w:ascii="Calibri" w:hAnsi="Calibri" w:cs="Calibri"/>
          <w:i/>
          <w:iCs/>
        </w:rPr>
        <w:t xml:space="preserve">(oval shape figurative marks) </w:t>
      </w:r>
      <w:r w:rsidRPr="00B0741D">
        <w:rPr>
          <w:rFonts w:ascii="Calibri" w:hAnsi="Calibri" w:cs="Calibri"/>
        </w:rPr>
        <w:t>6 July 2015 (EUIPO Board of Appeal) [63].</w:t>
      </w:r>
    </w:p>
  </w:footnote>
  <w:footnote w:id="50">
    <w:p w14:paraId="22299402" w14:textId="058BA907"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R 176/2004-2, Falcon </w:t>
      </w:r>
      <w:r w:rsidRPr="00B0741D">
        <w:rPr>
          <w:rFonts w:ascii="Calibri" w:hAnsi="Calibri" w:cs="Calibri"/>
        </w:rPr>
        <w:t>(n 4) [23].</w:t>
      </w:r>
    </w:p>
  </w:footnote>
  <w:footnote w:id="51">
    <w:p w14:paraId="7A290748" w14:textId="7926051C"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2804/2014-5, Square Enix</w:t>
      </w:r>
      <w:r w:rsidRPr="00B0741D">
        <w:rPr>
          <w:rFonts w:ascii="Calibri" w:hAnsi="Calibri" w:cs="Calibri"/>
        </w:rPr>
        <w:t xml:space="preserve"> (n 4) [10]; </w:t>
      </w:r>
      <w:r w:rsidRPr="00B0741D">
        <w:rPr>
          <w:rFonts w:ascii="Calibri" w:hAnsi="Calibri" w:cs="Calibri"/>
          <w:i/>
          <w:iCs/>
        </w:rPr>
        <w:t>R 168/2011-1, Türpitz</w:t>
      </w:r>
      <w:r w:rsidRPr="00B0741D">
        <w:rPr>
          <w:rFonts w:ascii="Calibri" w:hAnsi="Calibri" w:cs="Calibri"/>
        </w:rPr>
        <w:t xml:space="preserve"> (n 4) [12]; </w:t>
      </w:r>
      <w:r w:rsidRPr="00B0741D">
        <w:rPr>
          <w:rFonts w:ascii="Calibri" w:hAnsi="Calibri" w:cs="Calibri"/>
          <w:i/>
          <w:iCs/>
        </w:rPr>
        <w:t>R 495/2005-G, Jebaraj Kenneth</w:t>
      </w:r>
      <w:r w:rsidRPr="00B0741D">
        <w:rPr>
          <w:rFonts w:ascii="Calibri" w:hAnsi="Calibri" w:cs="Calibri"/>
        </w:rPr>
        <w:t xml:space="preserve"> (n 4) [18].</w:t>
      </w:r>
    </w:p>
  </w:footnote>
  <w:footnote w:id="52">
    <w:p w14:paraId="3D2D297D" w14:textId="6DB3F3A8"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495/2005-G, Jebaraj Kenneth</w:t>
      </w:r>
      <w:r w:rsidRPr="00B0741D">
        <w:rPr>
          <w:rFonts w:ascii="Calibri" w:hAnsi="Calibri" w:cs="Calibri"/>
        </w:rPr>
        <w:t xml:space="preserve"> (n 4); </w:t>
      </w:r>
      <w:r w:rsidRPr="00B0741D">
        <w:rPr>
          <w:rFonts w:ascii="Calibri" w:hAnsi="Calibri" w:cs="Calibri"/>
          <w:i/>
          <w:iCs/>
        </w:rPr>
        <w:t xml:space="preserve">French Connection </w:t>
      </w:r>
      <w:r w:rsidRPr="00B0741D">
        <w:rPr>
          <w:rFonts w:ascii="Calibri" w:hAnsi="Calibri" w:cs="Calibri"/>
        </w:rPr>
        <w:t>(n 5).</w:t>
      </w:r>
    </w:p>
  </w:footnote>
  <w:footnote w:id="53">
    <w:p w14:paraId="06CF6A32" w14:textId="2B9771EA"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French Connection </w:t>
      </w:r>
      <w:r w:rsidRPr="00B0741D">
        <w:rPr>
          <w:rFonts w:ascii="Calibri" w:hAnsi="Calibri" w:cs="Calibri"/>
        </w:rPr>
        <w:t>(n 5) [89]-[90].</w:t>
      </w:r>
    </w:p>
  </w:footnote>
  <w:footnote w:id="54">
    <w:p w14:paraId="02F77D5E" w14:textId="3107A19C"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Ghazilian </w:t>
      </w:r>
      <w:r w:rsidRPr="00B0741D">
        <w:rPr>
          <w:rFonts w:ascii="Calibri" w:hAnsi="Calibri" w:cs="Calibri"/>
        </w:rPr>
        <w:t xml:space="preserve">(n 4); </w:t>
      </w:r>
      <w:r w:rsidRPr="00B0741D">
        <w:rPr>
          <w:rFonts w:ascii="Calibri" w:hAnsi="Calibri" w:cs="Calibri"/>
          <w:i/>
          <w:iCs/>
        </w:rPr>
        <w:t xml:space="preserve">Basic </w:t>
      </w:r>
      <w:r w:rsidRPr="00B0741D">
        <w:rPr>
          <w:rFonts w:ascii="Calibri" w:hAnsi="Calibri" w:cs="Calibri"/>
        </w:rPr>
        <w:t xml:space="preserve">(n 4); </w:t>
      </w:r>
      <w:r w:rsidRPr="00B0741D">
        <w:rPr>
          <w:rFonts w:ascii="Calibri" w:hAnsi="Calibri" w:cs="Calibri"/>
          <w:i/>
          <w:iCs/>
        </w:rPr>
        <w:t>Scranage</w:t>
      </w:r>
      <w:r w:rsidRPr="00B0741D">
        <w:rPr>
          <w:rFonts w:ascii="Calibri" w:hAnsi="Calibri" w:cs="Calibri"/>
        </w:rPr>
        <w:t xml:space="preserve"> (n 4); </w:t>
      </w:r>
      <w:r w:rsidRPr="00B0741D">
        <w:rPr>
          <w:rFonts w:ascii="Calibri" w:hAnsi="Calibri" w:cs="Calibri"/>
          <w:i/>
          <w:iCs/>
        </w:rPr>
        <w:t>R 111/2002-4, Dick Lexic</w:t>
      </w:r>
      <w:r w:rsidRPr="00B0741D">
        <w:rPr>
          <w:rFonts w:ascii="Calibri" w:hAnsi="Calibri" w:cs="Calibri"/>
        </w:rPr>
        <w:t xml:space="preserve"> (n 5).</w:t>
      </w:r>
    </w:p>
  </w:footnote>
  <w:footnote w:id="55">
    <w:p w14:paraId="70EA53FF" w14:textId="0CCFBD6F"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French Connection </w:t>
      </w:r>
      <w:r w:rsidRPr="00B0741D">
        <w:rPr>
          <w:rFonts w:ascii="Calibri" w:hAnsi="Calibri" w:cs="Calibri"/>
        </w:rPr>
        <w:t>(n 5) [60].</w:t>
      </w:r>
    </w:p>
  </w:footnote>
  <w:footnote w:id="56">
    <w:p w14:paraId="6AE4B4B2" w14:textId="40DF0718"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R 495/2005-G, Jebaraj Kenneth </w:t>
      </w:r>
      <w:r w:rsidRPr="00B0741D">
        <w:rPr>
          <w:rFonts w:ascii="Calibri" w:hAnsi="Calibri" w:cs="Calibri"/>
        </w:rPr>
        <w:t>(n 4) [27].</w:t>
      </w:r>
    </w:p>
  </w:footnote>
  <w:footnote w:id="57">
    <w:p w14:paraId="76463739" w14:textId="6255E744"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noProof/>
        </w:rPr>
        <w:t>ibid [29].</w:t>
      </w:r>
    </w:p>
  </w:footnote>
  <w:footnote w:id="58">
    <w:p w14:paraId="56FFC4AA" w14:textId="0A101A08"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ibid [19].</w:t>
      </w:r>
    </w:p>
  </w:footnote>
  <w:footnote w:id="59">
    <w:p w14:paraId="003AD9B9" w14:textId="66F20513"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ibid [19].</w:t>
      </w:r>
    </w:p>
  </w:footnote>
  <w:footnote w:id="60">
    <w:p w14:paraId="25DD729E" w14:textId="3D80F7DC"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Zana v Turkey</w:t>
      </w:r>
      <w:r w:rsidRPr="00B0741D">
        <w:rPr>
          <w:rFonts w:ascii="Calibri" w:hAnsi="Calibri" w:cs="Calibri"/>
        </w:rPr>
        <w:t xml:space="preserve"> App no 18954/91 (ECtHR, 25 November 1997) [51].</w:t>
      </w:r>
    </w:p>
  </w:footnote>
  <w:footnote w:id="61">
    <w:p w14:paraId="3A4307EB" w14:textId="22020E31"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Mouvement Raëlien Suisse v Switzerland</w:t>
      </w:r>
      <w:r w:rsidRPr="00B0741D">
        <w:rPr>
          <w:rFonts w:ascii="Calibri" w:hAnsi="Calibri" w:cs="Calibri"/>
        </w:rPr>
        <w:t xml:space="preserve"> App no 16354/06 (ECtHR, 13 July 2012)(Grand Chamber); </w:t>
      </w:r>
      <w:r w:rsidRPr="00B0741D">
        <w:rPr>
          <w:rFonts w:ascii="Calibri" w:hAnsi="Calibri" w:cs="Calibri"/>
          <w:i/>
          <w:iCs/>
        </w:rPr>
        <w:t>Murphy v Ireland</w:t>
      </w:r>
      <w:r w:rsidRPr="00B0741D">
        <w:rPr>
          <w:rFonts w:ascii="Calibri" w:hAnsi="Calibri" w:cs="Calibri"/>
        </w:rPr>
        <w:t xml:space="preserve"> App no 44179/98 (ECtHR, 10 July 2003); </w:t>
      </w:r>
      <w:r w:rsidRPr="00B0741D">
        <w:rPr>
          <w:rFonts w:ascii="Calibri" w:hAnsi="Calibri" w:cs="Calibri"/>
          <w:i/>
          <w:iCs/>
        </w:rPr>
        <w:t>VgT Verein Gegen Tierfabriken v Switzerland</w:t>
      </w:r>
      <w:r w:rsidRPr="00B0741D">
        <w:rPr>
          <w:rFonts w:ascii="Calibri" w:hAnsi="Calibri" w:cs="Calibri"/>
        </w:rPr>
        <w:t xml:space="preserve"> App no. 24699/94 (ECtHR, 28 June 2001); </w:t>
      </w:r>
      <w:r w:rsidRPr="00B0741D">
        <w:rPr>
          <w:rFonts w:ascii="Calibri" w:hAnsi="Calibri" w:cs="Calibri"/>
          <w:i/>
          <w:iCs/>
        </w:rPr>
        <w:t>Hertel v Switzerland</w:t>
      </w:r>
      <w:r w:rsidRPr="00B0741D">
        <w:rPr>
          <w:rFonts w:ascii="Calibri" w:hAnsi="Calibri" w:cs="Calibri"/>
        </w:rPr>
        <w:t xml:space="preserve"> App no 25181/94 (ECtHR, 25 August 1998); </w:t>
      </w:r>
      <w:r w:rsidRPr="00B0741D">
        <w:rPr>
          <w:rFonts w:ascii="Calibri" w:hAnsi="Calibri" w:cs="Calibri"/>
          <w:i/>
          <w:iCs/>
        </w:rPr>
        <w:t>Jacubowski v Germany</w:t>
      </w:r>
      <w:r w:rsidRPr="00B0741D">
        <w:rPr>
          <w:rFonts w:ascii="Calibri" w:hAnsi="Calibri" w:cs="Calibri"/>
        </w:rPr>
        <w:t xml:space="preserve"> App no 15088/89 (ECtHR, 23 June 1994); </w:t>
      </w:r>
      <w:r w:rsidRPr="00B0741D">
        <w:rPr>
          <w:rFonts w:ascii="Calibri" w:hAnsi="Calibri" w:cs="Calibri"/>
          <w:i/>
          <w:iCs/>
        </w:rPr>
        <w:t>Casado Coca v Spain</w:t>
      </w:r>
      <w:r w:rsidRPr="00B0741D">
        <w:rPr>
          <w:rFonts w:ascii="Calibri" w:hAnsi="Calibri" w:cs="Calibri"/>
        </w:rPr>
        <w:t xml:space="preserve"> App no 15450/89 (ECtHR, 24 February 1994); </w:t>
      </w:r>
      <w:r w:rsidRPr="00B0741D">
        <w:rPr>
          <w:rFonts w:ascii="Calibri" w:hAnsi="Calibri" w:cs="Calibri"/>
          <w:i/>
          <w:iCs/>
        </w:rPr>
        <w:t>Open Door and Dublin Well Woman v Ireland</w:t>
      </w:r>
      <w:r w:rsidRPr="00B0741D">
        <w:rPr>
          <w:rFonts w:ascii="Calibri" w:hAnsi="Calibri" w:cs="Calibri"/>
        </w:rPr>
        <w:t xml:space="preserve"> App no 14234/88 (ECtHR, 29 October 1992); </w:t>
      </w:r>
      <w:r w:rsidRPr="00B0741D">
        <w:rPr>
          <w:rFonts w:ascii="Calibri" w:hAnsi="Calibri" w:cs="Calibri"/>
          <w:i/>
          <w:iCs/>
        </w:rPr>
        <w:t>Markt Intern Verlag GmbH and Klaus Beermann v Germany</w:t>
      </w:r>
      <w:r w:rsidRPr="00B0741D">
        <w:rPr>
          <w:rFonts w:ascii="Calibri" w:hAnsi="Calibri" w:cs="Calibri"/>
        </w:rPr>
        <w:t xml:space="preserve"> App no 10572/83 (ECtHR, 20 November 1989); </w:t>
      </w:r>
      <w:r w:rsidRPr="00B0741D">
        <w:rPr>
          <w:rFonts w:ascii="Calibri" w:hAnsi="Calibri" w:cs="Calibri"/>
          <w:i/>
          <w:iCs/>
        </w:rPr>
        <w:t>Barthold v Germany</w:t>
      </w:r>
      <w:r w:rsidRPr="00B0741D">
        <w:rPr>
          <w:rFonts w:ascii="Calibri" w:hAnsi="Calibri" w:cs="Calibri"/>
        </w:rPr>
        <w:t xml:space="preserve"> App no 8734/79 (ECtHR, 25 March 1985); </w:t>
      </w:r>
      <w:r w:rsidRPr="00B0741D">
        <w:rPr>
          <w:rFonts w:ascii="Calibri" w:hAnsi="Calibri" w:cs="Calibri"/>
          <w:i/>
          <w:iCs/>
        </w:rPr>
        <w:t>Handyside v The United Kingdom</w:t>
      </w:r>
      <w:r w:rsidRPr="00B0741D">
        <w:rPr>
          <w:rFonts w:ascii="Calibri" w:hAnsi="Calibri" w:cs="Calibri"/>
        </w:rPr>
        <w:t xml:space="preserve"> App no 5493/72 (ECtHR, 7 December 1976).</w:t>
      </w:r>
    </w:p>
  </w:footnote>
  <w:footnote w:id="62">
    <w:p w14:paraId="38939192" w14:textId="180D6CA9"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VgT Verein </w:t>
      </w:r>
      <w:r w:rsidRPr="00B0741D">
        <w:rPr>
          <w:rFonts w:ascii="Calibri" w:hAnsi="Calibri" w:cs="Calibri"/>
        </w:rPr>
        <w:t xml:space="preserve">(n 61) [66]; </w:t>
      </w:r>
      <w:r w:rsidRPr="00B0741D">
        <w:rPr>
          <w:rFonts w:ascii="Calibri" w:hAnsi="Calibri" w:cs="Calibri"/>
          <w:i/>
          <w:iCs/>
        </w:rPr>
        <w:t xml:space="preserve">Hertel </w:t>
      </w:r>
      <w:r w:rsidRPr="00B0741D">
        <w:rPr>
          <w:rFonts w:ascii="Calibri" w:hAnsi="Calibri" w:cs="Calibri"/>
        </w:rPr>
        <w:t xml:space="preserve">(n 61) [46]; </w:t>
      </w:r>
      <w:r w:rsidRPr="00B0741D">
        <w:rPr>
          <w:rFonts w:ascii="Calibri" w:hAnsi="Calibri" w:cs="Calibri"/>
          <w:i/>
          <w:iCs/>
        </w:rPr>
        <w:t xml:space="preserve">Handyside </w:t>
      </w:r>
      <w:r w:rsidRPr="00B0741D">
        <w:rPr>
          <w:rFonts w:ascii="Calibri" w:hAnsi="Calibri" w:cs="Calibri"/>
        </w:rPr>
        <w:t>(n 61) [49].</w:t>
      </w:r>
    </w:p>
  </w:footnote>
  <w:footnote w:id="63">
    <w:p w14:paraId="10612DFA" w14:textId="4668B8EF"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Mouvement Raëlien </w:t>
      </w:r>
      <w:r w:rsidRPr="00B0741D">
        <w:rPr>
          <w:rFonts w:ascii="Calibri" w:hAnsi="Calibri" w:cs="Calibri"/>
        </w:rPr>
        <w:t>(n 61) [61]. See also, in similar terms</w:t>
      </w:r>
      <w:r w:rsidR="00D152E1">
        <w:rPr>
          <w:rFonts w:ascii="Calibri" w:hAnsi="Calibri" w:cs="Calibri"/>
        </w:rPr>
        <w:t>,</w:t>
      </w:r>
      <w:r w:rsidRPr="00B0741D">
        <w:rPr>
          <w:rFonts w:ascii="Calibri" w:hAnsi="Calibri" w:cs="Calibri"/>
        </w:rPr>
        <w:t xml:space="preserve"> </w:t>
      </w:r>
      <w:r w:rsidRPr="00B0741D">
        <w:rPr>
          <w:rFonts w:ascii="Calibri" w:hAnsi="Calibri" w:cs="Calibri"/>
          <w:i/>
          <w:iCs/>
        </w:rPr>
        <w:t xml:space="preserve">Casado Coca </w:t>
      </w:r>
      <w:r w:rsidRPr="00B0741D">
        <w:rPr>
          <w:rFonts w:ascii="Calibri" w:hAnsi="Calibri" w:cs="Calibri"/>
        </w:rPr>
        <w:t xml:space="preserve">(n 61) [50]; </w:t>
      </w:r>
      <w:r w:rsidRPr="00B0741D">
        <w:rPr>
          <w:rFonts w:ascii="Calibri" w:hAnsi="Calibri" w:cs="Calibri"/>
          <w:i/>
          <w:iCs/>
        </w:rPr>
        <w:t xml:space="preserve">Markt Intern </w:t>
      </w:r>
      <w:r w:rsidRPr="00B0741D">
        <w:rPr>
          <w:rFonts w:ascii="Calibri" w:hAnsi="Calibri" w:cs="Calibri"/>
        </w:rPr>
        <w:t>(n 61) [33].</w:t>
      </w:r>
    </w:p>
  </w:footnote>
  <w:footnote w:id="64">
    <w:p w14:paraId="51C085C8" w14:textId="7B5AEE0B" w:rsidR="00F21CD4" w:rsidRPr="00B0741D" w:rsidRDefault="00F21CD4" w:rsidP="00B0741D">
      <w:pPr>
        <w:pStyle w:val="FootnoteText"/>
        <w:jc w:val="both"/>
        <w:rPr>
          <w:rFonts w:ascii="Calibri" w:hAnsi="Calibri" w:cs="Calibri"/>
          <w:lang w:val="es-ES"/>
        </w:rPr>
      </w:pPr>
      <w:r w:rsidRPr="00B0741D">
        <w:rPr>
          <w:rStyle w:val="FootnoteReference"/>
          <w:rFonts w:ascii="Calibri" w:hAnsi="Calibri" w:cs="Calibri"/>
        </w:rPr>
        <w:footnoteRef/>
      </w:r>
      <w:r w:rsidRPr="00B0741D">
        <w:rPr>
          <w:rFonts w:ascii="Calibri" w:hAnsi="Calibri" w:cs="Calibri"/>
          <w:lang w:val="es-ES"/>
        </w:rPr>
        <w:t xml:space="preserve"> </w:t>
      </w:r>
      <w:r w:rsidRPr="00B0741D">
        <w:rPr>
          <w:rFonts w:ascii="Calibri" w:hAnsi="Calibri" w:cs="Calibri"/>
          <w:i/>
          <w:iCs/>
          <w:lang w:val="es-ES"/>
        </w:rPr>
        <w:t xml:space="preserve">Casado Coca </w:t>
      </w:r>
      <w:r w:rsidRPr="00B0741D">
        <w:rPr>
          <w:rFonts w:ascii="Calibri" w:hAnsi="Calibri" w:cs="Calibri"/>
          <w:lang w:val="es-ES"/>
        </w:rPr>
        <w:t xml:space="preserve">(n 61); </w:t>
      </w:r>
      <w:r w:rsidRPr="00B0741D">
        <w:rPr>
          <w:rFonts w:ascii="Calibri" w:hAnsi="Calibri" w:cs="Calibri"/>
          <w:i/>
          <w:iCs/>
          <w:lang w:val="es-ES"/>
        </w:rPr>
        <w:t xml:space="preserve">Markt Intern </w:t>
      </w:r>
      <w:r w:rsidRPr="00B0741D">
        <w:rPr>
          <w:rFonts w:ascii="Calibri" w:hAnsi="Calibri" w:cs="Calibri"/>
          <w:lang w:val="es-ES"/>
        </w:rPr>
        <w:t xml:space="preserve">(n 61). </w:t>
      </w:r>
    </w:p>
  </w:footnote>
  <w:footnote w:id="65">
    <w:p w14:paraId="61D92B23" w14:textId="3A66F1E6"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Dor v Romania</w:t>
      </w:r>
      <w:r w:rsidRPr="00B0741D">
        <w:rPr>
          <w:rFonts w:ascii="Calibri" w:hAnsi="Calibri" w:cs="Calibri"/>
        </w:rPr>
        <w:t xml:space="preserve"> App no 55153/12 (ECtHR, 25 August 2015).</w:t>
      </w:r>
    </w:p>
  </w:footnote>
  <w:footnote w:id="66">
    <w:p w14:paraId="01708E19" w14:textId="7217969E"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ibid [42].</w:t>
      </w:r>
    </w:p>
  </w:footnote>
  <w:footnote w:id="67">
    <w:p w14:paraId="749C7BE4" w14:textId="4CA81862"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This argument has also been explored by Geiger and Pontes (n 13) 21–22.</w:t>
      </w:r>
    </w:p>
  </w:footnote>
  <w:footnote w:id="68">
    <w:p w14:paraId="72E8110B" w14:textId="4F693AFB"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There are no precedents from the ECtHR or the CJEU to this effect. We can, however, find two precedents in German case law where the use of marks in an advertising context was deemed to constitute mixed expression and, thus, was afforded reinforced protection under the German Constitution as political speech: </w:t>
      </w:r>
      <w:r w:rsidRPr="00B0741D">
        <w:rPr>
          <w:rFonts w:ascii="Calibri" w:hAnsi="Calibri" w:cs="Calibri"/>
          <w:i/>
          <w:iCs/>
        </w:rPr>
        <w:t>Benetton II</w:t>
      </w:r>
      <w:r w:rsidRPr="00B0741D">
        <w:rPr>
          <w:rFonts w:ascii="Calibri" w:hAnsi="Calibri" w:cs="Calibri"/>
        </w:rPr>
        <w:t xml:space="preserve"> BVerfG 107, 275 (11 March 2003); </w:t>
      </w:r>
      <w:r w:rsidRPr="00B0741D">
        <w:rPr>
          <w:rFonts w:ascii="Calibri" w:hAnsi="Calibri" w:cs="Calibri"/>
          <w:i/>
          <w:iCs/>
        </w:rPr>
        <w:t>Benetton I</w:t>
      </w:r>
      <w:r w:rsidRPr="00B0741D">
        <w:rPr>
          <w:rFonts w:ascii="Calibri" w:hAnsi="Calibri" w:cs="Calibri"/>
        </w:rPr>
        <w:t xml:space="preserve"> BVerfGE 102, 347 (12 December 2000). </w:t>
      </w:r>
    </w:p>
  </w:footnote>
  <w:footnote w:id="69">
    <w:p w14:paraId="32DE44D6" w14:textId="20A23D7A"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EUTMR, art 4; TMD, Art 3 (emphasis added).</w:t>
      </w:r>
    </w:p>
  </w:footnote>
  <w:footnote w:id="70">
    <w:p w14:paraId="7E75FFB1" w14:textId="3D6E04F2"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The ability of contemporary trade marks to convey very diverse meanings and, thus, to perform functions other than source-identification has been widely acknowledged in the literature and case law</w:t>
      </w:r>
      <w:r w:rsidR="0027427E">
        <w:rPr>
          <w:rFonts w:ascii="Calibri" w:hAnsi="Calibri" w:cs="Calibri"/>
        </w:rPr>
        <w:t>. See, amongst ot</w:t>
      </w:r>
      <w:r w:rsidR="00D152E1">
        <w:rPr>
          <w:rFonts w:ascii="Calibri" w:hAnsi="Calibri" w:cs="Calibri"/>
        </w:rPr>
        <w:t>hers,</w:t>
      </w:r>
      <w:r w:rsidRPr="00B0741D">
        <w:rPr>
          <w:rFonts w:ascii="Calibri" w:hAnsi="Calibri" w:cs="Calibri"/>
        </w:rPr>
        <w:t xml:space="preserve"> Jerre B Swann, ‘An Interdisciplinary Approach to Brand Strength’ [2006] TMR 943; David A Aaker, Matt Reback and Jerre B Swann, ‘Trademarks and Marketing’ (2001) 91 TMR 787; Alex Kozinski, ‘Trademarks Unplugged’ (1993) 68 NYU L Rev 960. </w:t>
      </w:r>
    </w:p>
  </w:footnote>
  <w:footnote w:id="71">
    <w:p w14:paraId="66C3B505" w14:textId="37117FC9"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The Oxford English Dictionary &lt;www.oxforddictionaries.com&gt; accessed 30 April 2020.</w:t>
      </w:r>
    </w:p>
  </w:footnote>
  <w:footnote w:id="72">
    <w:p w14:paraId="4B28D016" w14:textId="2C655CB0"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lang w:val="en-US"/>
        </w:rPr>
        <w:t xml:space="preserve">ibid. </w:t>
      </w:r>
    </w:p>
  </w:footnote>
  <w:footnote w:id="73">
    <w:p w14:paraId="7B1BFEC6" w14:textId="77777777"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ibid. </w:t>
      </w:r>
    </w:p>
  </w:footnote>
  <w:footnote w:id="74">
    <w:p w14:paraId="01D389A8" w14:textId="1D088857"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Bayer Co Inc v United Drug Co,</w:t>
      </w:r>
      <w:r w:rsidRPr="00B0741D">
        <w:rPr>
          <w:rFonts w:ascii="Calibri" w:hAnsi="Calibri" w:cs="Calibri"/>
        </w:rPr>
        <w:t xml:space="preserve"> 272 F. 505 (SDNY 1921).</w:t>
      </w:r>
    </w:p>
  </w:footnote>
  <w:footnote w:id="75">
    <w:p w14:paraId="3AD6D256" w14:textId="294B2C1B"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495/2005-G, Jebaraj Kenneth</w:t>
      </w:r>
      <w:r w:rsidRPr="00B0741D">
        <w:rPr>
          <w:rFonts w:ascii="Calibri" w:hAnsi="Calibri" w:cs="Calibri"/>
        </w:rPr>
        <w:t xml:space="preserve"> (n 4) [15].</w:t>
      </w:r>
    </w:p>
  </w:footnote>
  <w:footnote w:id="76">
    <w:p w14:paraId="0E93E008" w14:textId="0BAA0B70"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lang w:val="en-US"/>
        </w:rPr>
        <w:t>See, discussing the role that trade mark protection can play in promoting the development of enriched meanings of trade marked signs</w:t>
      </w:r>
      <w:r w:rsidR="00D152E1">
        <w:rPr>
          <w:rFonts w:ascii="Calibri" w:hAnsi="Calibri" w:cs="Calibri"/>
          <w:lang w:val="en-US"/>
        </w:rPr>
        <w:t>,</w:t>
      </w:r>
      <w:r w:rsidR="00983F62">
        <w:rPr>
          <w:rFonts w:ascii="Calibri" w:hAnsi="Calibri" w:cs="Calibri"/>
          <w:lang w:val="en-US"/>
        </w:rPr>
        <w:t xml:space="preserve"> </w:t>
      </w:r>
      <w:r w:rsidRPr="00B0741D">
        <w:rPr>
          <w:rFonts w:ascii="Calibri" w:hAnsi="Calibri" w:cs="Calibri"/>
        </w:rPr>
        <w:t xml:space="preserve">Martin Senftleben, ‘Free Signs and Free Use – How to Offer Room for Freedom of Expression within the Trademark System’ in Christophe Geiger (ed), </w:t>
      </w:r>
      <w:r w:rsidRPr="00B0741D">
        <w:rPr>
          <w:rFonts w:ascii="Calibri" w:hAnsi="Calibri" w:cs="Calibri"/>
          <w:i/>
          <w:iCs/>
        </w:rPr>
        <w:t>Research Handbook on Human Rights and Intellectual Property</w:t>
      </w:r>
      <w:r w:rsidRPr="00B0741D">
        <w:rPr>
          <w:rFonts w:ascii="Calibri" w:hAnsi="Calibri" w:cs="Calibri"/>
        </w:rPr>
        <w:t xml:space="preserve"> (Edward Elgar 2015) 356–57; Jason Bosland, ‘The Culture of Trade Marks: An Alternative Cultural Theory Perspective’ [2005] Media &amp; Arts L Rev 99, 111; Megan Richardson, ‘Trade Marks and Language’ [2004] Sydney Law Review 193, 212–13.</w:t>
      </w:r>
    </w:p>
  </w:footnote>
  <w:footnote w:id="77">
    <w:p w14:paraId="1834AB9A" w14:textId="1FEE7065"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French Connection </w:t>
      </w:r>
      <w:r w:rsidRPr="00B0741D">
        <w:rPr>
          <w:rFonts w:ascii="Calibri" w:hAnsi="Calibri" w:cs="Calibri"/>
        </w:rPr>
        <w:t xml:space="preserve">(n 5); </w:t>
      </w:r>
      <w:r w:rsidRPr="00B0741D">
        <w:rPr>
          <w:rFonts w:ascii="Calibri" w:hAnsi="Calibri" w:cs="Calibri"/>
          <w:i/>
          <w:iCs/>
        </w:rPr>
        <w:t>Ghazilian</w:t>
      </w:r>
      <w:r w:rsidRPr="00B0741D">
        <w:rPr>
          <w:rFonts w:ascii="Calibri" w:hAnsi="Calibri" w:cs="Calibri"/>
        </w:rPr>
        <w:t xml:space="preserve"> (n 4); this has also been noted by Griffiths (n 13) 442,448–49. </w:t>
      </w:r>
    </w:p>
  </w:footnote>
  <w:footnote w:id="78">
    <w:p w14:paraId="5B14AAD4" w14:textId="42164BF8"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R 2804/2014-5, Square Enix </w:t>
      </w:r>
      <w:r w:rsidRPr="00B0741D">
        <w:rPr>
          <w:rFonts w:ascii="Calibri" w:hAnsi="Calibri" w:cs="Calibri"/>
        </w:rPr>
        <w:t xml:space="preserve">(n 4) [10]; </w:t>
      </w:r>
      <w:r w:rsidRPr="00B0741D">
        <w:rPr>
          <w:rFonts w:ascii="Calibri" w:hAnsi="Calibri" w:cs="Calibri"/>
          <w:i/>
          <w:iCs/>
        </w:rPr>
        <w:t>R 168/2011-1, Türpitz</w:t>
      </w:r>
      <w:r w:rsidRPr="00B0741D">
        <w:rPr>
          <w:rFonts w:ascii="Calibri" w:hAnsi="Calibri" w:cs="Calibri"/>
        </w:rPr>
        <w:t xml:space="preserve"> (n 4) [12]; </w:t>
      </w:r>
      <w:r w:rsidRPr="00B0741D">
        <w:rPr>
          <w:rFonts w:ascii="Calibri" w:hAnsi="Calibri" w:cs="Calibri"/>
          <w:i/>
          <w:iCs/>
        </w:rPr>
        <w:t>R 495/2005-G, Jebaraj Kenneth</w:t>
      </w:r>
      <w:r w:rsidRPr="00B0741D">
        <w:rPr>
          <w:rFonts w:ascii="Calibri" w:hAnsi="Calibri" w:cs="Calibri"/>
        </w:rPr>
        <w:t xml:space="preserve"> (n 4) [13]; see also Griffiths (n 13) 429. </w:t>
      </w:r>
    </w:p>
  </w:footnote>
  <w:footnote w:id="79">
    <w:p w14:paraId="3641AFD5" w14:textId="6C6D2F60"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French Connection </w:t>
      </w:r>
      <w:r w:rsidRPr="00B0741D">
        <w:rPr>
          <w:rFonts w:ascii="Calibri" w:hAnsi="Calibri" w:cs="Calibri"/>
        </w:rPr>
        <w:t>(n 5) [56].</w:t>
      </w:r>
    </w:p>
  </w:footnote>
  <w:footnote w:id="80">
    <w:p w14:paraId="1103536D" w14:textId="14AEF1FB"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lang w:val="en-US"/>
        </w:rPr>
        <w:t xml:space="preserve"> </w:t>
      </w:r>
      <w:r w:rsidRPr="00B0741D">
        <w:rPr>
          <w:rFonts w:ascii="Calibri" w:hAnsi="Calibri" w:cs="Calibri"/>
          <w:noProof/>
          <w:lang w:val="en-US"/>
        </w:rPr>
        <w:t>ibid [57].</w:t>
      </w:r>
    </w:p>
  </w:footnote>
  <w:footnote w:id="81">
    <w:p w14:paraId="51DDC4E9" w14:textId="33BF5E40"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lang w:val="en-US"/>
        </w:rPr>
        <w:t xml:space="preserve"> </w:t>
      </w:r>
      <w:r w:rsidRPr="00B0741D">
        <w:rPr>
          <w:rFonts w:ascii="Calibri" w:hAnsi="Calibri" w:cs="Calibri"/>
          <w:i/>
          <w:iCs/>
          <w:lang w:val="en-US"/>
        </w:rPr>
        <w:t xml:space="preserve">Case T-417/10, Federico Cortés </w:t>
      </w:r>
      <w:r w:rsidRPr="00B0741D">
        <w:rPr>
          <w:rFonts w:ascii="Calibri" w:hAnsi="Calibri" w:cs="Calibri"/>
        </w:rPr>
        <w:t>(n 4) [26] (author’s translation from Spanish).</w:t>
      </w:r>
    </w:p>
  </w:footnote>
  <w:footnote w:id="82">
    <w:p w14:paraId="4AB2510C" w14:textId="095B5367" w:rsidR="00F21CD4" w:rsidRPr="00B0741D" w:rsidRDefault="00F21CD4" w:rsidP="00B0741D">
      <w:pPr>
        <w:pStyle w:val="FootnoteText"/>
        <w:jc w:val="both"/>
        <w:rPr>
          <w:rFonts w:ascii="Calibri" w:hAnsi="Calibri" w:cs="Calibri"/>
          <w:lang w:val="en-E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R 2205/2015-5, Constantin Film Produktion </w:t>
      </w:r>
      <w:r w:rsidRPr="00B0741D">
        <w:rPr>
          <w:rFonts w:ascii="Calibri" w:hAnsi="Calibri" w:cs="Calibri"/>
        </w:rPr>
        <w:t xml:space="preserve">(n 38) [15]; </w:t>
      </w:r>
      <w:r w:rsidRPr="00B0741D">
        <w:rPr>
          <w:rFonts w:ascii="Calibri" w:hAnsi="Calibri" w:cs="Calibri"/>
          <w:i/>
          <w:iCs/>
        </w:rPr>
        <w:t>R-793/2014-2, Ung Cancer</w:t>
      </w:r>
      <w:r w:rsidRPr="00B0741D">
        <w:rPr>
          <w:rFonts w:ascii="Calibri" w:hAnsi="Calibri" w:cs="Calibri"/>
        </w:rPr>
        <w:t xml:space="preserve"> (n 3) [24]; </w:t>
      </w:r>
      <w:r w:rsidRPr="00B0741D">
        <w:rPr>
          <w:rFonts w:ascii="Calibri" w:hAnsi="Calibri" w:cs="Calibri"/>
          <w:i/>
          <w:iCs/>
        </w:rPr>
        <w:t xml:space="preserve">Case T-54/13, Efag </w:t>
      </w:r>
      <w:r w:rsidRPr="00B0741D">
        <w:rPr>
          <w:rFonts w:ascii="Calibri" w:hAnsi="Calibri" w:cs="Calibri"/>
        </w:rPr>
        <w:t xml:space="preserve">(n 4) [44]; </w:t>
      </w:r>
      <w:r w:rsidRPr="00B0741D">
        <w:rPr>
          <w:rFonts w:ascii="Calibri" w:hAnsi="Calibri" w:cs="Calibri"/>
          <w:i/>
          <w:iCs/>
        </w:rPr>
        <w:t xml:space="preserve">R 168/2011-1, Türpitz </w:t>
      </w:r>
      <w:r w:rsidRPr="00B0741D">
        <w:rPr>
          <w:rFonts w:ascii="Calibri" w:hAnsi="Calibri" w:cs="Calibri"/>
        </w:rPr>
        <w:t xml:space="preserve">(n 4) [15]. This is still the position of the EUIPO as per its latest Examination Guidelines of early February 2020 (i.e. prior to the CJEU’s decision in </w:t>
      </w:r>
      <w:r w:rsidRPr="00B0741D">
        <w:rPr>
          <w:rFonts w:ascii="Calibri" w:hAnsi="Calibri" w:cs="Calibri"/>
          <w:i/>
          <w:iCs/>
        </w:rPr>
        <w:t>Constantin Film Produktion</w:t>
      </w:r>
      <w:r w:rsidRPr="00B0741D">
        <w:rPr>
          <w:rFonts w:ascii="Calibri" w:hAnsi="Calibri" w:cs="Calibri"/>
        </w:rPr>
        <w:t xml:space="preserve">). EUIPO Examination Guidelines of 01 February 2020 (Part </w:t>
      </w:r>
      <w:r w:rsidRPr="00B0741D">
        <w:rPr>
          <w:rFonts w:ascii="Calibri" w:hAnsi="Calibri" w:cs="Calibri"/>
          <w:lang w:val="en-ES"/>
        </w:rPr>
        <w:t>B, Section 4, Chapter 7</w:t>
      </w:r>
      <w:r w:rsidRPr="00B0741D">
        <w:rPr>
          <w:rFonts w:ascii="Calibri" w:hAnsi="Calibri" w:cs="Calibri"/>
          <w:lang w:val="en-US"/>
        </w:rPr>
        <w:t xml:space="preserve">.1) </w:t>
      </w:r>
      <w:r w:rsidRPr="00B0741D">
        <w:rPr>
          <w:rFonts w:ascii="Calibri" w:hAnsi="Calibri" w:cs="Calibri"/>
        </w:rPr>
        <w:t>&lt;</w:t>
      </w:r>
      <w:r w:rsidRPr="00B0741D">
        <w:rPr>
          <w:rFonts w:ascii="Calibri" w:hAnsi="Calibri" w:cs="Calibri"/>
          <w:lang w:val="en-ES"/>
        </w:rPr>
        <w:t>https://guidelines.euipo.europa.eu/1803468/1787908/trade-mark-guidelines/1-general-remarks</w:t>
      </w:r>
      <w:r w:rsidRPr="00B0741D">
        <w:rPr>
          <w:rFonts w:ascii="Calibri" w:hAnsi="Calibri" w:cs="Calibri"/>
        </w:rPr>
        <w:t>&gt; accessed 28 May 2020.</w:t>
      </w:r>
    </w:p>
  </w:footnote>
  <w:footnote w:id="83">
    <w:p w14:paraId="2652AF8D" w14:textId="0CB4D718" w:rsidR="00F21CD4" w:rsidRPr="00B0741D" w:rsidRDefault="00F21CD4" w:rsidP="00B0741D">
      <w:pPr>
        <w:jc w:val="both"/>
        <w:rPr>
          <w:rFonts w:ascii="Calibri" w:hAnsi="Calibri" w:cs="Calibri"/>
          <w:sz w:val="20"/>
          <w:szCs w:val="20"/>
        </w:rPr>
      </w:pPr>
      <w:r w:rsidRPr="00B0741D">
        <w:rPr>
          <w:rStyle w:val="FootnoteReference"/>
          <w:rFonts w:ascii="Calibri" w:hAnsi="Calibri" w:cs="Calibri"/>
          <w:sz w:val="20"/>
          <w:szCs w:val="20"/>
        </w:rPr>
        <w:footnoteRef/>
      </w:r>
      <w:r w:rsidRPr="00B0741D">
        <w:rPr>
          <w:rFonts w:ascii="Calibri" w:hAnsi="Calibri" w:cs="Calibri"/>
          <w:sz w:val="20"/>
          <w:szCs w:val="20"/>
        </w:rPr>
        <w:t xml:space="preserve"> </w:t>
      </w:r>
      <w:r w:rsidRPr="00B0741D">
        <w:rPr>
          <w:rFonts w:ascii="Calibri" w:hAnsi="Calibri" w:cs="Calibri"/>
          <w:i/>
          <w:iCs/>
          <w:sz w:val="20"/>
          <w:szCs w:val="20"/>
        </w:rPr>
        <w:t xml:space="preserve">Case C-240/18, Constantin Film </w:t>
      </w:r>
      <w:r w:rsidRPr="00B0741D">
        <w:rPr>
          <w:rFonts w:ascii="Calibri" w:hAnsi="Calibri" w:cs="Calibri"/>
          <w:i/>
          <w:iCs/>
          <w:sz w:val="20"/>
          <w:szCs w:val="20"/>
          <w:lang w:val="en-US"/>
        </w:rPr>
        <w:t xml:space="preserve">Produktion </w:t>
      </w:r>
      <w:r w:rsidRPr="00B0741D">
        <w:rPr>
          <w:rFonts w:ascii="Calibri" w:hAnsi="Calibri" w:cs="Calibri"/>
          <w:sz w:val="20"/>
          <w:szCs w:val="20"/>
        </w:rPr>
        <w:t xml:space="preserve">(n 5) Opinion of AG Bobek [47]; </w:t>
      </w:r>
      <w:r w:rsidRPr="00B0741D">
        <w:rPr>
          <w:rFonts w:ascii="Calibri" w:hAnsi="Calibri" w:cs="Calibri"/>
          <w:i/>
          <w:iCs/>
          <w:sz w:val="20"/>
          <w:szCs w:val="20"/>
        </w:rPr>
        <w:t xml:space="preserve">R 2244/2016-2, Brexit Drinks </w:t>
      </w:r>
      <w:r w:rsidRPr="00B0741D">
        <w:rPr>
          <w:rFonts w:ascii="Calibri" w:hAnsi="Calibri" w:cs="Calibri"/>
          <w:sz w:val="20"/>
          <w:szCs w:val="20"/>
        </w:rPr>
        <w:t xml:space="preserve">(n 8) [25]-[35]; </w:t>
      </w:r>
      <w:r w:rsidRPr="00B0741D">
        <w:rPr>
          <w:rFonts w:ascii="Calibri" w:hAnsi="Calibri" w:cs="Calibri"/>
          <w:i/>
          <w:iCs/>
          <w:sz w:val="20"/>
          <w:szCs w:val="20"/>
        </w:rPr>
        <w:t xml:space="preserve">R 519/2015-4, Josef </w:t>
      </w:r>
      <w:r w:rsidRPr="00B0741D">
        <w:rPr>
          <w:rFonts w:ascii="Calibri" w:hAnsi="Calibri" w:cs="Calibri"/>
          <w:i/>
          <w:iCs/>
          <w:sz w:val="20"/>
          <w:szCs w:val="20"/>
          <w:lang w:val="en-US"/>
        </w:rPr>
        <w:t>Reich</w:t>
      </w:r>
      <w:r w:rsidRPr="00B0741D">
        <w:rPr>
          <w:rFonts w:ascii="Calibri" w:hAnsi="Calibri" w:cs="Calibri"/>
          <w:sz w:val="20"/>
          <w:szCs w:val="20"/>
        </w:rPr>
        <w:t xml:space="preserve"> (n 5) [16]; </w:t>
      </w:r>
      <w:r w:rsidRPr="00B0741D">
        <w:rPr>
          <w:rFonts w:ascii="Calibri" w:hAnsi="Calibri" w:cs="Calibri"/>
          <w:i/>
          <w:iCs/>
          <w:sz w:val="20"/>
          <w:szCs w:val="20"/>
        </w:rPr>
        <w:t xml:space="preserve">R 2889/2014-4, Verlagsgruppe </w:t>
      </w:r>
      <w:r w:rsidRPr="00B0741D">
        <w:rPr>
          <w:rFonts w:ascii="Calibri" w:hAnsi="Calibri" w:cs="Calibri"/>
          <w:sz w:val="20"/>
          <w:szCs w:val="20"/>
        </w:rPr>
        <w:t xml:space="preserve">(n 48) [12]; </w:t>
      </w:r>
      <w:r w:rsidRPr="00B0741D">
        <w:rPr>
          <w:rFonts w:ascii="Calibri" w:hAnsi="Calibri" w:cs="Calibri"/>
          <w:i/>
          <w:iCs/>
          <w:sz w:val="20"/>
          <w:szCs w:val="20"/>
        </w:rPr>
        <w:t xml:space="preserve">French Connection </w:t>
      </w:r>
      <w:r w:rsidRPr="00B0741D">
        <w:rPr>
          <w:rFonts w:ascii="Calibri" w:hAnsi="Calibri" w:cs="Calibri"/>
          <w:sz w:val="20"/>
          <w:szCs w:val="20"/>
        </w:rPr>
        <w:t xml:space="preserve">(n 5) [60(3)]; </w:t>
      </w:r>
      <w:r w:rsidRPr="00B0741D">
        <w:rPr>
          <w:rFonts w:ascii="Calibri" w:hAnsi="Calibri" w:cs="Calibri"/>
          <w:i/>
          <w:iCs/>
          <w:sz w:val="20"/>
          <w:szCs w:val="20"/>
        </w:rPr>
        <w:t xml:space="preserve">Basic </w:t>
      </w:r>
      <w:r w:rsidRPr="00B0741D">
        <w:rPr>
          <w:rFonts w:ascii="Calibri" w:hAnsi="Calibri" w:cs="Calibri"/>
          <w:sz w:val="20"/>
          <w:szCs w:val="20"/>
        </w:rPr>
        <w:t xml:space="preserve">(n 4) [27]; </w:t>
      </w:r>
      <w:r w:rsidRPr="00B0741D">
        <w:rPr>
          <w:rFonts w:ascii="Calibri" w:hAnsi="Calibri" w:cs="Calibri"/>
          <w:i/>
          <w:iCs/>
          <w:sz w:val="20"/>
          <w:szCs w:val="20"/>
        </w:rPr>
        <w:t xml:space="preserve">Scranage </w:t>
      </w:r>
      <w:r w:rsidRPr="00B0741D">
        <w:rPr>
          <w:rFonts w:ascii="Calibri" w:hAnsi="Calibri" w:cs="Calibri"/>
          <w:sz w:val="20"/>
          <w:szCs w:val="20"/>
        </w:rPr>
        <w:t>(n 4) [7],[8]</w:t>
      </w:r>
      <w:r w:rsidRPr="00B0741D">
        <w:rPr>
          <w:rFonts w:ascii="Calibri" w:hAnsi="Calibri" w:cs="Calibri"/>
          <w:sz w:val="20"/>
          <w:szCs w:val="20"/>
          <w:lang w:val="en-US"/>
        </w:rPr>
        <w:t>,</w:t>
      </w:r>
      <w:r w:rsidRPr="00B0741D">
        <w:rPr>
          <w:rFonts w:ascii="Calibri" w:hAnsi="Calibri" w:cs="Calibri"/>
          <w:sz w:val="20"/>
          <w:szCs w:val="20"/>
        </w:rPr>
        <w:t xml:space="preserve">[11]. </w:t>
      </w:r>
      <w:r w:rsidRPr="00B0741D">
        <w:rPr>
          <w:rFonts w:ascii="Calibri" w:hAnsi="Calibri" w:cs="Calibri"/>
          <w:sz w:val="20"/>
          <w:szCs w:val="20"/>
          <w:lang w:val="en-GB"/>
        </w:rPr>
        <w:t xml:space="preserve">The lack of consensus as to the role that freedom of expression ought to play in the registration context has also been echoed by trade mark scholars. Arguing in favour of Article 10 ECHR being implicated in the registration context, see Bonadio (n 13) 56; Teresa Scassa, ‘Antisocial Trademarks’ (2013) 103 TMR 1172, 1190–92. </w:t>
      </w:r>
      <w:r w:rsidRPr="00B0741D">
        <w:rPr>
          <w:rFonts w:ascii="Calibri" w:hAnsi="Calibri" w:cs="Calibri"/>
          <w:sz w:val="20"/>
          <w:szCs w:val="20"/>
        </w:rPr>
        <w:t>By contrast,</w:t>
      </w:r>
      <w:r w:rsidRPr="00B0741D">
        <w:rPr>
          <w:rFonts w:ascii="Calibri" w:hAnsi="Calibri" w:cs="Calibri"/>
          <w:sz w:val="20"/>
          <w:szCs w:val="20"/>
          <w:lang w:val="en-US"/>
        </w:rPr>
        <w:t xml:space="preserve"> Kapff, Griffiths and </w:t>
      </w:r>
      <w:r w:rsidRPr="00B0741D">
        <w:rPr>
          <w:rFonts w:ascii="Calibri" w:hAnsi="Calibri" w:cs="Calibri"/>
          <w:sz w:val="20"/>
          <w:szCs w:val="20"/>
        </w:rPr>
        <w:t>Ricolfi</w:t>
      </w:r>
      <w:r w:rsidRPr="00B0741D">
        <w:rPr>
          <w:rFonts w:ascii="Calibri" w:hAnsi="Calibri" w:cs="Calibri"/>
          <w:sz w:val="20"/>
          <w:szCs w:val="20"/>
          <w:lang w:val="en-US"/>
        </w:rPr>
        <w:t xml:space="preserve"> </w:t>
      </w:r>
      <w:r w:rsidRPr="00B0741D">
        <w:rPr>
          <w:rFonts w:ascii="Calibri" w:hAnsi="Calibri" w:cs="Calibri"/>
          <w:sz w:val="20"/>
          <w:szCs w:val="20"/>
        </w:rPr>
        <w:t xml:space="preserve">have argued that free speech can hardly be said to be curtailed as a result of refusals of registration, since applicants are still able to market their goods using the contentious sign. </w:t>
      </w:r>
      <w:r w:rsidRPr="00B0741D">
        <w:rPr>
          <w:rFonts w:ascii="Calibri" w:hAnsi="Calibri" w:cs="Calibri"/>
          <w:sz w:val="20"/>
          <w:szCs w:val="20"/>
          <w:lang w:val="en-GB"/>
        </w:rPr>
        <w:t xml:space="preserve">Philipp von Kapff, ‘Fundamental Rights in the Practice of the European Trade Mark and Designs Office (OHIM)’ in Christophe Geiger (ed), </w:t>
      </w:r>
      <w:r w:rsidRPr="00B0741D">
        <w:rPr>
          <w:rFonts w:ascii="Calibri" w:hAnsi="Calibri" w:cs="Calibri"/>
          <w:i/>
          <w:iCs/>
          <w:sz w:val="20"/>
          <w:szCs w:val="20"/>
          <w:lang w:val="en-GB"/>
        </w:rPr>
        <w:t>Research Handbook on Human Rights and Intellectual Property</w:t>
      </w:r>
      <w:r w:rsidRPr="00B0741D">
        <w:rPr>
          <w:rFonts w:ascii="Calibri" w:hAnsi="Calibri" w:cs="Calibri"/>
          <w:sz w:val="20"/>
          <w:szCs w:val="20"/>
          <w:lang w:val="en-GB"/>
        </w:rPr>
        <w:t xml:space="preserve"> (Edward Elgar 2015) 303; Griffiths (n 13) 448–49; Ricolfi (n 13) 471.</w:t>
      </w:r>
    </w:p>
  </w:footnote>
  <w:footnote w:id="84">
    <w:p w14:paraId="72A58FC0" w14:textId="5F1022A1"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T-232/10, Couture Tech </w:t>
      </w:r>
      <w:r w:rsidRPr="00B0741D">
        <w:rPr>
          <w:rFonts w:ascii="Calibri" w:hAnsi="Calibri" w:cs="Calibri"/>
        </w:rPr>
        <w:t>(n 20) [68]-[71]. This also seems to be the interpretation of the AG in</w:t>
      </w:r>
      <w:r w:rsidRPr="00B0741D">
        <w:rPr>
          <w:rFonts w:ascii="Calibri" w:hAnsi="Calibri" w:cs="Calibri"/>
          <w:i/>
          <w:iCs/>
        </w:rPr>
        <w:t xml:space="preserve"> Case C-240/18, Constantin Film </w:t>
      </w:r>
      <w:r w:rsidRPr="00B0741D">
        <w:rPr>
          <w:rFonts w:ascii="Calibri" w:hAnsi="Calibri" w:cs="Calibri"/>
        </w:rPr>
        <w:t>(n 5) Opinion of AG Bobek [51] &amp; [fn 24]. For a contrasting view, see Bonadio (n 13) 71.</w:t>
      </w:r>
    </w:p>
  </w:footnote>
  <w:footnote w:id="85">
    <w:p w14:paraId="6C6E56EE" w14:textId="090D5588"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T-232/10, Couture Tech </w:t>
      </w:r>
      <w:r w:rsidRPr="00B0741D">
        <w:rPr>
          <w:rFonts w:ascii="Calibri" w:hAnsi="Calibri" w:cs="Calibri"/>
        </w:rPr>
        <w:t>(n 20) [71] (emphasis added).</w:t>
      </w:r>
    </w:p>
  </w:footnote>
  <w:footnote w:id="86">
    <w:p w14:paraId="09FB87FE" w14:textId="37B85E5F"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R 495/2005-G, Jebaraj Kenneth </w:t>
      </w:r>
      <w:r w:rsidRPr="00B0741D">
        <w:rPr>
          <w:rFonts w:ascii="Calibri" w:hAnsi="Calibri" w:cs="Calibri"/>
        </w:rPr>
        <w:t>(n 4) [16]-[17]. See also, in almost identical terms</w:t>
      </w:r>
      <w:r w:rsidR="00D152E1">
        <w:rPr>
          <w:rFonts w:ascii="Calibri" w:hAnsi="Calibri" w:cs="Calibri"/>
        </w:rPr>
        <w:t>,</w:t>
      </w:r>
      <w:r w:rsidRPr="00B0741D">
        <w:rPr>
          <w:rFonts w:ascii="Calibri" w:hAnsi="Calibri" w:cs="Calibri"/>
        </w:rPr>
        <w:t xml:space="preserve"> </w:t>
      </w:r>
      <w:r w:rsidRPr="00B0741D">
        <w:rPr>
          <w:rFonts w:ascii="Calibri" w:hAnsi="Calibri" w:cs="Calibri"/>
          <w:i/>
          <w:iCs/>
        </w:rPr>
        <w:t>R 2804/2014-5, Square Enix</w:t>
      </w:r>
      <w:r w:rsidRPr="00B0741D">
        <w:rPr>
          <w:rFonts w:ascii="Calibri" w:hAnsi="Calibri" w:cs="Calibri"/>
        </w:rPr>
        <w:t xml:space="preserve"> (n 4) [11].</w:t>
      </w:r>
    </w:p>
  </w:footnote>
  <w:footnote w:id="87">
    <w:p w14:paraId="6F292623" w14:textId="5FD9F8EE"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495/2005-G, Jebaraj Kenneth</w:t>
      </w:r>
      <w:r w:rsidRPr="00B0741D">
        <w:rPr>
          <w:rFonts w:ascii="Calibri" w:hAnsi="Calibri" w:cs="Calibri"/>
        </w:rPr>
        <w:t xml:space="preserve"> (n 4) [14]-[15]. </w:t>
      </w:r>
    </w:p>
  </w:footnote>
  <w:footnote w:id="88">
    <w:p w14:paraId="06711964" w14:textId="1139AA5A"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lang w:val="en-US"/>
        </w:rPr>
        <w:t xml:space="preserve"> </w:t>
      </w:r>
      <w:r w:rsidRPr="00B0741D">
        <w:rPr>
          <w:rFonts w:ascii="Calibri" w:hAnsi="Calibri" w:cs="Calibri"/>
        </w:rPr>
        <w:t>ibid [24].</w:t>
      </w:r>
    </w:p>
  </w:footnote>
  <w:footnote w:id="89">
    <w:p w14:paraId="5D378F24" w14:textId="0A3C898A"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lang w:val="en-US"/>
        </w:rPr>
        <w:t xml:space="preserve"> </w:t>
      </w:r>
      <w:r w:rsidRPr="00B0741D">
        <w:rPr>
          <w:rFonts w:ascii="Calibri" w:hAnsi="Calibri" w:cs="Calibri"/>
          <w:i/>
          <w:iCs/>
        </w:rPr>
        <w:t xml:space="preserve">R 519/2015-4, Josef Reich </w:t>
      </w:r>
      <w:r w:rsidRPr="00B0741D">
        <w:rPr>
          <w:rFonts w:ascii="Calibri" w:hAnsi="Calibri" w:cs="Calibri"/>
        </w:rPr>
        <w:t xml:space="preserve">(n 5); </w:t>
      </w:r>
      <w:r w:rsidRPr="00B0741D">
        <w:rPr>
          <w:rFonts w:ascii="Calibri" w:hAnsi="Calibri" w:cs="Calibri"/>
          <w:i/>
          <w:iCs/>
        </w:rPr>
        <w:t xml:space="preserve">R 2889/2014-4, Verlagsgruppe </w:t>
      </w:r>
      <w:r w:rsidRPr="00B0741D">
        <w:rPr>
          <w:rFonts w:ascii="Calibri" w:hAnsi="Calibri" w:cs="Calibri"/>
        </w:rPr>
        <w:t xml:space="preserve">(n 48); </w:t>
      </w:r>
      <w:r w:rsidRPr="00B0741D">
        <w:rPr>
          <w:rFonts w:ascii="Calibri" w:hAnsi="Calibri" w:cs="Calibri"/>
          <w:i/>
          <w:iCs/>
        </w:rPr>
        <w:t>R 2804/2014-5, Square Enix</w:t>
      </w:r>
      <w:r w:rsidRPr="00B0741D">
        <w:rPr>
          <w:rFonts w:ascii="Calibri" w:hAnsi="Calibri" w:cs="Calibri"/>
        </w:rPr>
        <w:t xml:space="preserve"> (n 4); </w:t>
      </w:r>
      <w:r w:rsidRPr="00B0741D">
        <w:rPr>
          <w:rFonts w:ascii="Calibri" w:hAnsi="Calibri" w:cs="Calibri"/>
          <w:i/>
          <w:iCs/>
        </w:rPr>
        <w:t xml:space="preserve">Scranage </w:t>
      </w:r>
      <w:r w:rsidRPr="00B0741D">
        <w:rPr>
          <w:rFonts w:ascii="Calibri" w:hAnsi="Calibri" w:cs="Calibri"/>
        </w:rPr>
        <w:t xml:space="preserve">(n 4); </w:t>
      </w:r>
      <w:r w:rsidRPr="00B0741D">
        <w:rPr>
          <w:rFonts w:ascii="Calibri" w:hAnsi="Calibri" w:cs="Calibri"/>
          <w:i/>
          <w:iCs/>
        </w:rPr>
        <w:t xml:space="preserve">Basic </w:t>
      </w:r>
      <w:r w:rsidRPr="00B0741D">
        <w:rPr>
          <w:rFonts w:ascii="Calibri" w:hAnsi="Calibri" w:cs="Calibri"/>
        </w:rPr>
        <w:t>(n 4).</w:t>
      </w:r>
    </w:p>
  </w:footnote>
  <w:footnote w:id="90">
    <w:p w14:paraId="2416BEB4" w14:textId="7EC0C655"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2244/2016-2, Brexit Drinks</w:t>
      </w:r>
      <w:r w:rsidRPr="00B0741D">
        <w:rPr>
          <w:rFonts w:ascii="Calibri" w:hAnsi="Calibri" w:cs="Calibri"/>
        </w:rPr>
        <w:t xml:space="preserve"> (n 8).</w:t>
      </w:r>
    </w:p>
  </w:footnote>
  <w:footnote w:id="91">
    <w:p w14:paraId="266AEE26" w14:textId="77777777"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ibid [34].</w:t>
      </w:r>
    </w:p>
  </w:footnote>
  <w:footnote w:id="92">
    <w:p w14:paraId="77C80DFA" w14:textId="4485B772"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French Connection </w:t>
      </w:r>
      <w:r w:rsidRPr="00B0741D">
        <w:rPr>
          <w:rFonts w:ascii="Calibri" w:hAnsi="Calibri" w:cs="Calibri"/>
        </w:rPr>
        <w:t>(n 5) [89]-[90].</w:t>
      </w:r>
    </w:p>
  </w:footnote>
  <w:footnote w:id="93">
    <w:p w14:paraId="50CD2C80" w14:textId="704622A8"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Case C-240/18, Constantin Film Produktion</w:t>
      </w:r>
      <w:r w:rsidRPr="00B0741D">
        <w:rPr>
          <w:rFonts w:ascii="Calibri" w:hAnsi="Calibri" w:cs="Calibri"/>
        </w:rPr>
        <w:t xml:space="preserve"> (n 5) Opinion of AG Bobek [88]-[97].</w:t>
      </w:r>
    </w:p>
  </w:footnote>
  <w:footnote w:id="94">
    <w:p w14:paraId="058078CC" w14:textId="715246E0"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The existence of a causal link between the protection afforded by freedom of expression and the assessment of evidence in </w:t>
      </w:r>
      <w:r w:rsidRPr="00B0741D">
        <w:rPr>
          <w:rFonts w:ascii="Calibri" w:hAnsi="Calibri" w:cs="Calibri"/>
          <w:i/>
          <w:iCs/>
        </w:rPr>
        <w:t>French Connection</w:t>
      </w:r>
      <w:r w:rsidRPr="00B0741D">
        <w:rPr>
          <w:rFonts w:ascii="Calibri" w:hAnsi="Calibri" w:cs="Calibri"/>
        </w:rPr>
        <w:t xml:space="preserve"> and </w:t>
      </w:r>
      <w:r w:rsidRPr="00B0741D">
        <w:rPr>
          <w:rFonts w:ascii="Calibri" w:hAnsi="Calibri" w:cs="Calibri"/>
          <w:i/>
          <w:iCs/>
        </w:rPr>
        <w:t>Constantin Film Produktion</w:t>
      </w:r>
      <w:r w:rsidRPr="00B0741D">
        <w:rPr>
          <w:rFonts w:ascii="Calibri" w:hAnsi="Calibri" w:cs="Calibri"/>
        </w:rPr>
        <w:t xml:space="preserve"> may be further questioned by reference to other cases where decision-makers have assessed evidence of a sign’s ability to cause outrage amongst the relevant public despite freedom of expression not being implicated. In </w:t>
      </w:r>
      <w:r w:rsidRPr="00B0741D">
        <w:rPr>
          <w:rFonts w:ascii="Calibri" w:hAnsi="Calibri" w:cs="Calibri"/>
          <w:i/>
          <w:iCs/>
        </w:rPr>
        <w:t>Couture Tech</w:t>
      </w:r>
      <w:r w:rsidRPr="00B0741D">
        <w:rPr>
          <w:rFonts w:ascii="Calibri" w:hAnsi="Calibri" w:cs="Calibri"/>
        </w:rPr>
        <w:t xml:space="preserve">, the appellant had </w:t>
      </w:r>
      <w:r w:rsidRPr="00B0741D">
        <w:rPr>
          <w:rFonts w:ascii="Calibri" w:hAnsi="Calibri" w:cs="Calibri"/>
          <w:color w:val="000000" w:themeColor="text1"/>
        </w:rPr>
        <w:t xml:space="preserve">failed to persuade the GC that the EUIPO’s refusal of registration would interfere with its right to freedom of expression. The Court, nonetheless, relied </w:t>
      </w:r>
      <w:r w:rsidRPr="00B0741D">
        <w:rPr>
          <w:rFonts w:ascii="Calibri" w:hAnsi="Calibri" w:cs="Calibri"/>
        </w:rPr>
        <w:t xml:space="preserve">on the provisions of the Hungarian Criminal Code banning the use of Soviet symbols </w:t>
      </w:r>
      <w:r w:rsidRPr="00B0741D">
        <w:rPr>
          <w:rFonts w:ascii="Calibri" w:hAnsi="Calibri" w:cs="Calibri"/>
          <w:lang w:val="en-US"/>
        </w:rPr>
        <w:t>‘</w:t>
      </w:r>
      <w:r w:rsidRPr="00B0741D">
        <w:rPr>
          <w:rFonts w:ascii="Calibri" w:hAnsi="Calibri" w:cs="Calibri"/>
          <w:lang w:val="en-ES"/>
        </w:rPr>
        <w:t>as evidence of facts which enabled it to assess the perception of symbols connected with the former USSR by the relevant public within th</w:t>
      </w:r>
      <w:r w:rsidRPr="00B0741D">
        <w:rPr>
          <w:rFonts w:ascii="Calibri" w:hAnsi="Calibri" w:cs="Calibri"/>
          <w:lang w:val="en-US"/>
        </w:rPr>
        <w:t>[at]</w:t>
      </w:r>
      <w:r w:rsidRPr="00B0741D">
        <w:rPr>
          <w:rFonts w:ascii="Calibri" w:hAnsi="Calibri" w:cs="Calibri"/>
          <w:lang w:val="en-ES"/>
        </w:rPr>
        <w:t xml:space="preserve"> Member State</w:t>
      </w:r>
      <w:r w:rsidRPr="00B0741D">
        <w:rPr>
          <w:rFonts w:ascii="Calibri" w:hAnsi="Calibri" w:cs="Calibri"/>
          <w:lang w:val="en-US"/>
        </w:rPr>
        <w:t xml:space="preserve">[…]’. </w:t>
      </w:r>
      <w:r w:rsidRPr="00B0741D">
        <w:rPr>
          <w:rFonts w:ascii="Calibri" w:hAnsi="Calibri" w:cs="Calibri"/>
          <w:i/>
          <w:iCs/>
        </w:rPr>
        <w:t xml:space="preserve">Case T-232/10, Couture Tech </w:t>
      </w:r>
      <w:r w:rsidRPr="00B0741D">
        <w:rPr>
          <w:rFonts w:ascii="Calibri" w:hAnsi="Calibri" w:cs="Calibri"/>
        </w:rPr>
        <w:t xml:space="preserve">(n 20) [37]. In </w:t>
      </w:r>
      <w:r w:rsidRPr="00B0741D">
        <w:rPr>
          <w:rFonts w:ascii="Calibri" w:hAnsi="Calibri" w:cs="Calibri"/>
          <w:i/>
          <w:iCs/>
        </w:rPr>
        <w:t>PAKI Logistics</w:t>
      </w:r>
      <w:r w:rsidRPr="00B0741D">
        <w:rPr>
          <w:rFonts w:ascii="Calibri" w:hAnsi="Calibri" w:cs="Calibri"/>
        </w:rPr>
        <w:t>, the appellant made no recourse to Article 10 ECHR upon challenging the validity of the EUIPO’s refusal to grant registration to the sign ‘P</w:t>
      </w:r>
      <w:r w:rsidR="003F5B72" w:rsidRPr="00B0741D">
        <w:rPr>
          <w:rFonts w:ascii="Calibri" w:hAnsi="Calibri" w:cs="Calibri"/>
        </w:rPr>
        <w:t>aki</w:t>
      </w:r>
      <w:r w:rsidRPr="00B0741D">
        <w:rPr>
          <w:rFonts w:ascii="Calibri" w:hAnsi="Calibri" w:cs="Calibri"/>
        </w:rPr>
        <w:t xml:space="preserve">’. And yet, in siding with the EUIPO, the GC engaged in detailed analysis of the evidence furnished by both parties of the sign’s ability to cause outrage amongst the English-speaking public. </w:t>
      </w:r>
      <w:r w:rsidRPr="00B0741D">
        <w:rPr>
          <w:rFonts w:ascii="Calibri" w:hAnsi="Calibri" w:cs="Calibri"/>
          <w:i/>
          <w:iCs/>
        </w:rPr>
        <w:t xml:space="preserve">Case T-526/09, PAKI Logistics </w:t>
      </w:r>
      <w:r w:rsidRPr="00B0741D">
        <w:rPr>
          <w:rFonts w:ascii="Calibri" w:hAnsi="Calibri" w:cs="Calibri"/>
        </w:rPr>
        <w:t xml:space="preserve">(n 4) [20]-[30]. </w:t>
      </w:r>
      <w:r w:rsidR="009D5522">
        <w:rPr>
          <w:rFonts w:ascii="Calibri" w:hAnsi="Calibri" w:cs="Calibri"/>
        </w:rPr>
        <w:t>It should also be noted that, i</w:t>
      </w:r>
      <w:r w:rsidRPr="00B0741D">
        <w:rPr>
          <w:rFonts w:ascii="Calibri" w:hAnsi="Calibri" w:cs="Calibri"/>
        </w:rPr>
        <w:t xml:space="preserve">n contrast with the decisions in </w:t>
      </w:r>
      <w:r w:rsidRPr="00B0741D">
        <w:rPr>
          <w:rFonts w:ascii="Calibri" w:hAnsi="Calibri" w:cs="Calibri"/>
          <w:i/>
          <w:iCs/>
        </w:rPr>
        <w:t>French Connection</w:t>
      </w:r>
      <w:r w:rsidRPr="00B0741D">
        <w:rPr>
          <w:rFonts w:ascii="Calibri" w:hAnsi="Calibri" w:cs="Calibri"/>
        </w:rPr>
        <w:t xml:space="preserve"> and </w:t>
      </w:r>
      <w:r w:rsidRPr="00B0741D">
        <w:rPr>
          <w:rFonts w:ascii="Calibri" w:hAnsi="Calibri" w:cs="Calibri"/>
          <w:i/>
          <w:iCs/>
        </w:rPr>
        <w:t>Constantin Film Produktion</w:t>
      </w:r>
      <w:r w:rsidRPr="00B0741D">
        <w:rPr>
          <w:rFonts w:ascii="Calibri" w:hAnsi="Calibri" w:cs="Calibri"/>
        </w:rPr>
        <w:t>, the GC did not give much weight to appellant’s claim that it had used the sign ‘P</w:t>
      </w:r>
      <w:r w:rsidR="003F5B72" w:rsidRPr="00B0741D">
        <w:rPr>
          <w:rFonts w:ascii="Calibri" w:hAnsi="Calibri" w:cs="Calibri"/>
        </w:rPr>
        <w:t>aki</w:t>
      </w:r>
      <w:r w:rsidRPr="00B0741D">
        <w:rPr>
          <w:rFonts w:ascii="Calibri" w:hAnsi="Calibri" w:cs="Calibri"/>
        </w:rPr>
        <w:t xml:space="preserve">’ extensively prior to registration without English-speaking consumers having raised any concerns. ibid [35]-[36]. This provides yet another example of inconsistent adjudication in Europe. This was also noted, in relation to </w:t>
      </w:r>
      <w:r w:rsidRPr="00B0741D">
        <w:rPr>
          <w:rFonts w:ascii="Calibri" w:hAnsi="Calibri" w:cs="Calibri"/>
          <w:i/>
          <w:iCs/>
        </w:rPr>
        <w:t>French Connection</w:t>
      </w:r>
      <w:r w:rsidRPr="00B0741D">
        <w:rPr>
          <w:rFonts w:ascii="Calibri" w:hAnsi="Calibri" w:cs="Calibri"/>
        </w:rPr>
        <w:t xml:space="preserve">, by </w:t>
      </w:r>
      <w:r w:rsidRPr="00B0741D">
        <w:rPr>
          <w:rFonts w:ascii="Calibri" w:hAnsi="Calibri" w:cs="Calibri"/>
          <w:noProof/>
        </w:rPr>
        <w:t>Snedden (n 13) 277.</w:t>
      </w:r>
    </w:p>
  </w:footnote>
  <w:footnote w:id="95">
    <w:p w14:paraId="111D1E90" w14:textId="748CD989"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 xml:space="preserve">(n 5) Opinion of AG Bobek [21], citing </w:t>
      </w:r>
      <w:r w:rsidRPr="00B0741D">
        <w:rPr>
          <w:rFonts w:ascii="Calibri" w:hAnsi="Calibri" w:cs="Calibri"/>
          <w:i/>
          <w:iCs/>
        </w:rPr>
        <w:t xml:space="preserve">Case T-69/17, Constantin Film Produktion </w:t>
      </w:r>
      <w:r w:rsidRPr="00B0741D">
        <w:rPr>
          <w:rFonts w:ascii="Calibri" w:hAnsi="Calibri" w:cs="Calibri"/>
        </w:rPr>
        <w:t>(n 23) [28]-[29].</w:t>
      </w:r>
    </w:p>
  </w:footnote>
  <w:footnote w:id="96">
    <w:p w14:paraId="252A2BEB" w14:textId="4FEBF81A" w:rsidR="00F21CD4" w:rsidRPr="00B0741D" w:rsidRDefault="00F21CD4" w:rsidP="00B0741D">
      <w:pPr>
        <w:pStyle w:val="FootnoteText"/>
        <w:jc w:val="both"/>
        <w:rPr>
          <w:rFonts w:ascii="Calibri" w:hAnsi="Calibri" w:cs="Calibri"/>
          <w:lang w:val="es-ES"/>
        </w:rPr>
      </w:pPr>
      <w:r w:rsidRPr="00B0741D">
        <w:rPr>
          <w:rStyle w:val="FootnoteReference"/>
          <w:rFonts w:ascii="Calibri" w:hAnsi="Calibri" w:cs="Calibri"/>
        </w:rPr>
        <w:footnoteRef/>
      </w:r>
      <w:r w:rsidRPr="00B0741D">
        <w:rPr>
          <w:rFonts w:ascii="Calibri" w:hAnsi="Calibri" w:cs="Calibri"/>
          <w:lang w:val="es-ES"/>
        </w:rPr>
        <w:t xml:space="preserve"> EUTMR, Recital 21; TMD, Recital 27.</w:t>
      </w:r>
    </w:p>
  </w:footnote>
  <w:footnote w:id="97">
    <w:p w14:paraId="5DE39349" w14:textId="7C216FBB" w:rsidR="00F21CD4" w:rsidRPr="00B0741D" w:rsidRDefault="00F21CD4" w:rsidP="00B0741D">
      <w:pPr>
        <w:pStyle w:val="FootnoteText"/>
        <w:jc w:val="both"/>
        <w:rPr>
          <w:rFonts w:ascii="Calibri" w:hAnsi="Calibri" w:cs="Calibri"/>
          <w:lang w:val="es-ES"/>
        </w:rPr>
      </w:pPr>
      <w:r w:rsidRPr="00B0741D">
        <w:rPr>
          <w:rStyle w:val="FootnoteReference"/>
          <w:rFonts w:ascii="Calibri" w:hAnsi="Calibri" w:cs="Calibri"/>
        </w:rPr>
        <w:footnoteRef/>
      </w:r>
      <w:r w:rsidRPr="00B0741D">
        <w:rPr>
          <w:rFonts w:ascii="Calibri" w:hAnsi="Calibri" w:cs="Calibri"/>
          <w:lang w:val="es-ES"/>
        </w:rPr>
        <w:t xml:space="preserve"> </w:t>
      </w:r>
      <w:r w:rsidRPr="00B0741D">
        <w:rPr>
          <w:rFonts w:ascii="Calibri" w:hAnsi="Calibri" w:cs="Calibri"/>
          <w:i/>
          <w:iCs/>
          <w:lang w:val="es-ES"/>
        </w:rPr>
        <w:t xml:space="preserve">Dor </w:t>
      </w:r>
      <w:r w:rsidRPr="00B0741D">
        <w:rPr>
          <w:rFonts w:ascii="Calibri" w:hAnsi="Calibri" w:cs="Calibri"/>
          <w:lang w:val="es-ES"/>
        </w:rPr>
        <w:t>(n 65).</w:t>
      </w:r>
    </w:p>
  </w:footnote>
  <w:footnote w:id="98">
    <w:p w14:paraId="7E964B35" w14:textId="45EDE0E5"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lang w:val="en-US"/>
        </w:rPr>
        <w:t xml:space="preserve"> </w:t>
      </w:r>
      <w:r w:rsidRPr="00B0741D">
        <w:rPr>
          <w:rFonts w:ascii="Calibri" w:hAnsi="Calibri" w:cs="Calibri"/>
          <w:i/>
          <w:iCs/>
        </w:rPr>
        <w:t>Case C-547/14, Philip Morris Brands SARL and Others v Secretary of State for Health</w:t>
      </w:r>
      <w:r w:rsidRPr="00B0741D">
        <w:rPr>
          <w:rFonts w:ascii="Calibri" w:hAnsi="Calibri" w:cs="Calibri"/>
        </w:rPr>
        <w:t xml:space="preserve"> (2016) EU:C:2016:325 Opinion of AG Kokott; </w:t>
      </w:r>
      <w:r w:rsidRPr="00B0741D">
        <w:rPr>
          <w:rFonts w:ascii="Calibri" w:hAnsi="Calibri" w:cs="Calibri"/>
          <w:i/>
          <w:iCs/>
        </w:rPr>
        <w:t>Case C-376/98 Germany v European Parliament</w:t>
      </w:r>
      <w:r w:rsidRPr="00B0741D">
        <w:rPr>
          <w:rFonts w:ascii="Calibri" w:hAnsi="Calibri" w:cs="Calibri"/>
        </w:rPr>
        <w:t xml:space="preserve"> (2000) ECR I-8419 Opinion of AG Fennelly.</w:t>
      </w:r>
    </w:p>
  </w:footnote>
  <w:footnote w:id="99">
    <w:p w14:paraId="66D01B79" w14:textId="407C43AC"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Case C-240/18, Constantin Film Produktion</w:t>
      </w:r>
      <w:r w:rsidRPr="00B0741D">
        <w:rPr>
          <w:rFonts w:ascii="Calibri" w:hAnsi="Calibri" w:cs="Calibri"/>
        </w:rPr>
        <w:t xml:space="preserve"> (n 5) Opinion of AG Bobek [57].</w:t>
      </w:r>
    </w:p>
  </w:footnote>
  <w:footnote w:id="100">
    <w:p w14:paraId="58BAEE76" w14:textId="37092FEA"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T</w:t>
      </w:r>
      <w:r w:rsidRPr="00B0741D">
        <w:rPr>
          <w:rFonts w:ascii="Calibri" w:hAnsi="Calibri" w:cs="Calibri"/>
          <w:lang w:val="en-ES"/>
        </w:rPr>
        <w:t>he GC’s finding (and even the AG’s opinion) may be difficult to reconcile with trade marks’ increasing role as cultural artefacts allowing individuals to pursue their preferred identity projects through expressive use of marks that are laden with meanings beyond source identification</w:t>
      </w:r>
      <w:r w:rsidRPr="00B0741D">
        <w:rPr>
          <w:rFonts w:ascii="Calibri" w:hAnsi="Calibri" w:cs="Calibri"/>
          <w:lang w:val="en-US"/>
        </w:rPr>
        <w:t xml:space="preserve">. </w:t>
      </w:r>
      <w:r w:rsidRPr="00B0741D">
        <w:rPr>
          <w:rFonts w:ascii="Calibri" w:hAnsi="Calibri" w:cs="Calibri"/>
        </w:rPr>
        <w:t xml:space="preserve">For further insights into this fascinating topic, see Dev S Gangjee, ‘Property in Brands’ in Helena Howe and Jonathan Griffiths (eds), </w:t>
      </w:r>
      <w:r w:rsidRPr="00B0741D">
        <w:rPr>
          <w:rFonts w:ascii="Calibri" w:hAnsi="Calibri" w:cs="Calibri"/>
          <w:i/>
          <w:iCs/>
        </w:rPr>
        <w:t>Concepts of Property in Intellectual Property Law</w:t>
      </w:r>
      <w:r w:rsidRPr="00B0741D">
        <w:rPr>
          <w:rFonts w:ascii="Calibri" w:hAnsi="Calibri" w:cs="Calibri"/>
        </w:rPr>
        <w:t xml:space="preserve"> (Cambridge University Press 2013); Bosland (n 76); Keith Aoki, ‘(Intellectual) Property and Sovereignty: Notes Toward a Cultural Geography of Authorship’ Stanford LR 1996; Rosemary J Coombe, ‘Objects of Property and Subjects to Politics: Intellectual Property Laws and Democratic Dialogue’ [1991] Texas LR 1853.</w:t>
      </w:r>
    </w:p>
  </w:footnote>
  <w:footnote w:id="101">
    <w:p w14:paraId="0922C7B2" w14:textId="7A3CE257"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(n 5) [38].</w:t>
      </w:r>
    </w:p>
  </w:footnote>
  <w:footnote w:id="102">
    <w:p w14:paraId="5009022B" w14:textId="0217B047"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ibid [39] (paraphrasing from the Opinion of AG Bobek [77]).</w:t>
      </w:r>
    </w:p>
  </w:footnote>
  <w:footnote w:id="103">
    <w:p w14:paraId="11087CB6" w14:textId="1C5EA63E"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lang w:val="en-US"/>
        </w:rPr>
        <w:t>ibid [39].</w:t>
      </w:r>
    </w:p>
  </w:footnote>
  <w:footnote w:id="104">
    <w:p w14:paraId="3BE3CA0F" w14:textId="31312299"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For a discussion of the difficulties that could potentially ensue from revocation of marks that become morally objectionable after registration, see Snedden (n 13) 278–79.</w:t>
      </w:r>
    </w:p>
  </w:footnote>
  <w:footnote w:id="105">
    <w:p w14:paraId="7D6EE999" w14:textId="76E82CD6"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EUTMR, Art 7(1)(d); TMD, Art 4(1)(d); UK TMA, s 3(1)(d).</w:t>
      </w:r>
    </w:p>
  </w:footnote>
  <w:footnote w:id="106">
    <w:p w14:paraId="38C967DB" w14:textId="5EC57318"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EUTMR, Arts 7(1)(b) and 7(3); TMD, Arts 4(1)(b) and 4(4); UK TMA, ss 3(1) and 3(1)(b).</w:t>
      </w:r>
    </w:p>
  </w:footnote>
  <w:footnote w:id="107">
    <w:p w14:paraId="292DF560" w14:textId="6CD10D4D"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Arguing against this view, an EUIPO BoA has held that ‘</w:t>
      </w:r>
      <w:r w:rsidRPr="00B0741D">
        <w:rPr>
          <w:rFonts w:ascii="Calibri" w:hAnsi="Calibri" w:cs="Calibri"/>
          <w:lang w:val="en-US"/>
        </w:rPr>
        <w:t>[w]</w:t>
      </w:r>
      <w:r w:rsidRPr="00B0741D">
        <w:rPr>
          <w:rFonts w:ascii="Calibri" w:hAnsi="Calibri" w:cs="Calibri"/>
          <w:lang w:val="en-ES"/>
        </w:rPr>
        <w:t>ords or acts which are contrary to the accepted principles of morality today can also be morally acceptable tomorrow. But such changes should not be promoted by trade mark law.</w:t>
      </w:r>
      <w:r w:rsidRPr="00B0741D">
        <w:rPr>
          <w:rFonts w:ascii="Calibri" w:hAnsi="Calibri" w:cs="Calibri"/>
          <w:lang w:val="en-US"/>
        </w:rPr>
        <w:t xml:space="preserve">’ </w:t>
      </w:r>
      <w:r w:rsidRPr="00B0741D">
        <w:rPr>
          <w:rFonts w:ascii="Calibri" w:hAnsi="Calibri" w:cs="Calibri"/>
          <w:i/>
          <w:iCs/>
        </w:rPr>
        <w:t>R 493/2012-1, EFAG Trade Mark Company GmbH ('F</w:t>
      </w:r>
      <w:r w:rsidR="003F5B72" w:rsidRPr="00B0741D">
        <w:rPr>
          <w:rFonts w:ascii="Calibri" w:hAnsi="Calibri" w:cs="Calibri"/>
          <w:i/>
          <w:iCs/>
        </w:rPr>
        <w:t>icken</w:t>
      </w:r>
      <w:r w:rsidRPr="00B0741D">
        <w:rPr>
          <w:rFonts w:ascii="Calibri" w:hAnsi="Calibri" w:cs="Calibri"/>
          <w:i/>
          <w:iCs/>
        </w:rPr>
        <w:t>’)</w:t>
      </w:r>
      <w:r w:rsidRPr="00B0741D">
        <w:rPr>
          <w:rFonts w:ascii="Calibri" w:hAnsi="Calibri" w:cs="Calibri"/>
        </w:rPr>
        <w:t xml:space="preserve"> 18 October 2012 (EUIPO Board of Appeal) [28].</w:t>
      </w:r>
      <w:r w:rsidRPr="00B0741D">
        <w:rPr>
          <w:rFonts w:ascii="Calibri" w:hAnsi="Calibri" w:cs="Calibri"/>
          <w:lang w:val="en-US"/>
        </w:rPr>
        <w:t xml:space="preserve"> The ability of this precedent to cast doubt on the meaning-reclaim argument proposed here is rather limited since the Board’s analysis was detached from the protection afforded to applicants under Article 10 ECHR. However, it serves to illustrate the skepticism with which this argument may be met by future decision-makers. </w:t>
      </w:r>
    </w:p>
  </w:footnote>
  <w:footnote w:id="108">
    <w:p w14:paraId="259E48F5" w14:textId="5B3432CE"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R 2804/2014-5, Square Enix </w:t>
      </w:r>
      <w:r w:rsidRPr="00B0741D">
        <w:rPr>
          <w:rFonts w:ascii="Calibri" w:hAnsi="Calibri" w:cs="Calibri"/>
        </w:rPr>
        <w:t>(n 4) [3].</w:t>
      </w:r>
    </w:p>
  </w:footnote>
  <w:footnote w:id="109">
    <w:p w14:paraId="4461B5B2" w14:textId="7C8DEF2F"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French Connection </w:t>
      </w:r>
      <w:r w:rsidRPr="00B0741D">
        <w:rPr>
          <w:rFonts w:ascii="Calibri" w:hAnsi="Calibri" w:cs="Calibri"/>
        </w:rPr>
        <w:t>(n 5) [88].</w:t>
      </w:r>
    </w:p>
  </w:footnote>
  <w:footnote w:id="110">
    <w:p w14:paraId="1AE88BFE" w14:textId="6C1DE2EB"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lang w:val="en-US"/>
        </w:rPr>
        <w:t xml:space="preserve"> </w:t>
      </w:r>
      <w:r w:rsidRPr="00B0741D">
        <w:rPr>
          <w:rFonts w:ascii="Calibri" w:hAnsi="Calibri" w:cs="Calibri"/>
          <w:i/>
          <w:iCs/>
          <w:lang w:val="en-US"/>
        </w:rPr>
        <w:t xml:space="preserve">Case T-1/17, La Mafia </w:t>
      </w:r>
      <w:r w:rsidRPr="00B0741D">
        <w:rPr>
          <w:rFonts w:ascii="Calibri" w:hAnsi="Calibri" w:cs="Calibri"/>
          <w:lang w:val="en-US"/>
        </w:rPr>
        <w:t xml:space="preserve">(n 28) [40]; </w:t>
      </w:r>
      <w:r w:rsidRPr="00B0741D">
        <w:rPr>
          <w:rFonts w:ascii="Calibri" w:hAnsi="Calibri" w:cs="Calibri"/>
          <w:i/>
          <w:iCs/>
          <w:lang w:val="en-US"/>
        </w:rPr>
        <w:t>Case T-140/02, Sportwetten GmbH v OHIM</w:t>
      </w:r>
      <w:r w:rsidRPr="00B0741D">
        <w:rPr>
          <w:rFonts w:ascii="Calibri" w:hAnsi="Calibri" w:cs="Calibri"/>
          <w:lang w:val="en-US"/>
        </w:rPr>
        <w:t xml:space="preserve"> (2005) ECLI:EU:T:2005:312 [28].</w:t>
      </w:r>
    </w:p>
  </w:footnote>
  <w:footnote w:id="111">
    <w:p w14:paraId="2865D766" w14:textId="356C02CA"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R 2244/2016-2, Brexit Drinks </w:t>
      </w:r>
      <w:r w:rsidRPr="00B0741D">
        <w:rPr>
          <w:rFonts w:ascii="Calibri" w:hAnsi="Calibri" w:cs="Calibri"/>
        </w:rPr>
        <w:t>(n 8) [13].</w:t>
      </w:r>
    </w:p>
  </w:footnote>
  <w:footnote w:id="112">
    <w:p w14:paraId="24915A36" w14:textId="58A31D8A"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R 519/2015-4, Josef Reich</w:t>
      </w:r>
      <w:r w:rsidRPr="00B0741D">
        <w:rPr>
          <w:rFonts w:ascii="Calibri" w:hAnsi="Calibri" w:cs="Calibri"/>
        </w:rPr>
        <w:t xml:space="preserve"> (n 5) [17] (emphasis added).</w:t>
      </w:r>
    </w:p>
  </w:footnote>
  <w:footnote w:id="113">
    <w:p w14:paraId="250920B5" w14:textId="6C995446"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lang w:val="en-US"/>
        </w:rPr>
        <w:t>See text to n [68].</w:t>
      </w:r>
    </w:p>
  </w:footnote>
  <w:footnote w:id="114">
    <w:p w14:paraId="541FA040" w14:textId="2EDE81B8"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Although their discussion is detached from processes of reclaim in meaning, Geiger and Pontes also believe that refusals of registration of signs that fall under mixed expression will be more strictly scrutinised by European decision-makers. They are also of the view that this argument will only prosper where a sign clearly conveys a political message, as with ‘</w:t>
      </w:r>
      <w:r w:rsidR="003F5B72" w:rsidRPr="00B0741D">
        <w:rPr>
          <w:rFonts w:ascii="Calibri" w:hAnsi="Calibri" w:cs="Calibri"/>
        </w:rPr>
        <w:t>Jewish</w:t>
      </w:r>
      <w:r w:rsidRPr="00B0741D">
        <w:rPr>
          <w:rFonts w:ascii="Calibri" w:hAnsi="Calibri" w:cs="Calibri"/>
        </w:rPr>
        <w:t xml:space="preserve"> M</w:t>
      </w:r>
      <w:r w:rsidR="003F5B72" w:rsidRPr="00B0741D">
        <w:rPr>
          <w:rFonts w:ascii="Calibri" w:hAnsi="Calibri" w:cs="Calibri"/>
        </w:rPr>
        <w:t>onkeys</w:t>
      </w:r>
      <w:r w:rsidRPr="00B0741D">
        <w:rPr>
          <w:rFonts w:ascii="Calibri" w:hAnsi="Calibri" w:cs="Calibri"/>
        </w:rPr>
        <w:t>’. Geiger and Pontes (n 13) 21–22.</w:t>
      </w:r>
    </w:p>
  </w:footnote>
  <w:footnote w:id="115">
    <w:p w14:paraId="19EFA334" w14:textId="6FA2FDE5"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(n 5) [45].</w:t>
      </w:r>
    </w:p>
  </w:footnote>
  <w:footnote w:id="116">
    <w:p w14:paraId="0572A592" w14:textId="77777777"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lang w:val="en-US"/>
        </w:rPr>
        <w:t>ibid [68].</w:t>
      </w:r>
    </w:p>
  </w:footnote>
  <w:footnote w:id="117">
    <w:p w14:paraId="0C6DEEC5" w14:textId="12801F27"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ibid [50].</w:t>
      </w:r>
    </w:p>
  </w:footnote>
  <w:footnote w:id="118">
    <w:p w14:paraId="79806403" w14:textId="5E1154EF"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ibid [43].</w:t>
      </w:r>
    </w:p>
  </w:footnote>
  <w:footnote w:id="119">
    <w:p w14:paraId="5A3BE463" w14:textId="445A6647"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ibid [53].</w:t>
      </w:r>
    </w:p>
  </w:footnote>
  <w:footnote w:id="120">
    <w:p w14:paraId="2EDDB629" w14:textId="77777777"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lang w:val="en-US"/>
        </w:rPr>
        <w:t>ibid [68].</w:t>
      </w:r>
    </w:p>
  </w:footnote>
  <w:footnote w:id="121">
    <w:p w14:paraId="56F48BC3" w14:textId="1B4851FA"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lang w:val="en-US"/>
        </w:rPr>
        <w:t>ibid [51].</w:t>
      </w:r>
    </w:p>
  </w:footnote>
  <w:footnote w:id="122">
    <w:p w14:paraId="139A95AC" w14:textId="557EFC1A"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ibid [65].</w:t>
      </w:r>
    </w:p>
  </w:footnote>
  <w:footnote w:id="123">
    <w:p w14:paraId="5B423F48" w14:textId="5AAEFE04"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ibid [69].</w:t>
      </w:r>
    </w:p>
  </w:footnote>
  <w:footnote w:id="124">
    <w:p w14:paraId="39DC50F4" w14:textId="0A9BE923"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ibid [42].</w:t>
      </w:r>
    </w:p>
  </w:footnote>
  <w:footnote w:id="125">
    <w:p w14:paraId="2B01158F" w14:textId="044416E0"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ibid Opinion of AG Bobek [79]. See, in similar terms, the decision of the EUIPO BoA in </w:t>
      </w:r>
      <w:r w:rsidRPr="00B0741D">
        <w:rPr>
          <w:rFonts w:ascii="Calibri" w:hAnsi="Calibri" w:cs="Calibri"/>
          <w:i/>
          <w:iCs/>
        </w:rPr>
        <w:t>R 803/2016-1, Application of La Mafia Franchises SL ('L</w:t>
      </w:r>
      <w:r w:rsidR="008825F7" w:rsidRPr="00B0741D">
        <w:rPr>
          <w:rFonts w:ascii="Calibri" w:hAnsi="Calibri" w:cs="Calibri"/>
          <w:i/>
          <w:iCs/>
        </w:rPr>
        <w:t>a Mafia se Sienta a la Mesa’</w:t>
      </w:r>
      <w:r w:rsidRPr="00B0741D">
        <w:rPr>
          <w:rFonts w:ascii="Calibri" w:hAnsi="Calibri" w:cs="Calibri"/>
          <w:i/>
          <w:iCs/>
        </w:rPr>
        <w:t>)</w:t>
      </w:r>
      <w:r w:rsidRPr="00B0741D">
        <w:rPr>
          <w:rFonts w:ascii="Calibri" w:hAnsi="Calibri" w:cs="Calibri"/>
        </w:rPr>
        <w:t xml:space="preserve"> 27 October 2016 (EUIPO Board of Appeal) [20] &amp; [22].</w:t>
      </w:r>
    </w:p>
  </w:footnote>
  <w:footnote w:id="126">
    <w:p w14:paraId="26C289D2" w14:textId="5AF32A82"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(n 5) Opinion of AG Bobek [80].</w:t>
      </w:r>
    </w:p>
  </w:footnote>
  <w:footnote w:id="127">
    <w:p w14:paraId="09924A0A" w14:textId="109B6547"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For a detailed discussion of the divergent approaches to consumer surveys adopted in different European jurisdictions, see Alexander Bayer and others, ‘The Value and Treatment of Survey Evidence in Different Jurisdictions’ (2010) 100 TMR 1373. As regards the courts of England and Wales, see also </w:t>
      </w:r>
      <w:r w:rsidRPr="00B0741D">
        <w:rPr>
          <w:rFonts w:ascii="Calibri" w:hAnsi="Calibri" w:cs="Calibri"/>
          <w:i/>
          <w:iCs/>
        </w:rPr>
        <w:t>Marks and Spencer v Interflora</w:t>
      </w:r>
      <w:r w:rsidRPr="00B0741D">
        <w:rPr>
          <w:rFonts w:ascii="Calibri" w:hAnsi="Calibri" w:cs="Calibri"/>
        </w:rPr>
        <w:t xml:space="preserve"> [2012] EWCA Civ 1501.</w:t>
      </w:r>
    </w:p>
  </w:footnote>
  <w:footnote w:id="128">
    <w:p w14:paraId="4680B9FD" w14:textId="3DB2A1DB"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(n 5) [83].</w:t>
      </w:r>
    </w:p>
  </w:footnote>
  <w:footnote w:id="129">
    <w:p w14:paraId="6717B28D" w14:textId="19DB48D6"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lang w:val="en-US"/>
        </w:rPr>
        <w:t xml:space="preserve"> </w:t>
      </w:r>
      <w:r w:rsidRPr="00B0741D">
        <w:rPr>
          <w:rFonts w:ascii="Calibri" w:hAnsi="Calibri" w:cs="Calibri"/>
        </w:rPr>
        <w:t>i</w:t>
      </w:r>
      <w:r w:rsidRPr="00B0741D">
        <w:rPr>
          <w:rFonts w:ascii="Calibri" w:hAnsi="Calibri" w:cs="Calibri"/>
          <w:lang w:val="en-US"/>
        </w:rPr>
        <w:t>bid [56] (emphasis added).</w:t>
      </w:r>
    </w:p>
  </w:footnote>
  <w:footnote w:id="130">
    <w:p w14:paraId="383E32C3" w14:textId="661B34ED"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lang w:val="en-US"/>
        </w:rPr>
        <w:t xml:space="preserve"> Cheryl Payne and Julius Stobbs, ‘Trade Mark Case: FACK JU GÖHTE – Constantin Film Produktion v EUIPO’ (</w:t>
      </w:r>
      <w:r w:rsidRPr="00B0741D">
        <w:rPr>
          <w:rFonts w:ascii="Calibri" w:hAnsi="Calibri" w:cs="Calibri"/>
          <w:i/>
          <w:iCs/>
          <w:lang w:val="en-US"/>
        </w:rPr>
        <w:t>Kluwer Trademark Blog</w:t>
      </w:r>
      <w:r w:rsidRPr="00B0741D">
        <w:rPr>
          <w:rFonts w:ascii="Calibri" w:hAnsi="Calibri" w:cs="Calibri"/>
          <w:lang w:val="en-US"/>
        </w:rPr>
        <w:t>, 19 March 2020) &lt;http://trademarkblog.kluweriplaw.com/2020/03/19/trade-mark-case-fack-ju-gohte-constantin-film-produktion-v-euipo/&gt; accessed 29 April 2020; Jorge Llevat, ‘Las Buenas Costumbres y El Registro de La Marca FACK JU GÖHTE &lt;https://blog.cuatrecasas.com/propiedad-intelectual/buenas-costumbres-registro-marca-fack-ju-gohte/&gt; accessed 29 April 2020; Łukasz Żelechowski, ‘CJEU Rules on Absolute Ground Concerning Marks Contrary to Accepted Principles of Morality’ [2020] JIPLP.</w:t>
      </w:r>
    </w:p>
  </w:footnote>
  <w:footnote w:id="131">
    <w:p w14:paraId="77C27E7C" w14:textId="2520B7B1"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Mouvement Raëlien </w:t>
      </w:r>
      <w:r w:rsidRPr="00B0741D">
        <w:rPr>
          <w:rFonts w:ascii="Calibri" w:hAnsi="Calibri" w:cs="Calibri"/>
        </w:rPr>
        <w:t>(n 61) [61]. See also, in similar terms</w:t>
      </w:r>
      <w:r w:rsidR="00D152E1">
        <w:rPr>
          <w:rFonts w:ascii="Calibri" w:hAnsi="Calibri" w:cs="Calibri"/>
        </w:rPr>
        <w:t>,</w:t>
      </w:r>
      <w:r w:rsidRPr="00B0741D">
        <w:rPr>
          <w:rFonts w:ascii="Calibri" w:hAnsi="Calibri" w:cs="Calibri"/>
        </w:rPr>
        <w:t xml:space="preserve"> </w:t>
      </w:r>
      <w:r w:rsidRPr="00B0741D">
        <w:rPr>
          <w:rFonts w:ascii="Calibri" w:hAnsi="Calibri" w:cs="Calibri"/>
          <w:i/>
          <w:iCs/>
        </w:rPr>
        <w:t xml:space="preserve">Dor </w:t>
      </w:r>
      <w:r w:rsidRPr="00B0741D">
        <w:rPr>
          <w:rFonts w:ascii="Calibri" w:hAnsi="Calibri" w:cs="Calibri"/>
        </w:rPr>
        <w:t xml:space="preserve">(n 65) [51]; </w:t>
      </w:r>
      <w:r w:rsidRPr="00B0741D">
        <w:rPr>
          <w:rFonts w:ascii="Calibri" w:hAnsi="Calibri" w:cs="Calibri"/>
          <w:i/>
          <w:iCs/>
        </w:rPr>
        <w:t xml:space="preserve">Casado Coca </w:t>
      </w:r>
      <w:r w:rsidRPr="00B0741D">
        <w:rPr>
          <w:rFonts w:ascii="Calibri" w:hAnsi="Calibri" w:cs="Calibri"/>
        </w:rPr>
        <w:t xml:space="preserve">(n 61) [50]; </w:t>
      </w:r>
      <w:r w:rsidRPr="00B0741D">
        <w:rPr>
          <w:rFonts w:ascii="Calibri" w:hAnsi="Calibri" w:cs="Calibri"/>
          <w:i/>
          <w:iCs/>
        </w:rPr>
        <w:t xml:space="preserve">Markt Intern </w:t>
      </w:r>
      <w:r w:rsidRPr="00B0741D">
        <w:rPr>
          <w:rFonts w:ascii="Calibri" w:hAnsi="Calibri" w:cs="Calibri"/>
        </w:rPr>
        <w:t>(n 61) [33].</w:t>
      </w:r>
    </w:p>
  </w:footnote>
  <w:footnote w:id="132">
    <w:p w14:paraId="7B7B5F71" w14:textId="0B9DF2DB"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Markt Intern </w:t>
      </w:r>
      <w:r w:rsidRPr="00B0741D">
        <w:rPr>
          <w:rFonts w:ascii="Calibri" w:hAnsi="Calibri" w:cs="Calibri"/>
        </w:rPr>
        <w:t>(n 61) [33].</w:t>
      </w:r>
    </w:p>
  </w:footnote>
  <w:footnote w:id="133">
    <w:p w14:paraId="470970C1" w14:textId="0C99DEA4"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ibid [37]; </w:t>
      </w:r>
      <w:r w:rsidRPr="00B0741D">
        <w:rPr>
          <w:rFonts w:ascii="Calibri" w:hAnsi="Calibri" w:cs="Calibri"/>
          <w:i/>
          <w:iCs/>
        </w:rPr>
        <w:t>Groppera Radio AG and Others v Switzerland</w:t>
      </w:r>
      <w:r w:rsidRPr="00B0741D">
        <w:rPr>
          <w:rFonts w:ascii="Calibri" w:hAnsi="Calibri" w:cs="Calibri"/>
        </w:rPr>
        <w:t xml:space="preserve"> App no 10890/84 (ECtHR, 28 March 1990) [73].</w:t>
      </w:r>
    </w:p>
  </w:footnote>
  <w:footnote w:id="134">
    <w:p w14:paraId="50377BF2" w14:textId="04BD810D"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Casado Coca </w:t>
      </w:r>
      <w:r w:rsidRPr="00B0741D">
        <w:rPr>
          <w:rFonts w:ascii="Calibri" w:hAnsi="Calibri" w:cs="Calibri"/>
        </w:rPr>
        <w:t xml:space="preserve">(n 61) [51]; </w:t>
      </w:r>
      <w:r w:rsidRPr="00B0741D">
        <w:rPr>
          <w:rFonts w:ascii="Calibri" w:hAnsi="Calibri" w:cs="Calibri"/>
          <w:i/>
          <w:iCs/>
        </w:rPr>
        <w:t xml:space="preserve">Mouvement Raëlien </w:t>
      </w:r>
      <w:r w:rsidRPr="00B0741D">
        <w:rPr>
          <w:rFonts w:ascii="Calibri" w:hAnsi="Calibri" w:cs="Calibri"/>
        </w:rPr>
        <w:t>(n 61) Dissenting Opinion of Judges Sajó, Lazarova Trajkovska and Vučinić [II].</w:t>
      </w:r>
    </w:p>
  </w:footnote>
  <w:footnote w:id="135">
    <w:p w14:paraId="7B9AD8F7" w14:textId="750C7290"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Markt Intern </w:t>
      </w:r>
      <w:r w:rsidRPr="00B0741D">
        <w:rPr>
          <w:rFonts w:ascii="Calibri" w:hAnsi="Calibri" w:cs="Calibri"/>
        </w:rPr>
        <w:t>(n 61) [34].</w:t>
      </w:r>
    </w:p>
  </w:footnote>
  <w:footnote w:id="136">
    <w:p w14:paraId="43FE6AC1" w14:textId="3A816331"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Dor </w:t>
      </w:r>
      <w:r w:rsidRPr="00B0741D">
        <w:rPr>
          <w:rFonts w:ascii="Calibri" w:hAnsi="Calibri" w:cs="Calibri"/>
        </w:rPr>
        <w:t xml:space="preserve">(n 65) [49]; </w:t>
      </w:r>
      <w:r w:rsidRPr="00B0741D">
        <w:rPr>
          <w:rFonts w:ascii="Calibri" w:hAnsi="Calibri" w:cs="Calibri"/>
          <w:i/>
          <w:iCs/>
        </w:rPr>
        <w:t xml:space="preserve">Mouvement Raëlien </w:t>
      </w:r>
      <w:r w:rsidRPr="00B0741D">
        <w:rPr>
          <w:rFonts w:ascii="Calibri" w:hAnsi="Calibri" w:cs="Calibri"/>
        </w:rPr>
        <w:t xml:space="preserve">(n 61) [63]. </w:t>
      </w:r>
    </w:p>
  </w:footnote>
  <w:footnote w:id="137">
    <w:p w14:paraId="12524C27" w14:textId="7333B7C5"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As regards interferences with commercial expression, see </w:t>
      </w:r>
      <w:r w:rsidRPr="00B0741D">
        <w:rPr>
          <w:rFonts w:ascii="Calibri" w:hAnsi="Calibri" w:cs="Calibri"/>
          <w:i/>
          <w:iCs/>
        </w:rPr>
        <w:t xml:space="preserve">Mouvement Raëlien </w:t>
      </w:r>
      <w:r w:rsidRPr="00B0741D">
        <w:rPr>
          <w:rFonts w:ascii="Calibri" w:hAnsi="Calibri" w:cs="Calibri"/>
        </w:rPr>
        <w:t xml:space="preserve">(n 61) [63]; </w:t>
      </w:r>
      <w:r w:rsidRPr="00B0741D">
        <w:rPr>
          <w:rFonts w:ascii="Calibri" w:hAnsi="Calibri" w:cs="Calibri"/>
          <w:i/>
          <w:iCs/>
        </w:rPr>
        <w:t xml:space="preserve">Casado Coca </w:t>
      </w:r>
      <w:r w:rsidRPr="00B0741D">
        <w:rPr>
          <w:rFonts w:ascii="Calibri" w:hAnsi="Calibri" w:cs="Calibri"/>
        </w:rPr>
        <w:t>(n 61) [55].</w:t>
      </w:r>
    </w:p>
  </w:footnote>
  <w:footnote w:id="138">
    <w:p w14:paraId="0CC74FDA" w14:textId="2F8D43E2" w:rsidR="00F21CD4" w:rsidRPr="00B0741D" w:rsidRDefault="00F21CD4" w:rsidP="00B0741D">
      <w:pPr>
        <w:pStyle w:val="FootnoteText"/>
        <w:jc w:val="both"/>
        <w:rPr>
          <w:rFonts w:ascii="Calibri" w:hAnsi="Calibri" w:cs="Calibri"/>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Mouvement Raëlien </w:t>
      </w:r>
      <w:r w:rsidRPr="00B0741D">
        <w:rPr>
          <w:rFonts w:ascii="Calibri" w:hAnsi="Calibri" w:cs="Calibri"/>
        </w:rPr>
        <w:t xml:space="preserve">(n 61) Dissenting Opinion of Judges Sajó, Lazarova Trajkovska and Vučinić [V]. A similar criticism was put forth in </w:t>
      </w:r>
      <w:r w:rsidRPr="00B0741D">
        <w:rPr>
          <w:rFonts w:ascii="Calibri" w:hAnsi="Calibri" w:cs="Calibri"/>
          <w:i/>
          <w:iCs/>
        </w:rPr>
        <w:t>Lautsi and Others v Italy</w:t>
      </w:r>
      <w:r w:rsidRPr="00B0741D">
        <w:rPr>
          <w:rFonts w:ascii="Calibri" w:hAnsi="Calibri" w:cs="Calibri"/>
        </w:rPr>
        <w:t xml:space="preserve"> Ap no 30814/06 (ECtHR, 18 March 2011) Dissenting Opinion of Judge Malinverni, joined by Judge Kalaydjieva [1].</w:t>
      </w:r>
    </w:p>
  </w:footnote>
  <w:footnote w:id="139">
    <w:p w14:paraId="00D1BDD0" w14:textId="6E690CA0"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Dor </w:t>
      </w:r>
      <w:r w:rsidRPr="00B0741D">
        <w:rPr>
          <w:rFonts w:ascii="Calibri" w:hAnsi="Calibri" w:cs="Calibri"/>
        </w:rPr>
        <w:t xml:space="preserve">(n 65) [51]; </w:t>
      </w:r>
      <w:r w:rsidRPr="00B0741D">
        <w:rPr>
          <w:rFonts w:ascii="Calibri" w:hAnsi="Calibri" w:cs="Calibri"/>
          <w:i/>
          <w:iCs/>
        </w:rPr>
        <w:t xml:space="preserve">Murphy </w:t>
      </w:r>
      <w:r w:rsidRPr="00B0741D">
        <w:rPr>
          <w:rFonts w:ascii="Calibri" w:hAnsi="Calibri" w:cs="Calibri"/>
        </w:rPr>
        <w:t xml:space="preserve">(n 61) [67]; </w:t>
      </w:r>
      <w:r w:rsidRPr="00B0741D">
        <w:rPr>
          <w:rFonts w:ascii="Calibri" w:hAnsi="Calibri" w:cs="Calibri"/>
          <w:i/>
          <w:iCs/>
        </w:rPr>
        <w:t>Wingrove v The United Kingdom</w:t>
      </w:r>
      <w:r w:rsidRPr="00B0741D">
        <w:rPr>
          <w:rFonts w:ascii="Calibri" w:hAnsi="Calibri" w:cs="Calibri"/>
        </w:rPr>
        <w:t xml:space="preserve"> App no 17419/90 (ECtHR, 25 November 1996) [58]. </w:t>
      </w:r>
    </w:p>
  </w:footnote>
  <w:footnote w:id="140">
    <w:p w14:paraId="4C455A1D" w14:textId="2F99EBB3"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lang w:val="en-US"/>
        </w:rPr>
        <w:t xml:space="preserve">For a thought-provoking account of why the empirical test of morality adopted by the CJEU cannot, in abstract terms, be said to effect a ‘necessary’ encroachment on applicants’ freedom of expression, see </w:t>
      </w:r>
      <w:r w:rsidRPr="00B0741D">
        <w:rPr>
          <w:rFonts w:ascii="Calibri" w:hAnsi="Calibri" w:cs="Calibri"/>
        </w:rPr>
        <w:t>Endrich-Laimböck and Schenk (n 13).</w:t>
      </w:r>
      <w:r w:rsidRPr="00B0741D">
        <w:rPr>
          <w:rFonts w:ascii="Calibri" w:hAnsi="Calibri" w:cs="Calibri"/>
          <w:lang w:val="en-US"/>
        </w:rPr>
        <w:t xml:space="preserve"> </w:t>
      </w:r>
    </w:p>
  </w:footnote>
  <w:footnote w:id="141">
    <w:p w14:paraId="70D833B4" w14:textId="2262FB3C"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Basic</w:t>
      </w:r>
      <w:r w:rsidRPr="00B0741D">
        <w:rPr>
          <w:rFonts w:ascii="Calibri" w:hAnsi="Calibri" w:cs="Calibri"/>
        </w:rPr>
        <w:t xml:space="preserve"> (n 4) [6].</w:t>
      </w:r>
    </w:p>
  </w:footnote>
  <w:footnote w:id="142">
    <w:p w14:paraId="3144834B" w14:textId="4A4CEB49"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Case C-240/18, Constantin Film Produktion </w:t>
      </w:r>
      <w:r w:rsidRPr="00B0741D">
        <w:rPr>
          <w:rFonts w:ascii="Calibri" w:hAnsi="Calibri" w:cs="Calibri"/>
        </w:rPr>
        <w:t>(n 5) Opinion of AG Bobek [53].</w:t>
      </w:r>
      <w:r w:rsidRPr="00B0741D">
        <w:rPr>
          <w:rFonts w:ascii="Calibri" w:hAnsi="Calibri" w:cs="Calibri"/>
          <w:lang w:val="en-US"/>
        </w:rPr>
        <w:t xml:space="preserve"> This is one of the paragraphs of the AG’s opinion (i.e. [47]-[57]) that the CJEU alludes to in its decision upon </w:t>
      </w:r>
      <w:r w:rsidRPr="00B0741D">
        <w:rPr>
          <w:rFonts w:ascii="Calibri" w:hAnsi="Calibri" w:cs="Calibri"/>
        </w:rPr>
        <w:t>acknowledgement that speech is implicated in Article 7(1)(f) EUTMR. See quotation to n [129]. It seems rather far-fetched, however, to argue that the CJEU, by referring to several paragraphs of AG Bobek’s opinion, wished to adopt his arguments in their entirety.</w:t>
      </w:r>
    </w:p>
  </w:footnote>
  <w:footnote w:id="143">
    <w:p w14:paraId="67B8F571" w14:textId="2229143F"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See discussion in n [12]. </w:t>
      </w:r>
    </w:p>
  </w:footnote>
  <w:footnote w:id="144">
    <w:p w14:paraId="120FEFCE" w14:textId="6135848B"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 xml:space="preserve">Scranage </w:t>
      </w:r>
      <w:r w:rsidRPr="00B0741D">
        <w:rPr>
          <w:rFonts w:ascii="Calibri" w:hAnsi="Calibri" w:cs="Calibri"/>
        </w:rPr>
        <w:t xml:space="preserve">(n 4); </w:t>
      </w:r>
      <w:r w:rsidRPr="00B0741D">
        <w:rPr>
          <w:rFonts w:ascii="Calibri" w:hAnsi="Calibri" w:cs="Calibri"/>
          <w:i/>
          <w:iCs/>
        </w:rPr>
        <w:t xml:space="preserve">French Connection </w:t>
      </w:r>
      <w:r w:rsidRPr="00B0741D">
        <w:rPr>
          <w:rFonts w:ascii="Calibri" w:hAnsi="Calibri" w:cs="Calibri"/>
        </w:rPr>
        <w:t xml:space="preserve">(n 5); </w:t>
      </w:r>
      <w:r w:rsidRPr="00B0741D">
        <w:rPr>
          <w:rFonts w:ascii="Calibri" w:hAnsi="Calibri" w:cs="Calibri"/>
          <w:i/>
          <w:iCs/>
        </w:rPr>
        <w:t xml:space="preserve">Basic </w:t>
      </w:r>
      <w:r w:rsidRPr="00B0741D">
        <w:rPr>
          <w:rFonts w:ascii="Calibri" w:hAnsi="Calibri" w:cs="Calibri"/>
        </w:rPr>
        <w:t xml:space="preserve">(n 4); </w:t>
      </w:r>
      <w:r w:rsidRPr="00B0741D">
        <w:rPr>
          <w:rFonts w:ascii="Calibri" w:hAnsi="Calibri" w:cs="Calibri"/>
          <w:i/>
          <w:iCs/>
        </w:rPr>
        <w:t xml:space="preserve">Ghazilian </w:t>
      </w:r>
      <w:r w:rsidRPr="00B0741D">
        <w:rPr>
          <w:rFonts w:ascii="Calibri" w:hAnsi="Calibri" w:cs="Calibri"/>
        </w:rPr>
        <w:t>(n 4).</w:t>
      </w:r>
    </w:p>
  </w:footnote>
  <w:footnote w:id="145">
    <w:p w14:paraId="7101A1CF" w14:textId="26FA6FD4" w:rsidR="00F21CD4" w:rsidRPr="00B0741D" w:rsidRDefault="00F21CD4" w:rsidP="00B0741D">
      <w:pPr>
        <w:pStyle w:val="FootnoteText"/>
        <w:jc w:val="both"/>
        <w:rPr>
          <w:rFonts w:ascii="Calibri" w:hAnsi="Calibri" w:cs="Calibri"/>
          <w:lang w:val="en-US"/>
        </w:rPr>
      </w:pPr>
      <w:r w:rsidRPr="00B0741D">
        <w:rPr>
          <w:rStyle w:val="FootnoteReference"/>
          <w:rFonts w:ascii="Calibri" w:hAnsi="Calibri" w:cs="Calibri"/>
        </w:rPr>
        <w:footnoteRef/>
      </w:r>
      <w:r w:rsidRPr="00B0741D">
        <w:rPr>
          <w:rFonts w:ascii="Calibri" w:hAnsi="Calibri" w:cs="Calibri"/>
        </w:rPr>
        <w:t xml:space="preserve"> </w:t>
      </w:r>
      <w:r w:rsidRPr="00B0741D">
        <w:rPr>
          <w:rFonts w:ascii="Calibri" w:hAnsi="Calibri" w:cs="Calibri"/>
          <w:i/>
          <w:iCs/>
        </w:rPr>
        <w:t>Case C-324/09, L’Oréal v eBay</w:t>
      </w:r>
      <w:r w:rsidRPr="00B0741D">
        <w:rPr>
          <w:rFonts w:ascii="Calibri" w:hAnsi="Calibri" w:cs="Calibri"/>
        </w:rPr>
        <w:t xml:space="preserve"> (2011) ECR I-06011; </w:t>
      </w:r>
      <w:r w:rsidRPr="00B0741D">
        <w:rPr>
          <w:rFonts w:ascii="Calibri" w:hAnsi="Calibri" w:cs="Calibri"/>
          <w:i/>
          <w:iCs/>
        </w:rPr>
        <w:t>Case C-323/09, Interflora Inc v Marks &amp; Spencer plc</w:t>
      </w:r>
      <w:r w:rsidRPr="00B0741D">
        <w:rPr>
          <w:rFonts w:ascii="Calibri" w:hAnsi="Calibri" w:cs="Calibri"/>
        </w:rPr>
        <w:t xml:space="preserve"> (2011) ECR I-08625; </w:t>
      </w:r>
      <w:r w:rsidRPr="00B0741D">
        <w:rPr>
          <w:rFonts w:ascii="Calibri" w:hAnsi="Calibri" w:cs="Calibri"/>
          <w:i/>
          <w:iCs/>
        </w:rPr>
        <w:t>Case C-487/07, L’Oréal v Bellure</w:t>
      </w:r>
      <w:r w:rsidRPr="00B0741D">
        <w:rPr>
          <w:rFonts w:ascii="Calibri" w:hAnsi="Calibri" w:cs="Calibri"/>
        </w:rPr>
        <w:t xml:space="preserve"> (2009) ECR I-05185; </w:t>
      </w:r>
      <w:r w:rsidRPr="00B0741D">
        <w:rPr>
          <w:rFonts w:ascii="Calibri" w:hAnsi="Calibri" w:cs="Calibri"/>
          <w:i/>
          <w:iCs/>
        </w:rPr>
        <w:t>Case C-533/06, O2 Holdings Ltd &amp; O2 Ltd v Hutchison 3G UK Ltd</w:t>
      </w:r>
      <w:r w:rsidRPr="00B0741D">
        <w:rPr>
          <w:rFonts w:ascii="Calibri" w:hAnsi="Calibri" w:cs="Calibri"/>
        </w:rPr>
        <w:t xml:space="preserve"> (2008) ECR I-04231.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DA64" w14:textId="3D0158BA" w:rsidR="008362F8" w:rsidRPr="008362F8" w:rsidRDefault="008362F8" w:rsidP="008362F8">
    <w:pPr>
      <w:pStyle w:val="Header"/>
      <w:tabs>
        <w:tab w:val="left" w:pos="7166"/>
      </w:tabs>
      <w:jc w:val="right"/>
      <w:rPr>
        <w:i/>
        <w:iCs/>
        <w:sz w:val="16"/>
        <w:szCs w:val="16"/>
        <w:lang w:val="es-ES"/>
      </w:rPr>
    </w:pPr>
    <w:r w:rsidRPr="008362F8">
      <w:rPr>
        <w:i/>
        <w:iCs/>
        <w:sz w:val="16"/>
        <w:szCs w:val="16"/>
        <w:lang w:val="es-ES"/>
      </w:rPr>
      <w:t xml:space="preserve">Inconsistencies in European </w:t>
    </w:r>
    <w:r w:rsidRPr="008362F8">
      <w:rPr>
        <w:i/>
        <w:iCs/>
        <w:sz w:val="16"/>
        <w:szCs w:val="16"/>
        <w:lang w:val="es-ES"/>
      </w:rPr>
      <w:t xml:space="preserve">Trade Mark </w:t>
    </w:r>
    <w:r>
      <w:rPr>
        <w:i/>
        <w:iCs/>
        <w:sz w:val="16"/>
        <w:szCs w:val="16"/>
        <w:lang w:val="es-ES"/>
      </w:rPr>
      <w:t>Law</w:t>
    </w:r>
    <w:r w:rsidRPr="008362F8">
      <w:rPr>
        <w:i/>
        <w:iCs/>
        <w:sz w:val="16"/>
        <w:szCs w:val="16"/>
        <w:lang w:val="es-ES"/>
      </w:rPr>
      <w:tab/>
    </w:r>
    <w:r>
      <w:rPr>
        <w:i/>
        <w:iCs/>
        <w:sz w:val="16"/>
        <w:szCs w:val="16"/>
        <w:lang w:val="es-ES"/>
      </w:rPr>
      <w:t xml:space="preserve">                                   </w:t>
    </w:r>
    <w:r w:rsidRPr="008362F8">
      <w:rPr>
        <w:i/>
        <w:iCs/>
        <w:sz w:val="16"/>
        <w:szCs w:val="16"/>
        <w:lang w:val="es-ES"/>
      </w:rPr>
      <w:t>Alvaro Fernandez-Mora</w:t>
    </w:r>
  </w:p>
  <w:p w14:paraId="28CBF057" w14:textId="793D49B2" w:rsidR="008362F8" w:rsidRPr="00865FA7" w:rsidRDefault="008362F8" w:rsidP="008362F8">
    <w:pPr>
      <w:pStyle w:val="Header"/>
      <w:jc w:val="right"/>
      <w:rPr>
        <w:i/>
        <w:iCs/>
        <w:sz w:val="16"/>
        <w:szCs w:val="16"/>
        <w:lang w:val="en-US"/>
      </w:rPr>
    </w:pPr>
    <w:r w:rsidRPr="008362F8">
      <w:rPr>
        <w:i/>
        <w:iCs/>
        <w:sz w:val="16"/>
        <w:szCs w:val="16"/>
        <w:lang w:val="es-ES"/>
      </w:rPr>
      <w:tab/>
    </w:r>
    <w:r w:rsidRPr="008362F8">
      <w:rPr>
        <w:i/>
        <w:iCs/>
        <w:sz w:val="16"/>
        <w:szCs w:val="16"/>
        <w:lang w:val="es-ES"/>
      </w:rPr>
      <w:tab/>
      <w:t xml:space="preserve"> </w:t>
    </w:r>
    <w:r w:rsidR="00BA761E">
      <w:rPr>
        <w:i/>
        <w:iCs/>
        <w:sz w:val="16"/>
        <w:szCs w:val="16"/>
        <w:lang w:val="en-US"/>
      </w:rPr>
      <w:t>October</w:t>
    </w:r>
    <w:r w:rsidRPr="00865FA7">
      <w:rPr>
        <w:i/>
        <w:iCs/>
        <w:sz w:val="16"/>
        <w:szCs w:val="16"/>
        <w:lang w:val="en-US"/>
      </w:rPr>
      <w:t xml:space="preserve"> 202</w:t>
    </w:r>
    <w:r w:rsidR="00BA6575">
      <w:rPr>
        <w:i/>
        <w:iCs/>
        <w:sz w:val="16"/>
        <w:szCs w:val="16"/>
        <w:lang w:val="en-US"/>
      </w:rPr>
      <w:t>0</w:t>
    </w:r>
  </w:p>
  <w:p w14:paraId="527D78FE" w14:textId="77777777" w:rsidR="00F21CD4" w:rsidRPr="00E66A71" w:rsidRDefault="00F21CD4" w:rsidP="00E66A71">
    <w:pPr>
      <w:pStyle w:val="Heade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4424"/>
    <w:multiLevelType w:val="hybridMultilevel"/>
    <w:tmpl w:val="AC12A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96508"/>
    <w:multiLevelType w:val="multilevel"/>
    <w:tmpl w:val="514A08D2"/>
    <w:lvl w:ilvl="0">
      <w:start w:val="3"/>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9045AF"/>
    <w:multiLevelType w:val="hybridMultilevel"/>
    <w:tmpl w:val="3ABC98B8"/>
    <w:styleLink w:val="Harvard"/>
    <w:lvl w:ilvl="0" w:tplc="54C43BD4">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AA2B99A">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F24E65A">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6CE4E0C">
      <w:start w:val="1"/>
      <w:numFmt w:val="upperRoman"/>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F7CCB3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482F0A">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EA70F8">
      <w:start w:val="1"/>
      <w:numFmt w:val="lowerRoman"/>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67ED2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1F8EDFE">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A831F1"/>
    <w:multiLevelType w:val="multilevel"/>
    <w:tmpl w:val="608667FA"/>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F93D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5D4E02"/>
    <w:multiLevelType w:val="multilevel"/>
    <w:tmpl w:val="59C094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CC5A23"/>
    <w:multiLevelType w:val="hybridMultilevel"/>
    <w:tmpl w:val="3482D958"/>
    <w:styleLink w:val="Numbered"/>
    <w:lvl w:ilvl="0" w:tplc="3482D95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8642D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DADD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888091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506ECC0">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044B56">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D6ACD58">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7010F8">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810367E">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1766AC2"/>
    <w:multiLevelType w:val="multilevel"/>
    <w:tmpl w:val="CC267EA2"/>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BD16CE"/>
    <w:multiLevelType w:val="multilevel"/>
    <w:tmpl w:val="17F42CA8"/>
    <w:lvl w:ilvl="0">
      <w:start w:val="3"/>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C21DF0"/>
    <w:multiLevelType w:val="multilevel"/>
    <w:tmpl w:val="59C094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8012B0"/>
    <w:multiLevelType w:val="multilevel"/>
    <w:tmpl w:val="59C094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9246711"/>
    <w:multiLevelType w:val="hybridMultilevel"/>
    <w:tmpl w:val="7C50A59C"/>
    <w:styleLink w:val="Lettered"/>
    <w:lvl w:ilvl="0" w:tplc="CC0A3958">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8696BA">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64CB18E">
      <w:start w:val="1"/>
      <w:numFmt w:val="upperLetter"/>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5085408">
      <w:start w:val="1"/>
      <w:numFmt w:val="upp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04E2D30">
      <w:start w:val="1"/>
      <w:numFmt w:val="upp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7CDB34">
      <w:start w:val="1"/>
      <w:numFmt w:val="upp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E7A4788">
      <w:start w:val="1"/>
      <w:numFmt w:val="upperLetter"/>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6A0D88C">
      <w:start w:val="1"/>
      <w:numFmt w:val="upp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C4CDB48">
      <w:start w:val="1"/>
      <w:numFmt w:val="upp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C3457BA"/>
    <w:multiLevelType w:val="hybridMultilevel"/>
    <w:tmpl w:val="BD5AB2F0"/>
    <w:lvl w:ilvl="0" w:tplc="428683FA">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72160CEA"/>
    <w:multiLevelType w:val="multilevel"/>
    <w:tmpl w:val="E2CA0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1"/>
  </w:num>
  <w:num w:numId="3">
    <w:abstractNumId w:val="2"/>
  </w:num>
  <w:num w:numId="4">
    <w:abstractNumId w:val="5"/>
  </w:num>
  <w:num w:numId="5">
    <w:abstractNumId w:val="8"/>
  </w:num>
  <w:num w:numId="6">
    <w:abstractNumId w:val="3"/>
  </w:num>
  <w:num w:numId="7">
    <w:abstractNumId w:val="7"/>
  </w:num>
  <w:num w:numId="8">
    <w:abstractNumId w:val="1"/>
  </w:num>
  <w:num w:numId="9">
    <w:abstractNumId w:val="13"/>
  </w:num>
  <w:num w:numId="10">
    <w:abstractNumId w:val="10"/>
  </w:num>
  <w:num w:numId="11">
    <w:abstractNumId w:val="9"/>
  </w:num>
  <w:num w:numId="12">
    <w:abstractNumId w:val="0"/>
  </w:num>
  <w:num w:numId="13">
    <w:abstractNumId w:val="4"/>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B8"/>
    <w:rsid w:val="00000EA6"/>
    <w:rsid w:val="00000F11"/>
    <w:rsid w:val="000010A7"/>
    <w:rsid w:val="0000117A"/>
    <w:rsid w:val="00001373"/>
    <w:rsid w:val="0000199D"/>
    <w:rsid w:val="00001B73"/>
    <w:rsid w:val="00002232"/>
    <w:rsid w:val="000024C7"/>
    <w:rsid w:val="0000298C"/>
    <w:rsid w:val="00002BDF"/>
    <w:rsid w:val="00002CB0"/>
    <w:rsid w:val="00003042"/>
    <w:rsid w:val="00003740"/>
    <w:rsid w:val="00003C99"/>
    <w:rsid w:val="00003D3D"/>
    <w:rsid w:val="0000404C"/>
    <w:rsid w:val="0000409F"/>
    <w:rsid w:val="000046B3"/>
    <w:rsid w:val="00004B46"/>
    <w:rsid w:val="00004D01"/>
    <w:rsid w:val="00005250"/>
    <w:rsid w:val="00005343"/>
    <w:rsid w:val="00005348"/>
    <w:rsid w:val="0000578F"/>
    <w:rsid w:val="00005BAD"/>
    <w:rsid w:val="00005E63"/>
    <w:rsid w:val="00005E88"/>
    <w:rsid w:val="0000670B"/>
    <w:rsid w:val="000068BE"/>
    <w:rsid w:val="00006D2D"/>
    <w:rsid w:val="00006F92"/>
    <w:rsid w:val="00007A8A"/>
    <w:rsid w:val="0001076E"/>
    <w:rsid w:val="000109AC"/>
    <w:rsid w:val="00010BE9"/>
    <w:rsid w:val="00010F79"/>
    <w:rsid w:val="00011136"/>
    <w:rsid w:val="00011AEA"/>
    <w:rsid w:val="000120BA"/>
    <w:rsid w:val="000121A8"/>
    <w:rsid w:val="000121B8"/>
    <w:rsid w:val="0001233D"/>
    <w:rsid w:val="000129D6"/>
    <w:rsid w:val="00012A13"/>
    <w:rsid w:val="00012AC2"/>
    <w:rsid w:val="00012BF4"/>
    <w:rsid w:val="00012CCF"/>
    <w:rsid w:val="000133AA"/>
    <w:rsid w:val="0001342E"/>
    <w:rsid w:val="0001351C"/>
    <w:rsid w:val="0001391B"/>
    <w:rsid w:val="000139CE"/>
    <w:rsid w:val="00013C26"/>
    <w:rsid w:val="00013DC3"/>
    <w:rsid w:val="00013E1D"/>
    <w:rsid w:val="00013E39"/>
    <w:rsid w:val="00013F7E"/>
    <w:rsid w:val="00013FA6"/>
    <w:rsid w:val="0001416A"/>
    <w:rsid w:val="00014304"/>
    <w:rsid w:val="00014672"/>
    <w:rsid w:val="00014E34"/>
    <w:rsid w:val="0001500A"/>
    <w:rsid w:val="00015E30"/>
    <w:rsid w:val="00016BD2"/>
    <w:rsid w:val="00017489"/>
    <w:rsid w:val="00017543"/>
    <w:rsid w:val="000175D1"/>
    <w:rsid w:val="000177CC"/>
    <w:rsid w:val="00017BA7"/>
    <w:rsid w:val="000206DF"/>
    <w:rsid w:val="00020B5E"/>
    <w:rsid w:val="00020BB8"/>
    <w:rsid w:val="00021351"/>
    <w:rsid w:val="000215A8"/>
    <w:rsid w:val="00021623"/>
    <w:rsid w:val="000217A1"/>
    <w:rsid w:val="000218C2"/>
    <w:rsid w:val="00021B0D"/>
    <w:rsid w:val="00022123"/>
    <w:rsid w:val="0002280A"/>
    <w:rsid w:val="00022CDC"/>
    <w:rsid w:val="0002343A"/>
    <w:rsid w:val="0002377D"/>
    <w:rsid w:val="00023CA3"/>
    <w:rsid w:val="00023F58"/>
    <w:rsid w:val="00024DB0"/>
    <w:rsid w:val="00024DB2"/>
    <w:rsid w:val="00024F72"/>
    <w:rsid w:val="0002508A"/>
    <w:rsid w:val="0002530F"/>
    <w:rsid w:val="00025687"/>
    <w:rsid w:val="00025753"/>
    <w:rsid w:val="00025C38"/>
    <w:rsid w:val="00025EAB"/>
    <w:rsid w:val="0002608B"/>
    <w:rsid w:val="00026B8D"/>
    <w:rsid w:val="00026FFB"/>
    <w:rsid w:val="00027028"/>
    <w:rsid w:val="0002709D"/>
    <w:rsid w:val="000274C0"/>
    <w:rsid w:val="000274F4"/>
    <w:rsid w:val="00027A05"/>
    <w:rsid w:val="00030AF9"/>
    <w:rsid w:val="00030CB3"/>
    <w:rsid w:val="0003137B"/>
    <w:rsid w:val="0003168F"/>
    <w:rsid w:val="00031C35"/>
    <w:rsid w:val="00031C4C"/>
    <w:rsid w:val="00031E6C"/>
    <w:rsid w:val="0003267D"/>
    <w:rsid w:val="00033096"/>
    <w:rsid w:val="0003357B"/>
    <w:rsid w:val="0003397B"/>
    <w:rsid w:val="00033A14"/>
    <w:rsid w:val="00033B45"/>
    <w:rsid w:val="00033D5C"/>
    <w:rsid w:val="00034033"/>
    <w:rsid w:val="00034086"/>
    <w:rsid w:val="0003442F"/>
    <w:rsid w:val="00034578"/>
    <w:rsid w:val="00034D53"/>
    <w:rsid w:val="00035062"/>
    <w:rsid w:val="00035B36"/>
    <w:rsid w:val="00036436"/>
    <w:rsid w:val="000366CA"/>
    <w:rsid w:val="00036C71"/>
    <w:rsid w:val="00036FCD"/>
    <w:rsid w:val="000370F9"/>
    <w:rsid w:val="00037211"/>
    <w:rsid w:val="000379FD"/>
    <w:rsid w:val="00037B45"/>
    <w:rsid w:val="00037B79"/>
    <w:rsid w:val="00037ED9"/>
    <w:rsid w:val="00040A1A"/>
    <w:rsid w:val="00040D3B"/>
    <w:rsid w:val="00040E7E"/>
    <w:rsid w:val="00041192"/>
    <w:rsid w:val="000412D2"/>
    <w:rsid w:val="00041DF1"/>
    <w:rsid w:val="0004233D"/>
    <w:rsid w:val="00042730"/>
    <w:rsid w:val="000427C0"/>
    <w:rsid w:val="00042D04"/>
    <w:rsid w:val="00042D5E"/>
    <w:rsid w:val="00043038"/>
    <w:rsid w:val="0004316E"/>
    <w:rsid w:val="000434CF"/>
    <w:rsid w:val="0004363F"/>
    <w:rsid w:val="000437E8"/>
    <w:rsid w:val="00043CDC"/>
    <w:rsid w:val="00043EBE"/>
    <w:rsid w:val="00044397"/>
    <w:rsid w:val="00044E1D"/>
    <w:rsid w:val="00044ECA"/>
    <w:rsid w:val="0004530A"/>
    <w:rsid w:val="00045670"/>
    <w:rsid w:val="0004573A"/>
    <w:rsid w:val="00045CD3"/>
    <w:rsid w:val="00046035"/>
    <w:rsid w:val="0004673E"/>
    <w:rsid w:val="00046E6B"/>
    <w:rsid w:val="00046F8A"/>
    <w:rsid w:val="00047050"/>
    <w:rsid w:val="000471C3"/>
    <w:rsid w:val="00047202"/>
    <w:rsid w:val="000472FA"/>
    <w:rsid w:val="00047600"/>
    <w:rsid w:val="00047911"/>
    <w:rsid w:val="00047ADA"/>
    <w:rsid w:val="00047AF0"/>
    <w:rsid w:val="00047DCD"/>
    <w:rsid w:val="000507CB"/>
    <w:rsid w:val="00050A91"/>
    <w:rsid w:val="00050CB8"/>
    <w:rsid w:val="00050E60"/>
    <w:rsid w:val="00050F90"/>
    <w:rsid w:val="00051415"/>
    <w:rsid w:val="00051642"/>
    <w:rsid w:val="000518AA"/>
    <w:rsid w:val="00051947"/>
    <w:rsid w:val="00051957"/>
    <w:rsid w:val="0005266C"/>
    <w:rsid w:val="000526BF"/>
    <w:rsid w:val="00052787"/>
    <w:rsid w:val="000527CC"/>
    <w:rsid w:val="00052DBF"/>
    <w:rsid w:val="00052EA8"/>
    <w:rsid w:val="000530E2"/>
    <w:rsid w:val="000530EF"/>
    <w:rsid w:val="0005390E"/>
    <w:rsid w:val="00054225"/>
    <w:rsid w:val="00054509"/>
    <w:rsid w:val="0005450C"/>
    <w:rsid w:val="0005473F"/>
    <w:rsid w:val="00054854"/>
    <w:rsid w:val="00054B2A"/>
    <w:rsid w:val="00054B97"/>
    <w:rsid w:val="00054E7F"/>
    <w:rsid w:val="00054F22"/>
    <w:rsid w:val="00055171"/>
    <w:rsid w:val="000554EB"/>
    <w:rsid w:val="00055599"/>
    <w:rsid w:val="00055721"/>
    <w:rsid w:val="00055AC2"/>
    <w:rsid w:val="00055BB1"/>
    <w:rsid w:val="00055C3C"/>
    <w:rsid w:val="000562BA"/>
    <w:rsid w:val="000565FE"/>
    <w:rsid w:val="0005673F"/>
    <w:rsid w:val="00056973"/>
    <w:rsid w:val="00056A69"/>
    <w:rsid w:val="00056F65"/>
    <w:rsid w:val="000572D9"/>
    <w:rsid w:val="000573D1"/>
    <w:rsid w:val="0005768F"/>
    <w:rsid w:val="00057CA6"/>
    <w:rsid w:val="00057FC2"/>
    <w:rsid w:val="0006014F"/>
    <w:rsid w:val="0006031A"/>
    <w:rsid w:val="00060877"/>
    <w:rsid w:val="0006164A"/>
    <w:rsid w:val="000617F1"/>
    <w:rsid w:val="00061ED3"/>
    <w:rsid w:val="00062F6A"/>
    <w:rsid w:val="00063406"/>
    <w:rsid w:val="000635A9"/>
    <w:rsid w:val="00063A12"/>
    <w:rsid w:val="00063D62"/>
    <w:rsid w:val="00064319"/>
    <w:rsid w:val="00064B39"/>
    <w:rsid w:val="00064BB4"/>
    <w:rsid w:val="00064CF4"/>
    <w:rsid w:val="00064D23"/>
    <w:rsid w:val="00065208"/>
    <w:rsid w:val="0006526B"/>
    <w:rsid w:val="000652D9"/>
    <w:rsid w:val="00065569"/>
    <w:rsid w:val="000655AA"/>
    <w:rsid w:val="0006594F"/>
    <w:rsid w:val="00065A11"/>
    <w:rsid w:val="00065BB5"/>
    <w:rsid w:val="00065BF7"/>
    <w:rsid w:val="00065C68"/>
    <w:rsid w:val="00065DDE"/>
    <w:rsid w:val="00065FAB"/>
    <w:rsid w:val="0006658C"/>
    <w:rsid w:val="000665FD"/>
    <w:rsid w:val="000666B8"/>
    <w:rsid w:val="00066834"/>
    <w:rsid w:val="00066BFB"/>
    <w:rsid w:val="00066CFD"/>
    <w:rsid w:val="00066FA9"/>
    <w:rsid w:val="000671D5"/>
    <w:rsid w:val="00067369"/>
    <w:rsid w:val="000679F3"/>
    <w:rsid w:val="00067A8C"/>
    <w:rsid w:val="00067AD4"/>
    <w:rsid w:val="00067CE5"/>
    <w:rsid w:val="00067E60"/>
    <w:rsid w:val="00067F30"/>
    <w:rsid w:val="00070091"/>
    <w:rsid w:val="00070119"/>
    <w:rsid w:val="000701F1"/>
    <w:rsid w:val="000706FE"/>
    <w:rsid w:val="000707D4"/>
    <w:rsid w:val="00070816"/>
    <w:rsid w:val="00070819"/>
    <w:rsid w:val="0007088D"/>
    <w:rsid w:val="00070BAA"/>
    <w:rsid w:val="00070FBB"/>
    <w:rsid w:val="000711B8"/>
    <w:rsid w:val="00071372"/>
    <w:rsid w:val="000714AD"/>
    <w:rsid w:val="000715DA"/>
    <w:rsid w:val="000716CD"/>
    <w:rsid w:val="00071CCB"/>
    <w:rsid w:val="0007224B"/>
    <w:rsid w:val="00072401"/>
    <w:rsid w:val="000728D0"/>
    <w:rsid w:val="0007330D"/>
    <w:rsid w:val="000738A6"/>
    <w:rsid w:val="00073A30"/>
    <w:rsid w:val="00073AAB"/>
    <w:rsid w:val="00073AC6"/>
    <w:rsid w:val="00074337"/>
    <w:rsid w:val="0007447C"/>
    <w:rsid w:val="000744FA"/>
    <w:rsid w:val="00074540"/>
    <w:rsid w:val="0007500E"/>
    <w:rsid w:val="0007522D"/>
    <w:rsid w:val="0007528B"/>
    <w:rsid w:val="00075F6F"/>
    <w:rsid w:val="0007613C"/>
    <w:rsid w:val="00076672"/>
    <w:rsid w:val="00076D85"/>
    <w:rsid w:val="0007714D"/>
    <w:rsid w:val="0007768C"/>
    <w:rsid w:val="000777F2"/>
    <w:rsid w:val="000778D5"/>
    <w:rsid w:val="00077B1E"/>
    <w:rsid w:val="00077D90"/>
    <w:rsid w:val="00077E00"/>
    <w:rsid w:val="00080562"/>
    <w:rsid w:val="000807C4"/>
    <w:rsid w:val="00080D05"/>
    <w:rsid w:val="000811C2"/>
    <w:rsid w:val="000812C5"/>
    <w:rsid w:val="000823AB"/>
    <w:rsid w:val="0008247D"/>
    <w:rsid w:val="00082627"/>
    <w:rsid w:val="00082A63"/>
    <w:rsid w:val="00082B08"/>
    <w:rsid w:val="00082BD1"/>
    <w:rsid w:val="00082F10"/>
    <w:rsid w:val="0008361D"/>
    <w:rsid w:val="0008367E"/>
    <w:rsid w:val="0008397C"/>
    <w:rsid w:val="00083E5E"/>
    <w:rsid w:val="0008405D"/>
    <w:rsid w:val="00084664"/>
    <w:rsid w:val="00084E0A"/>
    <w:rsid w:val="000854A4"/>
    <w:rsid w:val="00085CB7"/>
    <w:rsid w:val="00086331"/>
    <w:rsid w:val="00086615"/>
    <w:rsid w:val="0008734C"/>
    <w:rsid w:val="00087E60"/>
    <w:rsid w:val="0009030F"/>
    <w:rsid w:val="0009041F"/>
    <w:rsid w:val="00090E6E"/>
    <w:rsid w:val="000910C4"/>
    <w:rsid w:val="0009139D"/>
    <w:rsid w:val="0009167C"/>
    <w:rsid w:val="00091D91"/>
    <w:rsid w:val="0009216C"/>
    <w:rsid w:val="000922B5"/>
    <w:rsid w:val="000922CF"/>
    <w:rsid w:val="00092456"/>
    <w:rsid w:val="00092E6D"/>
    <w:rsid w:val="00092F1A"/>
    <w:rsid w:val="0009321B"/>
    <w:rsid w:val="00093326"/>
    <w:rsid w:val="000933AF"/>
    <w:rsid w:val="00093478"/>
    <w:rsid w:val="0009354C"/>
    <w:rsid w:val="00093800"/>
    <w:rsid w:val="00093ABF"/>
    <w:rsid w:val="00093F9B"/>
    <w:rsid w:val="00094434"/>
    <w:rsid w:val="000945DE"/>
    <w:rsid w:val="00094A9C"/>
    <w:rsid w:val="00095157"/>
    <w:rsid w:val="000953E2"/>
    <w:rsid w:val="000956A2"/>
    <w:rsid w:val="000959BB"/>
    <w:rsid w:val="00095C2D"/>
    <w:rsid w:val="00095D75"/>
    <w:rsid w:val="00095E3F"/>
    <w:rsid w:val="00095ED1"/>
    <w:rsid w:val="00096A39"/>
    <w:rsid w:val="00096BA5"/>
    <w:rsid w:val="00096D84"/>
    <w:rsid w:val="00096F54"/>
    <w:rsid w:val="0009722C"/>
    <w:rsid w:val="00097927"/>
    <w:rsid w:val="00097BDC"/>
    <w:rsid w:val="00097CA0"/>
    <w:rsid w:val="000A0343"/>
    <w:rsid w:val="000A095B"/>
    <w:rsid w:val="000A0A2F"/>
    <w:rsid w:val="000A0B6A"/>
    <w:rsid w:val="000A0C3D"/>
    <w:rsid w:val="000A10CE"/>
    <w:rsid w:val="000A117F"/>
    <w:rsid w:val="000A15F1"/>
    <w:rsid w:val="000A18EF"/>
    <w:rsid w:val="000A1C50"/>
    <w:rsid w:val="000A1CC3"/>
    <w:rsid w:val="000A1DA6"/>
    <w:rsid w:val="000A20C6"/>
    <w:rsid w:val="000A2228"/>
    <w:rsid w:val="000A297A"/>
    <w:rsid w:val="000A2C68"/>
    <w:rsid w:val="000A2D1D"/>
    <w:rsid w:val="000A2E90"/>
    <w:rsid w:val="000A2EAA"/>
    <w:rsid w:val="000A316C"/>
    <w:rsid w:val="000A3430"/>
    <w:rsid w:val="000A3564"/>
    <w:rsid w:val="000A36EC"/>
    <w:rsid w:val="000A3BA4"/>
    <w:rsid w:val="000A3DA3"/>
    <w:rsid w:val="000A3E27"/>
    <w:rsid w:val="000A3EBE"/>
    <w:rsid w:val="000A40AE"/>
    <w:rsid w:val="000A4508"/>
    <w:rsid w:val="000A4DF4"/>
    <w:rsid w:val="000A4FE9"/>
    <w:rsid w:val="000A53E9"/>
    <w:rsid w:val="000A58C6"/>
    <w:rsid w:val="000A590A"/>
    <w:rsid w:val="000A5CEC"/>
    <w:rsid w:val="000A6268"/>
    <w:rsid w:val="000A6469"/>
    <w:rsid w:val="000A6AA1"/>
    <w:rsid w:val="000A6BA4"/>
    <w:rsid w:val="000A6D1B"/>
    <w:rsid w:val="000A71D3"/>
    <w:rsid w:val="000A7409"/>
    <w:rsid w:val="000A79C8"/>
    <w:rsid w:val="000A7B52"/>
    <w:rsid w:val="000A7BDA"/>
    <w:rsid w:val="000A7BDE"/>
    <w:rsid w:val="000A7CC7"/>
    <w:rsid w:val="000B0397"/>
    <w:rsid w:val="000B073F"/>
    <w:rsid w:val="000B0BF6"/>
    <w:rsid w:val="000B0C06"/>
    <w:rsid w:val="000B0C97"/>
    <w:rsid w:val="000B1174"/>
    <w:rsid w:val="000B1438"/>
    <w:rsid w:val="000B17B4"/>
    <w:rsid w:val="000B1BC1"/>
    <w:rsid w:val="000B1CAF"/>
    <w:rsid w:val="000B20AD"/>
    <w:rsid w:val="000B222F"/>
    <w:rsid w:val="000B231B"/>
    <w:rsid w:val="000B26B5"/>
    <w:rsid w:val="000B2880"/>
    <w:rsid w:val="000B2897"/>
    <w:rsid w:val="000B2995"/>
    <w:rsid w:val="000B29F9"/>
    <w:rsid w:val="000B2C57"/>
    <w:rsid w:val="000B2DBA"/>
    <w:rsid w:val="000B2DD8"/>
    <w:rsid w:val="000B3109"/>
    <w:rsid w:val="000B35B4"/>
    <w:rsid w:val="000B37A0"/>
    <w:rsid w:val="000B387A"/>
    <w:rsid w:val="000B3AF7"/>
    <w:rsid w:val="000B3CF1"/>
    <w:rsid w:val="000B401F"/>
    <w:rsid w:val="000B404D"/>
    <w:rsid w:val="000B42BE"/>
    <w:rsid w:val="000B43E6"/>
    <w:rsid w:val="000B4756"/>
    <w:rsid w:val="000B4F39"/>
    <w:rsid w:val="000B524F"/>
    <w:rsid w:val="000B557C"/>
    <w:rsid w:val="000B5AEF"/>
    <w:rsid w:val="000B672A"/>
    <w:rsid w:val="000B67A4"/>
    <w:rsid w:val="000B690E"/>
    <w:rsid w:val="000B6915"/>
    <w:rsid w:val="000B6D8C"/>
    <w:rsid w:val="000B6E71"/>
    <w:rsid w:val="000B715F"/>
    <w:rsid w:val="000B73A1"/>
    <w:rsid w:val="000B756C"/>
    <w:rsid w:val="000B758F"/>
    <w:rsid w:val="000B7820"/>
    <w:rsid w:val="000B7C59"/>
    <w:rsid w:val="000B7E58"/>
    <w:rsid w:val="000B7E9A"/>
    <w:rsid w:val="000B7F66"/>
    <w:rsid w:val="000C0090"/>
    <w:rsid w:val="000C037F"/>
    <w:rsid w:val="000C03DE"/>
    <w:rsid w:val="000C04EE"/>
    <w:rsid w:val="000C10A3"/>
    <w:rsid w:val="000C1300"/>
    <w:rsid w:val="000C1519"/>
    <w:rsid w:val="000C1A1A"/>
    <w:rsid w:val="000C1EAF"/>
    <w:rsid w:val="000C1FA2"/>
    <w:rsid w:val="000C237F"/>
    <w:rsid w:val="000C28C6"/>
    <w:rsid w:val="000C2DB7"/>
    <w:rsid w:val="000C2E57"/>
    <w:rsid w:val="000C2F6B"/>
    <w:rsid w:val="000C3091"/>
    <w:rsid w:val="000C3D2F"/>
    <w:rsid w:val="000C402C"/>
    <w:rsid w:val="000C40B1"/>
    <w:rsid w:val="000C417A"/>
    <w:rsid w:val="000C45F3"/>
    <w:rsid w:val="000C4673"/>
    <w:rsid w:val="000C49C2"/>
    <w:rsid w:val="000C4BF9"/>
    <w:rsid w:val="000C4F0B"/>
    <w:rsid w:val="000C5183"/>
    <w:rsid w:val="000C53E2"/>
    <w:rsid w:val="000C54FC"/>
    <w:rsid w:val="000C59EF"/>
    <w:rsid w:val="000C5A28"/>
    <w:rsid w:val="000C5A5D"/>
    <w:rsid w:val="000C5A79"/>
    <w:rsid w:val="000C5FBA"/>
    <w:rsid w:val="000C6461"/>
    <w:rsid w:val="000C6A38"/>
    <w:rsid w:val="000C6B11"/>
    <w:rsid w:val="000C6CAC"/>
    <w:rsid w:val="000C6E7B"/>
    <w:rsid w:val="000C7467"/>
    <w:rsid w:val="000C7DCB"/>
    <w:rsid w:val="000D05E3"/>
    <w:rsid w:val="000D0611"/>
    <w:rsid w:val="000D0691"/>
    <w:rsid w:val="000D06C1"/>
    <w:rsid w:val="000D0959"/>
    <w:rsid w:val="000D0B35"/>
    <w:rsid w:val="000D0C52"/>
    <w:rsid w:val="000D0D0E"/>
    <w:rsid w:val="000D0D7F"/>
    <w:rsid w:val="000D0EAC"/>
    <w:rsid w:val="000D1439"/>
    <w:rsid w:val="000D1732"/>
    <w:rsid w:val="000D1AA1"/>
    <w:rsid w:val="000D1E49"/>
    <w:rsid w:val="000D20EA"/>
    <w:rsid w:val="000D212D"/>
    <w:rsid w:val="000D22C4"/>
    <w:rsid w:val="000D23BA"/>
    <w:rsid w:val="000D2606"/>
    <w:rsid w:val="000D2857"/>
    <w:rsid w:val="000D2A6D"/>
    <w:rsid w:val="000D3049"/>
    <w:rsid w:val="000D317B"/>
    <w:rsid w:val="000D329B"/>
    <w:rsid w:val="000D3686"/>
    <w:rsid w:val="000D3B18"/>
    <w:rsid w:val="000D3D89"/>
    <w:rsid w:val="000D400B"/>
    <w:rsid w:val="000D4094"/>
    <w:rsid w:val="000D40DA"/>
    <w:rsid w:val="000D4636"/>
    <w:rsid w:val="000D500D"/>
    <w:rsid w:val="000D516A"/>
    <w:rsid w:val="000D53E7"/>
    <w:rsid w:val="000D53FF"/>
    <w:rsid w:val="000D57BA"/>
    <w:rsid w:val="000D5A6F"/>
    <w:rsid w:val="000D5B18"/>
    <w:rsid w:val="000D6599"/>
    <w:rsid w:val="000D65DD"/>
    <w:rsid w:val="000D693F"/>
    <w:rsid w:val="000D6E5F"/>
    <w:rsid w:val="000D708A"/>
    <w:rsid w:val="000D70F1"/>
    <w:rsid w:val="000D7480"/>
    <w:rsid w:val="000D7511"/>
    <w:rsid w:val="000D75F2"/>
    <w:rsid w:val="000D7C40"/>
    <w:rsid w:val="000E0358"/>
    <w:rsid w:val="000E07BF"/>
    <w:rsid w:val="000E11FA"/>
    <w:rsid w:val="000E125E"/>
    <w:rsid w:val="000E1352"/>
    <w:rsid w:val="000E1953"/>
    <w:rsid w:val="000E1AD0"/>
    <w:rsid w:val="000E1CE8"/>
    <w:rsid w:val="000E28A3"/>
    <w:rsid w:val="000E2E5F"/>
    <w:rsid w:val="000E2F36"/>
    <w:rsid w:val="000E32AD"/>
    <w:rsid w:val="000E352D"/>
    <w:rsid w:val="000E38E2"/>
    <w:rsid w:val="000E394B"/>
    <w:rsid w:val="000E3E15"/>
    <w:rsid w:val="000E48EC"/>
    <w:rsid w:val="000E4914"/>
    <w:rsid w:val="000E4B48"/>
    <w:rsid w:val="000E4BB4"/>
    <w:rsid w:val="000E4EB5"/>
    <w:rsid w:val="000E4F25"/>
    <w:rsid w:val="000E530D"/>
    <w:rsid w:val="000E5461"/>
    <w:rsid w:val="000E57C3"/>
    <w:rsid w:val="000E5AD2"/>
    <w:rsid w:val="000E65F9"/>
    <w:rsid w:val="000E691B"/>
    <w:rsid w:val="000E6AE9"/>
    <w:rsid w:val="000E6F79"/>
    <w:rsid w:val="000E705B"/>
    <w:rsid w:val="000E719A"/>
    <w:rsid w:val="000E71AB"/>
    <w:rsid w:val="000E72CA"/>
    <w:rsid w:val="000E7861"/>
    <w:rsid w:val="000E7C1C"/>
    <w:rsid w:val="000F0229"/>
    <w:rsid w:val="000F0323"/>
    <w:rsid w:val="000F04CD"/>
    <w:rsid w:val="000F0888"/>
    <w:rsid w:val="000F0949"/>
    <w:rsid w:val="000F0B8B"/>
    <w:rsid w:val="000F0DD0"/>
    <w:rsid w:val="000F0E5B"/>
    <w:rsid w:val="000F0FD0"/>
    <w:rsid w:val="000F1034"/>
    <w:rsid w:val="000F19C8"/>
    <w:rsid w:val="000F1D06"/>
    <w:rsid w:val="000F1D4E"/>
    <w:rsid w:val="000F1E03"/>
    <w:rsid w:val="000F1ECA"/>
    <w:rsid w:val="000F1EFB"/>
    <w:rsid w:val="000F1F3D"/>
    <w:rsid w:val="000F25FE"/>
    <w:rsid w:val="000F2706"/>
    <w:rsid w:val="000F2FBA"/>
    <w:rsid w:val="000F30F5"/>
    <w:rsid w:val="000F3721"/>
    <w:rsid w:val="000F3C44"/>
    <w:rsid w:val="000F40EF"/>
    <w:rsid w:val="000F414C"/>
    <w:rsid w:val="000F41A4"/>
    <w:rsid w:val="000F4233"/>
    <w:rsid w:val="000F428A"/>
    <w:rsid w:val="000F4A3B"/>
    <w:rsid w:val="000F4B08"/>
    <w:rsid w:val="000F4D65"/>
    <w:rsid w:val="000F4E16"/>
    <w:rsid w:val="000F4E86"/>
    <w:rsid w:val="000F4FD0"/>
    <w:rsid w:val="000F52DB"/>
    <w:rsid w:val="000F58CC"/>
    <w:rsid w:val="000F58DE"/>
    <w:rsid w:val="000F5B90"/>
    <w:rsid w:val="000F6054"/>
    <w:rsid w:val="000F66F6"/>
    <w:rsid w:val="000F68C8"/>
    <w:rsid w:val="000F6995"/>
    <w:rsid w:val="000F69A4"/>
    <w:rsid w:val="000F6B51"/>
    <w:rsid w:val="000F6C71"/>
    <w:rsid w:val="000F6E80"/>
    <w:rsid w:val="000F6F40"/>
    <w:rsid w:val="000F7075"/>
    <w:rsid w:val="000F790C"/>
    <w:rsid w:val="000F7A9E"/>
    <w:rsid w:val="00100225"/>
    <w:rsid w:val="0010045B"/>
    <w:rsid w:val="001010A2"/>
    <w:rsid w:val="001012C7"/>
    <w:rsid w:val="001013AA"/>
    <w:rsid w:val="001013BE"/>
    <w:rsid w:val="00101BA5"/>
    <w:rsid w:val="00101C64"/>
    <w:rsid w:val="00101F9B"/>
    <w:rsid w:val="0010225D"/>
    <w:rsid w:val="001024E8"/>
    <w:rsid w:val="0010277A"/>
    <w:rsid w:val="00102CAE"/>
    <w:rsid w:val="001030DD"/>
    <w:rsid w:val="00103A06"/>
    <w:rsid w:val="00104089"/>
    <w:rsid w:val="001041AD"/>
    <w:rsid w:val="0010437A"/>
    <w:rsid w:val="001049A9"/>
    <w:rsid w:val="00104ACE"/>
    <w:rsid w:val="00104C25"/>
    <w:rsid w:val="001052D1"/>
    <w:rsid w:val="00105564"/>
    <w:rsid w:val="00105696"/>
    <w:rsid w:val="00105D5C"/>
    <w:rsid w:val="001066F7"/>
    <w:rsid w:val="00106C3E"/>
    <w:rsid w:val="0010738F"/>
    <w:rsid w:val="0010768B"/>
    <w:rsid w:val="00107B2C"/>
    <w:rsid w:val="00107DD1"/>
    <w:rsid w:val="001100BC"/>
    <w:rsid w:val="001102F1"/>
    <w:rsid w:val="00110339"/>
    <w:rsid w:val="00110785"/>
    <w:rsid w:val="00110D19"/>
    <w:rsid w:val="001111B6"/>
    <w:rsid w:val="0011140A"/>
    <w:rsid w:val="00111633"/>
    <w:rsid w:val="0011167A"/>
    <w:rsid w:val="001116B6"/>
    <w:rsid w:val="0011195E"/>
    <w:rsid w:val="001119DC"/>
    <w:rsid w:val="00112F03"/>
    <w:rsid w:val="00113174"/>
    <w:rsid w:val="00113692"/>
    <w:rsid w:val="0011375A"/>
    <w:rsid w:val="00113D1A"/>
    <w:rsid w:val="00114503"/>
    <w:rsid w:val="001145A8"/>
    <w:rsid w:val="00114B5D"/>
    <w:rsid w:val="00114F46"/>
    <w:rsid w:val="0011536C"/>
    <w:rsid w:val="001153AA"/>
    <w:rsid w:val="001155DA"/>
    <w:rsid w:val="00115624"/>
    <w:rsid w:val="00115665"/>
    <w:rsid w:val="0011579C"/>
    <w:rsid w:val="00115A99"/>
    <w:rsid w:val="00115BC1"/>
    <w:rsid w:val="00116650"/>
    <w:rsid w:val="00116E92"/>
    <w:rsid w:val="00116F0A"/>
    <w:rsid w:val="001170FC"/>
    <w:rsid w:val="001172EC"/>
    <w:rsid w:val="0011732D"/>
    <w:rsid w:val="0011733C"/>
    <w:rsid w:val="00117486"/>
    <w:rsid w:val="00120245"/>
    <w:rsid w:val="001203CE"/>
    <w:rsid w:val="00120461"/>
    <w:rsid w:val="001206ED"/>
    <w:rsid w:val="00120964"/>
    <w:rsid w:val="00120F25"/>
    <w:rsid w:val="00121108"/>
    <w:rsid w:val="00121189"/>
    <w:rsid w:val="0012118B"/>
    <w:rsid w:val="00121479"/>
    <w:rsid w:val="001214BD"/>
    <w:rsid w:val="00121582"/>
    <w:rsid w:val="00121D0D"/>
    <w:rsid w:val="0012201E"/>
    <w:rsid w:val="00122095"/>
    <w:rsid w:val="001225EB"/>
    <w:rsid w:val="00122858"/>
    <w:rsid w:val="001231D8"/>
    <w:rsid w:val="001236FD"/>
    <w:rsid w:val="0012385C"/>
    <w:rsid w:val="00123A9C"/>
    <w:rsid w:val="00123F20"/>
    <w:rsid w:val="00124264"/>
    <w:rsid w:val="001242C5"/>
    <w:rsid w:val="001242E8"/>
    <w:rsid w:val="00124545"/>
    <w:rsid w:val="00124576"/>
    <w:rsid w:val="00124B00"/>
    <w:rsid w:val="00124E91"/>
    <w:rsid w:val="00125124"/>
    <w:rsid w:val="001251AF"/>
    <w:rsid w:val="0012521C"/>
    <w:rsid w:val="0012533D"/>
    <w:rsid w:val="001253A2"/>
    <w:rsid w:val="001253D1"/>
    <w:rsid w:val="001256DC"/>
    <w:rsid w:val="0012580D"/>
    <w:rsid w:val="00125A27"/>
    <w:rsid w:val="00125A60"/>
    <w:rsid w:val="00125B5F"/>
    <w:rsid w:val="00126359"/>
    <w:rsid w:val="00126471"/>
    <w:rsid w:val="001268CC"/>
    <w:rsid w:val="00126ACF"/>
    <w:rsid w:val="00126C56"/>
    <w:rsid w:val="00126DC8"/>
    <w:rsid w:val="00126E4B"/>
    <w:rsid w:val="001271A9"/>
    <w:rsid w:val="001279E9"/>
    <w:rsid w:val="00127BB4"/>
    <w:rsid w:val="00127E91"/>
    <w:rsid w:val="00127F3F"/>
    <w:rsid w:val="00130376"/>
    <w:rsid w:val="00130494"/>
    <w:rsid w:val="0013051B"/>
    <w:rsid w:val="00130572"/>
    <w:rsid w:val="0013098D"/>
    <w:rsid w:val="0013099A"/>
    <w:rsid w:val="00130A7C"/>
    <w:rsid w:val="00130E45"/>
    <w:rsid w:val="00130E9A"/>
    <w:rsid w:val="00130FD9"/>
    <w:rsid w:val="001313C6"/>
    <w:rsid w:val="00131477"/>
    <w:rsid w:val="0013147A"/>
    <w:rsid w:val="0013156C"/>
    <w:rsid w:val="001319C2"/>
    <w:rsid w:val="00132255"/>
    <w:rsid w:val="00132322"/>
    <w:rsid w:val="00132614"/>
    <w:rsid w:val="00132B64"/>
    <w:rsid w:val="00132F1B"/>
    <w:rsid w:val="00133024"/>
    <w:rsid w:val="00133246"/>
    <w:rsid w:val="0013332C"/>
    <w:rsid w:val="0013354F"/>
    <w:rsid w:val="0013388B"/>
    <w:rsid w:val="00134054"/>
    <w:rsid w:val="001344BB"/>
    <w:rsid w:val="0013460D"/>
    <w:rsid w:val="00134759"/>
    <w:rsid w:val="001347F1"/>
    <w:rsid w:val="00134A02"/>
    <w:rsid w:val="00134B66"/>
    <w:rsid w:val="001350BD"/>
    <w:rsid w:val="001352FB"/>
    <w:rsid w:val="001358A5"/>
    <w:rsid w:val="001358D2"/>
    <w:rsid w:val="00135911"/>
    <w:rsid w:val="00135AB0"/>
    <w:rsid w:val="00135C4C"/>
    <w:rsid w:val="00135CE5"/>
    <w:rsid w:val="00135D89"/>
    <w:rsid w:val="00135E8C"/>
    <w:rsid w:val="001365C9"/>
    <w:rsid w:val="00136629"/>
    <w:rsid w:val="00136686"/>
    <w:rsid w:val="0013678B"/>
    <w:rsid w:val="0013694A"/>
    <w:rsid w:val="00136C32"/>
    <w:rsid w:val="00137241"/>
    <w:rsid w:val="001373FF"/>
    <w:rsid w:val="001377F3"/>
    <w:rsid w:val="00140935"/>
    <w:rsid w:val="00140C7E"/>
    <w:rsid w:val="00140EB8"/>
    <w:rsid w:val="00140ED8"/>
    <w:rsid w:val="00141880"/>
    <w:rsid w:val="00141A9E"/>
    <w:rsid w:val="00141C25"/>
    <w:rsid w:val="00141E00"/>
    <w:rsid w:val="00142055"/>
    <w:rsid w:val="00142269"/>
    <w:rsid w:val="00142391"/>
    <w:rsid w:val="0014239D"/>
    <w:rsid w:val="0014240F"/>
    <w:rsid w:val="00142AAB"/>
    <w:rsid w:val="001430AA"/>
    <w:rsid w:val="001432C9"/>
    <w:rsid w:val="001435C3"/>
    <w:rsid w:val="00143A48"/>
    <w:rsid w:val="00143C5E"/>
    <w:rsid w:val="00143D6B"/>
    <w:rsid w:val="00143D8F"/>
    <w:rsid w:val="00144191"/>
    <w:rsid w:val="00144B14"/>
    <w:rsid w:val="00144DC7"/>
    <w:rsid w:val="00144E46"/>
    <w:rsid w:val="00144F14"/>
    <w:rsid w:val="0014552E"/>
    <w:rsid w:val="00145879"/>
    <w:rsid w:val="00145A64"/>
    <w:rsid w:val="00145AA4"/>
    <w:rsid w:val="00145BCA"/>
    <w:rsid w:val="00145F8F"/>
    <w:rsid w:val="00146045"/>
    <w:rsid w:val="0014608B"/>
    <w:rsid w:val="001460D3"/>
    <w:rsid w:val="0014634A"/>
    <w:rsid w:val="001464A4"/>
    <w:rsid w:val="00146646"/>
    <w:rsid w:val="001467B4"/>
    <w:rsid w:val="00146864"/>
    <w:rsid w:val="001469F6"/>
    <w:rsid w:val="00146A96"/>
    <w:rsid w:val="00146C6F"/>
    <w:rsid w:val="00146E96"/>
    <w:rsid w:val="0014728B"/>
    <w:rsid w:val="001474D6"/>
    <w:rsid w:val="00147702"/>
    <w:rsid w:val="00147B68"/>
    <w:rsid w:val="00147BE6"/>
    <w:rsid w:val="0015014E"/>
    <w:rsid w:val="001508B6"/>
    <w:rsid w:val="001509C2"/>
    <w:rsid w:val="00150A10"/>
    <w:rsid w:val="00150EAC"/>
    <w:rsid w:val="00150F1D"/>
    <w:rsid w:val="001512BD"/>
    <w:rsid w:val="00151561"/>
    <w:rsid w:val="001516C4"/>
    <w:rsid w:val="00151AC1"/>
    <w:rsid w:val="00151AC4"/>
    <w:rsid w:val="00151F31"/>
    <w:rsid w:val="001520F8"/>
    <w:rsid w:val="00152688"/>
    <w:rsid w:val="001529D2"/>
    <w:rsid w:val="00152B30"/>
    <w:rsid w:val="00152C54"/>
    <w:rsid w:val="001532DB"/>
    <w:rsid w:val="0015372C"/>
    <w:rsid w:val="001548C0"/>
    <w:rsid w:val="00154D41"/>
    <w:rsid w:val="00154E85"/>
    <w:rsid w:val="00155167"/>
    <w:rsid w:val="00155236"/>
    <w:rsid w:val="00155A9A"/>
    <w:rsid w:val="00156624"/>
    <w:rsid w:val="001568D4"/>
    <w:rsid w:val="00156C18"/>
    <w:rsid w:val="00156FB3"/>
    <w:rsid w:val="001573C6"/>
    <w:rsid w:val="00157C58"/>
    <w:rsid w:val="00157DC9"/>
    <w:rsid w:val="00157F3B"/>
    <w:rsid w:val="00160297"/>
    <w:rsid w:val="00160805"/>
    <w:rsid w:val="00160AEA"/>
    <w:rsid w:val="00160B93"/>
    <w:rsid w:val="00160C35"/>
    <w:rsid w:val="0016135B"/>
    <w:rsid w:val="00161ACC"/>
    <w:rsid w:val="00161CB4"/>
    <w:rsid w:val="00161D7F"/>
    <w:rsid w:val="00161EAE"/>
    <w:rsid w:val="00161F04"/>
    <w:rsid w:val="00161FB1"/>
    <w:rsid w:val="00162412"/>
    <w:rsid w:val="00162667"/>
    <w:rsid w:val="001626EA"/>
    <w:rsid w:val="00162717"/>
    <w:rsid w:val="00162749"/>
    <w:rsid w:val="0016278C"/>
    <w:rsid w:val="00162909"/>
    <w:rsid w:val="00162ABA"/>
    <w:rsid w:val="00162EAC"/>
    <w:rsid w:val="00162F3C"/>
    <w:rsid w:val="00163C40"/>
    <w:rsid w:val="00163C8D"/>
    <w:rsid w:val="00163D7D"/>
    <w:rsid w:val="001640DF"/>
    <w:rsid w:val="00164131"/>
    <w:rsid w:val="0016413F"/>
    <w:rsid w:val="0016417C"/>
    <w:rsid w:val="001641D0"/>
    <w:rsid w:val="001641E5"/>
    <w:rsid w:val="00164755"/>
    <w:rsid w:val="00164F53"/>
    <w:rsid w:val="00165078"/>
    <w:rsid w:val="001658C3"/>
    <w:rsid w:val="00165F48"/>
    <w:rsid w:val="001660CF"/>
    <w:rsid w:val="001661BF"/>
    <w:rsid w:val="001666A8"/>
    <w:rsid w:val="001666DB"/>
    <w:rsid w:val="00166E4A"/>
    <w:rsid w:val="00166E90"/>
    <w:rsid w:val="001678A2"/>
    <w:rsid w:val="001678DF"/>
    <w:rsid w:val="00167B9D"/>
    <w:rsid w:val="00167D52"/>
    <w:rsid w:val="00167EEC"/>
    <w:rsid w:val="00167F1C"/>
    <w:rsid w:val="00170F35"/>
    <w:rsid w:val="00171273"/>
    <w:rsid w:val="00171385"/>
    <w:rsid w:val="00171CA9"/>
    <w:rsid w:val="00172175"/>
    <w:rsid w:val="00172392"/>
    <w:rsid w:val="0017272B"/>
    <w:rsid w:val="00172860"/>
    <w:rsid w:val="00172A78"/>
    <w:rsid w:val="00172E4D"/>
    <w:rsid w:val="0017326D"/>
    <w:rsid w:val="0017363D"/>
    <w:rsid w:val="00173729"/>
    <w:rsid w:val="001738BA"/>
    <w:rsid w:val="0017391B"/>
    <w:rsid w:val="00173A38"/>
    <w:rsid w:val="00173C67"/>
    <w:rsid w:val="00173C7E"/>
    <w:rsid w:val="00173C96"/>
    <w:rsid w:val="0017471C"/>
    <w:rsid w:val="001752C6"/>
    <w:rsid w:val="0017537C"/>
    <w:rsid w:val="001754B4"/>
    <w:rsid w:val="00175868"/>
    <w:rsid w:val="001758CA"/>
    <w:rsid w:val="00175C28"/>
    <w:rsid w:val="00175CA9"/>
    <w:rsid w:val="00176347"/>
    <w:rsid w:val="00176468"/>
    <w:rsid w:val="001767C6"/>
    <w:rsid w:val="00176CCE"/>
    <w:rsid w:val="00176D96"/>
    <w:rsid w:val="00177646"/>
    <w:rsid w:val="00177C84"/>
    <w:rsid w:val="00177CC1"/>
    <w:rsid w:val="00177E33"/>
    <w:rsid w:val="00180363"/>
    <w:rsid w:val="00180623"/>
    <w:rsid w:val="00180AC7"/>
    <w:rsid w:val="00180D95"/>
    <w:rsid w:val="00180EEA"/>
    <w:rsid w:val="00181223"/>
    <w:rsid w:val="00181361"/>
    <w:rsid w:val="0018158A"/>
    <w:rsid w:val="00181B1A"/>
    <w:rsid w:val="00181C33"/>
    <w:rsid w:val="00181C81"/>
    <w:rsid w:val="00181CFF"/>
    <w:rsid w:val="0018338F"/>
    <w:rsid w:val="001835C9"/>
    <w:rsid w:val="00183B0A"/>
    <w:rsid w:val="001842BA"/>
    <w:rsid w:val="00184C19"/>
    <w:rsid w:val="00184F0F"/>
    <w:rsid w:val="00184FC6"/>
    <w:rsid w:val="00185229"/>
    <w:rsid w:val="001854E1"/>
    <w:rsid w:val="0018585D"/>
    <w:rsid w:val="001858CF"/>
    <w:rsid w:val="001859F2"/>
    <w:rsid w:val="00185B6F"/>
    <w:rsid w:val="00185D8B"/>
    <w:rsid w:val="001866CA"/>
    <w:rsid w:val="00186B0B"/>
    <w:rsid w:val="00186DF3"/>
    <w:rsid w:val="00186F37"/>
    <w:rsid w:val="001876A8"/>
    <w:rsid w:val="001907F0"/>
    <w:rsid w:val="00190B1E"/>
    <w:rsid w:val="00190D57"/>
    <w:rsid w:val="00190DDF"/>
    <w:rsid w:val="00190F3C"/>
    <w:rsid w:val="00190F73"/>
    <w:rsid w:val="001914C8"/>
    <w:rsid w:val="001917D7"/>
    <w:rsid w:val="00191A81"/>
    <w:rsid w:val="00191B91"/>
    <w:rsid w:val="00191D08"/>
    <w:rsid w:val="00192977"/>
    <w:rsid w:val="00192984"/>
    <w:rsid w:val="001929C2"/>
    <w:rsid w:val="00192C4E"/>
    <w:rsid w:val="00192C93"/>
    <w:rsid w:val="00192D81"/>
    <w:rsid w:val="00192FD2"/>
    <w:rsid w:val="001935E8"/>
    <w:rsid w:val="00193803"/>
    <w:rsid w:val="001938A0"/>
    <w:rsid w:val="00193BE9"/>
    <w:rsid w:val="00193F68"/>
    <w:rsid w:val="0019403B"/>
    <w:rsid w:val="001942E2"/>
    <w:rsid w:val="001946FD"/>
    <w:rsid w:val="0019485E"/>
    <w:rsid w:val="00194922"/>
    <w:rsid w:val="00194B0D"/>
    <w:rsid w:val="00194F19"/>
    <w:rsid w:val="0019527D"/>
    <w:rsid w:val="00195288"/>
    <w:rsid w:val="00195965"/>
    <w:rsid w:val="00195B3B"/>
    <w:rsid w:val="00195C94"/>
    <w:rsid w:val="00195D38"/>
    <w:rsid w:val="00195E0C"/>
    <w:rsid w:val="0019692C"/>
    <w:rsid w:val="00196BB5"/>
    <w:rsid w:val="00196DF7"/>
    <w:rsid w:val="001973A3"/>
    <w:rsid w:val="001976D1"/>
    <w:rsid w:val="001978C0"/>
    <w:rsid w:val="00197ABF"/>
    <w:rsid w:val="00197FF9"/>
    <w:rsid w:val="001A0482"/>
    <w:rsid w:val="001A0586"/>
    <w:rsid w:val="001A05BF"/>
    <w:rsid w:val="001A0B4C"/>
    <w:rsid w:val="001A0BEA"/>
    <w:rsid w:val="001A0EAC"/>
    <w:rsid w:val="001A0EDF"/>
    <w:rsid w:val="001A0F5E"/>
    <w:rsid w:val="001A1325"/>
    <w:rsid w:val="001A14A9"/>
    <w:rsid w:val="001A1EF0"/>
    <w:rsid w:val="001A25F4"/>
    <w:rsid w:val="001A27F7"/>
    <w:rsid w:val="001A2AAD"/>
    <w:rsid w:val="001A2C66"/>
    <w:rsid w:val="001A2D0B"/>
    <w:rsid w:val="001A2E65"/>
    <w:rsid w:val="001A31D1"/>
    <w:rsid w:val="001A3621"/>
    <w:rsid w:val="001A46F7"/>
    <w:rsid w:val="001A498D"/>
    <w:rsid w:val="001A4BAD"/>
    <w:rsid w:val="001A4D3E"/>
    <w:rsid w:val="001A4DF3"/>
    <w:rsid w:val="001A4E4F"/>
    <w:rsid w:val="001A5453"/>
    <w:rsid w:val="001A5641"/>
    <w:rsid w:val="001A569C"/>
    <w:rsid w:val="001A5704"/>
    <w:rsid w:val="001A6040"/>
    <w:rsid w:val="001A642F"/>
    <w:rsid w:val="001A6695"/>
    <w:rsid w:val="001A6A75"/>
    <w:rsid w:val="001A7013"/>
    <w:rsid w:val="001A7381"/>
    <w:rsid w:val="001A7513"/>
    <w:rsid w:val="001A7802"/>
    <w:rsid w:val="001A7D0E"/>
    <w:rsid w:val="001A7E38"/>
    <w:rsid w:val="001B006D"/>
    <w:rsid w:val="001B0342"/>
    <w:rsid w:val="001B0386"/>
    <w:rsid w:val="001B048D"/>
    <w:rsid w:val="001B04C3"/>
    <w:rsid w:val="001B054B"/>
    <w:rsid w:val="001B0638"/>
    <w:rsid w:val="001B06A0"/>
    <w:rsid w:val="001B0926"/>
    <w:rsid w:val="001B09DB"/>
    <w:rsid w:val="001B0A74"/>
    <w:rsid w:val="001B0D9B"/>
    <w:rsid w:val="001B0E4A"/>
    <w:rsid w:val="001B1161"/>
    <w:rsid w:val="001B12EF"/>
    <w:rsid w:val="001B1477"/>
    <w:rsid w:val="001B1EC0"/>
    <w:rsid w:val="001B1F0A"/>
    <w:rsid w:val="001B2415"/>
    <w:rsid w:val="001B26C3"/>
    <w:rsid w:val="001B2861"/>
    <w:rsid w:val="001B2A25"/>
    <w:rsid w:val="001B3648"/>
    <w:rsid w:val="001B3949"/>
    <w:rsid w:val="001B3D3C"/>
    <w:rsid w:val="001B4227"/>
    <w:rsid w:val="001B42E6"/>
    <w:rsid w:val="001B45D4"/>
    <w:rsid w:val="001B4620"/>
    <w:rsid w:val="001B498D"/>
    <w:rsid w:val="001B50BF"/>
    <w:rsid w:val="001B52AB"/>
    <w:rsid w:val="001B58C2"/>
    <w:rsid w:val="001B58C5"/>
    <w:rsid w:val="001B5C04"/>
    <w:rsid w:val="001B6072"/>
    <w:rsid w:val="001B6189"/>
    <w:rsid w:val="001B6348"/>
    <w:rsid w:val="001B6722"/>
    <w:rsid w:val="001B6B95"/>
    <w:rsid w:val="001B7120"/>
    <w:rsid w:val="001B76F0"/>
    <w:rsid w:val="001B7B64"/>
    <w:rsid w:val="001C007C"/>
    <w:rsid w:val="001C01C3"/>
    <w:rsid w:val="001C09C0"/>
    <w:rsid w:val="001C11B6"/>
    <w:rsid w:val="001C1284"/>
    <w:rsid w:val="001C18FD"/>
    <w:rsid w:val="001C2024"/>
    <w:rsid w:val="001C2884"/>
    <w:rsid w:val="001C28B7"/>
    <w:rsid w:val="001C2A0B"/>
    <w:rsid w:val="001C2A7B"/>
    <w:rsid w:val="001C2C89"/>
    <w:rsid w:val="001C2D4B"/>
    <w:rsid w:val="001C3213"/>
    <w:rsid w:val="001C329D"/>
    <w:rsid w:val="001C32C4"/>
    <w:rsid w:val="001C3371"/>
    <w:rsid w:val="001C406D"/>
    <w:rsid w:val="001C4352"/>
    <w:rsid w:val="001C454E"/>
    <w:rsid w:val="001C4D46"/>
    <w:rsid w:val="001C596E"/>
    <w:rsid w:val="001C6838"/>
    <w:rsid w:val="001C6CA6"/>
    <w:rsid w:val="001C6D8C"/>
    <w:rsid w:val="001C70DC"/>
    <w:rsid w:val="001C72C8"/>
    <w:rsid w:val="001C745A"/>
    <w:rsid w:val="001C78D8"/>
    <w:rsid w:val="001C7A84"/>
    <w:rsid w:val="001C7AB0"/>
    <w:rsid w:val="001C7C9B"/>
    <w:rsid w:val="001C7E80"/>
    <w:rsid w:val="001D007A"/>
    <w:rsid w:val="001D024B"/>
    <w:rsid w:val="001D03B7"/>
    <w:rsid w:val="001D0BA5"/>
    <w:rsid w:val="001D0C14"/>
    <w:rsid w:val="001D11B1"/>
    <w:rsid w:val="001D12F7"/>
    <w:rsid w:val="001D1635"/>
    <w:rsid w:val="001D17D0"/>
    <w:rsid w:val="001D1910"/>
    <w:rsid w:val="001D1953"/>
    <w:rsid w:val="001D1A70"/>
    <w:rsid w:val="001D1E57"/>
    <w:rsid w:val="001D243F"/>
    <w:rsid w:val="001D2707"/>
    <w:rsid w:val="001D27EE"/>
    <w:rsid w:val="001D2E57"/>
    <w:rsid w:val="001D3218"/>
    <w:rsid w:val="001D32EA"/>
    <w:rsid w:val="001D3561"/>
    <w:rsid w:val="001D3CEC"/>
    <w:rsid w:val="001D4076"/>
    <w:rsid w:val="001D4876"/>
    <w:rsid w:val="001D500A"/>
    <w:rsid w:val="001D5088"/>
    <w:rsid w:val="001D534B"/>
    <w:rsid w:val="001D5A66"/>
    <w:rsid w:val="001D5B9E"/>
    <w:rsid w:val="001D5C47"/>
    <w:rsid w:val="001D6244"/>
    <w:rsid w:val="001D6272"/>
    <w:rsid w:val="001D64CA"/>
    <w:rsid w:val="001D7157"/>
    <w:rsid w:val="001D757F"/>
    <w:rsid w:val="001D7987"/>
    <w:rsid w:val="001E114D"/>
    <w:rsid w:val="001E1478"/>
    <w:rsid w:val="001E161F"/>
    <w:rsid w:val="001E1816"/>
    <w:rsid w:val="001E1BC1"/>
    <w:rsid w:val="001E1BF2"/>
    <w:rsid w:val="001E1F8D"/>
    <w:rsid w:val="001E232C"/>
    <w:rsid w:val="001E25D2"/>
    <w:rsid w:val="001E266F"/>
    <w:rsid w:val="001E2697"/>
    <w:rsid w:val="001E2CE7"/>
    <w:rsid w:val="001E33CE"/>
    <w:rsid w:val="001E3546"/>
    <w:rsid w:val="001E3B6D"/>
    <w:rsid w:val="001E3C96"/>
    <w:rsid w:val="001E3CE1"/>
    <w:rsid w:val="001E3E0F"/>
    <w:rsid w:val="001E3E8B"/>
    <w:rsid w:val="001E434E"/>
    <w:rsid w:val="001E46B7"/>
    <w:rsid w:val="001E5440"/>
    <w:rsid w:val="001E564E"/>
    <w:rsid w:val="001E5CDF"/>
    <w:rsid w:val="001E5E53"/>
    <w:rsid w:val="001E60A7"/>
    <w:rsid w:val="001E6348"/>
    <w:rsid w:val="001E660B"/>
    <w:rsid w:val="001E6C6B"/>
    <w:rsid w:val="001E6FA9"/>
    <w:rsid w:val="001E73D2"/>
    <w:rsid w:val="001E7949"/>
    <w:rsid w:val="001E7980"/>
    <w:rsid w:val="001E7F5B"/>
    <w:rsid w:val="001F0258"/>
    <w:rsid w:val="001F0539"/>
    <w:rsid w:val="001F083E"/>
    <w:rsid w:val="001F098C"/>
    <w:rsid w:val="001F0F90"/>
    <w:rsid w:val="001F149B"/>
    <w:rsid w:val="001F152E"/>
    <w:rsid w:val="001F15A0"/>
    <w:rsid w:val="001F1666"/>
    <w:rsid w:val="001F2485"/>
    <w:rsid w:val="001F262B"/>
    <w:rsid w:val="001F2688"/>
    <w:rsid w:val="001F2702"/>
    <w:rsid w:val="001F2D4E"/>
    <w:rsid w:val="001F2E43"/>
    <w:rsid w:val="001F38B6"/>
    <w:rsid w:val="001F3B42"/>
    <w:rsid w:val="001F3DEB"/>
    <w:rsid w:val="001F3EAE"/>
    <w:rsid w:val="001F444D"/>
    <w:rsid w:val="001F45B7"/>
    <w:rsid w:val="001F4818"/>
    <w:rsid w:val="001F4DC2"/>
    <w:rsid w:val="001F4DCB"/>
    <w:rsid w:val="001F4FF3"/>
    <w:rsid w:val="001F547F"/>
    <w:rsid w:val="001F549B"/>
    <w:rsid w:val="001F563F"/>
    <w:rsid w:val="001F58BC"/>
    <w:rsid w:val="001F5C0C"/>
    <w:rsid w:val="001F5CD4"/>
    <w:rsid w:val="001F5FB7"/>
    <w:rsid w:val="001F678F"/>
    <w:rsid w:val="001F69F0"/>
    <w:rsid w:val="001F6A63"/>
    <w:rsid w:val="001F7281"/>
    <w:rsid w:val="001F72D8"/>
    <w:rsid w:val="001F7352"/>
    <w:rsid w:val="001F7849"/>
    <w:rsid w:val="001F7F04"/>
    <w:rsid w:val="00200267"/>
    <w:rsid w:val="0020043C"/>
    <w:rsid w:val="0020054E"/>
    <w:rsid w:val="0020076D"/>
    <w:rsid w:val="0020102C"/>
    <w:rsid w:val="0020114C"/>
    <w:rsid w:val="00201214"/>
    <w:rsid w:val="00201330"/>
    <w:rsid w:val="002014BE"/>
    <w:rsid w:val="00201EE8"/>
    <w:rsid w:val="002020D5"/>
    <w:rsid w:val="00202471"/>
    <w:rsid w:val="00202600"/>
    <w:rsid w:val="0020297E"/>
    <w:rsid w:val="00202A73"/>
    <w:rsid w:val="00202B0E"/>
    <w:rsid w:val="00202BEF"/>
    <w:rsid w:val="002030A7"/>
    <w:rsid w:val="0020311B"/>
    <w:rsid w:val="002031F6"/>
    <w:rsid w:val="00203285"/>
    <w:rsid w:val="0020328C"/>
    <w:rsid w:val="002032EB"/>
    <w:rsid w:val="00203684"/>
    <w:rsid w:val="002036A3"/>
    <w:rsid w:val="00203788"/>
    <w:rsid w:val="00203903"/>
    <w:rsid w:val="00203DA2"/>
    <w:rsid w:val="00204509"/>
    <w:rsid w:val="002045F7"/>
    <w:rsid w:val="002046EE"/>
    <w:rsid w:val="00204C95"/>
    <w:rsid w:val="00204E1F"/>
    <w:rsid w:val="00204FBE"/>
    <w:rsid w:val="00205162"/>
    <w:rsid w:val="002064F3"/>
    <w:rsid w:val="0020651A"/>
    <w:rsid w:val="002066A9"/>
    <w:rsid w:val="0020686D"/>
    <w:rsid w:val="00206AE0"/>
    <w:rsid w:val="00206F5B"/>
    <w:rsid w:val="00207061"/>
    <w:rsid w:val="00207197"/>
    <w:rsid w:val="00207449"/>
    <w:rsid w:val="002101F3"/>
    <w:rsid w:val="002102C3"/>
    <w:rsid w:val="002102DE"/>
    <w:rsid w:val="0021035E"/>
    <w:rsid w:val="00210BDF"/>
    <w:rsid w:val="00210BE8"/>
    <w:rsid w:val="00210D01"/>
    <w:rsid w:val="00211212"/>
    <w:rsid w:val="002125BF"/>
    <w:rsid w:val="002125C6"/>
    <w:rsid w:val="0021282B"/>
    <w:rsid w:val="00212AA4"/>
    <w:rsid w:val="00212AB7"/>
    <w:rsid w:val="00212BE9"/>
    <w:rsid w:val="002132C3"/>
    <w:rsid w:val="00213708"/>
    <w:rsid w:val="002137FD"/>
    <w:rsid w:val="00213A05"/>
    <w:rsid w:val="00213BB8"/>
    <w:rsid w:val="00214094"/>
    <w:rsid w:val="002140AF"/>
    <w:rsid w:val="002140B6"/>
    <w:rsid w:val="0021435D"/>
    <w:rsid w:val="00214690"/>
    <w:rsid w:val="00214A89"/>
    <w:rsid w:val="00215461"/>
    <w:rsid w:val="002157AF"/>
    <w:rsid w:val="00215832"/>
    <w:rsid w:val="00215E4D"/>
    <w:rsid w:val="00215EBF"/>
    <w:rsid w:val="0021618F"/>
    <w:rsid w:val="002163FF"/>
    <w:rsid w:val="00216A59"/>
    <w:rsid w:val="00216D9F"/>
    <w:rsid w:val="002170F7"/>
    <w:rsid w:val="00217502"/>
    <w:rsid w:val="00217550"/>
    <w:rsid w:val="002175DD"/>
    <w:rsid w:val="00217832"/>
    <w:rsid w:val="00217B5A"/>
    <w:rsid w:val="00217E95"/>
    <w:rsid w:val="0022036C"/>
    <w:rsid w:val="00220AA0"/>
    <w:rsid w:val="00220B73"/>
    <w:rsid w:val="00220D39"/>
    <w:rsid w:val="00220F11"/>
    <w:rsid w:val="00221634"/>
    <w:rsid w:val="00221AD8"/>
    <w:rsid w:val="00221FF3"/>
    <w:rsid w:val="002228EB"/>
    <w:rsid w:val="00222BAE"/>
    <w:rsid w:val="00223071"/>
    <w:rsid w:val="0022324C"/>
    <w:rsid w:val="002233FA"/>
    <w:rsid w:val="0022393F"/>
    <w:rsid w:val="00223BAC"/>
    <w:rsid w:val="00223EF0"/>
    <w:rsid w:val="0022435E"/>
    <w:rsid w:val="002245F2"/>
    <w:rsid w:val="00224A19"/>
    <w:rsid w:val="00224D54"/>
    <w:rsid w:val="00225203"/>
    <w:rsid w:val="00225616"/>
    <w:rsid w:val="0022572F"/>
    <w:rsid w:val="002257A7"/>
    <w:rsid w:val="0022651A"/>
    <w:rsid w:val="00226ABE"/>
    <w:rsid w:val="002277C3"/>
    <w:rsid w:val="0023018E"/>
    <w:rsid w:val="002302B3"/>
    <w:rsid w:val="00230671"/>
    <w:rsid w:val="002307FE"/>
    <w:rsid w:val="00230E05"/>
    <w:rsid w:val="00231410"/>
    <w:rsid w:val="002315B8"/>
    <w:rsid w:val="00231BE4"/>
    <w:rsid w:val="00231E6D"/>
    <w:rsid w:val="00232006"/>
    <w:rsid w:val="002321F7"/>
    <w:rsid w:val="0023220C"/>
    <w:rsid w:val="002325BA"/>
    <w:rsid w:val="002329BA"/>
    <w:rsid w:val="00232B69"/>
    <w:rsid w:val="00232C4D"/>
    <w:rsid w:val="00232D1E"/>
    <w:rsid w:val="00233087"/>
    <w:rsid w:val="00233765"/>
    <w:rsid w:val="002337D0"/>
    <w:rsid w:val="00233AC0"/>
    <w:rsid w:val="00233C57"/>
    <w:rsid w:val="0023417B"/>
    <w:rsid w:val="002341A1"/>
    <w:rsid w:val="00234824"/>
    <w:rsid w:val="00234A85"/>
    <w:rsid w:val="00234C9F"/>
    <w:rsid w:val="00234D68"/>
    <w:rsid w:val="00234E97"/>
    <w:rsid w:val="00234F7B"/>
    <w:rsid w:val="00235431"/>
    <w:rsid w:val="0023573D"/>
    <w:rsid w:val="002358FE"/>
    <w:rsid w:val="00235AD1"/>
    <w:rsid w:val="00236113"/>
    <w:rsid w:val="00236344"/>
    <w:rsid w:val="0023662B"/>
    <w:rsid w:val="00236798"/>
    <w:rsid w:val="0023692D"/>
    <w:rsid w:val="00236A4A"/>
    <w:rsid w:val="00236C05"/>
    <w:rsid w:val="002376A8"/>
    <w:rsid w:val="00237F0C"/>
    <w:rsid w:val="002402FE"/>
    <w:rsid w:val="00240366"/>
    <w:rsid w:val="00240409"/>
    <w:rsid w:val="0024046C"/>
    <w:rsid w:val="002410CF"/>
    <w:rsid w:val="00241120"/>
    <w:rsid w:val="00241B03"/>
    <w:rsid w:val="00242322"/>
    <w:rsid w:val="00242337"/>
    <w:rsid w:val="0024239A"/>
    <w:rsid w:val="00242713"/>
    <w:rsid w:val="00242866"/>
    <w:rsid w:val="00242894"/>
    <w:rsid w:val="002428A9"/>
    <w:rsid w:val="00242DBE"/>
    <w:rsid w:val="002430DB"/>
    <w:rsid w:val="00243208"/>
    <w:rsid w:val="00243649"/>
    <w:rsid w:val="002438F4"/>
    <w:rsid w:val="0024467A"/>
    <w:rsid w:val="00244BAF"/>
    <w:rsid w:val="00244CFC"/>
    <w:rsid w:val="0024512A"/>
    <w:rsid w:val="00245192"/>
    <w:rsid w:val="002451C9"/>
    <w:rsid w:val="00245519"/>
    <w:rsid w:val="00245AE2"/>
    <w:rsid w:val="00245BEB"/>
    <w:rsid w:val="00245CA5"/>
    <w:rsid w:val="00245CF4"/>
    <w:rsid w:val="00245EE7"/>
    <w:rsid w:val="00246432"/>
    <w:rsid w:val="0024651C"/>
    <w:rsid w:val="0024678F"/>
    <w:rsid w:val="002468EC"/>
    <w:rsid w:val="002469A0"/>
    <w:rsid w:val="00246CE6"/>
    <w:rsid w:val="00247037"/>
    <w:rsid w:val="00247402"/>
    <w:rsid w:val="002479C6"/>
    <w:rsid w:val="00247BFA"/>
    <w:rsid w:val="0025004F"/>
    <w:rsid w:val="00250D2D"/>
    <w:rsid w:val="00250E7C"/>
    <w:rsid w:val="002510FC"/>
    <w:rsid w:val="0025128E"/>
    <w:rsid w:val="00251685"/>
    <w:rsid w:val="00251884"/>
    <w:rsid w:val="00251D26"/>
    <w:rsid w:val="00251E0A"/>
    <w:rsid w:val="00251F09"/>
    <w:rsid w:val="00252068"/>
    <w:rsid w:val="002526A9"/>
    <w:rsid w:val="00252801"/>
    <w:rsid w:val="002528EB"/>
    <w:rsid w:val="00252919"/>
    <w:rsid w:val="00252D12"/>
    <w:rsid w:val="00252F16"/>
    <w:rsid w:val="00253E82"/>
    <w:rsid w:val="00253EA5"/>
    <w:rsid w:val="00254061"/>
    <w:rsid w:val="002543BF"/>
    <w:rsid w:val="002543C2"/>
    <w:rsid w:val="0025457E"/>
    <w:rsid w:val="00254905"/>
    <w:rsid w:val="00254A18"/>
    <w:rsid w:val="00255194"/>
    <w:rsid w:val="002552DA"/>
    <w:rsid w:val="002554EE"/>
    <w:rsid w:val="0025585F"/>
    <w:rsid w:val="0025590C"/>
    <w:rsid w:val="00255993"/>
    <w:rsid w:val="00255A0F"/>
    <w:rsid w:val="00255BDF"/>
    <w:rsid w:val="00255C4D"/>
    <w:rsid w:val="00255F36"/>
    <w:rsid w:val="00256371"/>
    <w:rsid w:val="002565DB"/>
    <w:rsid w:val="0025681A"/>
    <w:rsid w:val="00256A4C"/>
    <w:rsid w:val="00256BC1"/>
    <w:rsid w:val="00257499"/>
    <w:rsid w:val="0025767C"/>
    <w:rsid w:val="0025776E"/>
    <w:rsid w:val="0025779B"/>
    <w:rsid w:val="0025791E"/>
    <w:rsid w:val="00257A67"/>
    <w:rsid w:val="00257B62"/>
    <w:rsid w:val="00257C3C"/>
    <w:rsid w:val="00257E4D"/>
    <w:rsid w:val="00257F18"/>
    <w:rsid w:val="00257F4A"/>
    <w:rsid w:val="00260284"/>
    <w:rsid w:val="0026045E"/>
    <w:rsid w:val="002607D2"/>
    <w:rsid w:val="002607D3"/>
    <w:rsid w:val="00260958"/>
    <w:rsid w:val="00260EDC"/>
    <w:rsid w:val="00261281"/>
    <w:rsid w:val="0026176B"/>
    <w:rsid w:val="002618B6"/>
    <w:rsid w:val="00261DCA"/>
    <w:rsid w:val="00261E68"/>
    <w:rsid w:val="00262316"/>
    <w:rsid w:val="00262BA2"/>
    <w:rsid w:val="00263051"/>
    <w:rsid w:val="002631AA"/>
    <w:rsid w:val="00263CED"/>
    <w:rsid w:val="00263ED4"/>
    <w:rsid w:val="002641D6"/>
    <w:rsid w:val="002642D2"/>
    <w:rsid w:val="002643B4"/>
    <w:rsid w:val="00264B65"/>
    <w:rsid w:val="00264CA6"/>
    <w:rsid w:val="00265096"/>
    <w:rsid w:val="00265398"/>
    <w:rsid w:val="0026549E"/>
    <w:rsid w:val="00265674"/>
    <w:rsid w:val="0026568C"/>
    <w:rsid w:val="00265983"/>
    <w:rsid w:val="00265C60"/>
    <w:rsid w:val="00265DC9"/>
    <w:rsid w:val="00265F02"/>
    <w:rsid w:val="0026640E"/>
    <w:rsid w:val="00266838"/>
    <w:rsid w:val="00266891"/>
    <w:rsid w:val="00266D4E"/>
    <w:rsid w:val="00266EEA"/>
    <w:rsid w:val="002672CB"/>
    <w:rsid w:val="0026734A"/>
    <w:rsid w:val="00267DC5"/>
    <w:rsid w:val="00270450"/>
    <w:rsid w:val="0027056F"/>
    <w:rsid w:val="00270C67"/>
    <w:rsid w:val="00271464"/>
    <w:rsid w:val="002718BC"/>
    <w:rsid w:val="00271CEE"/>
    <w:rsid w:val="00271D68"/>
    <w:rsid w:val="00271D6E"/>
    <w:rsid w:val="002726FB"/>
    <w:rsid w:val="002727C0"/>
    <w:rsid w:val="00272DEF"/>
    <w:rsid w:val="00273B9F"/>
    <w:rsid w:val="00273E00"/>
    <w:rsid w:val="00273F38"/>
    <w:rsid w:val="00273F74"/>
    <w:rsid w:val="00274025"/>
    <w:rsid w:val="0027427E"/>
    <w:rsid w:val="00274807"/>
    <w:rsid w:val="00274E5B"/>
    <w:rsid w:val="00274EB8"/>
    <w:rsid w:val="00274EC1"/>
    <w:rsid w:val="002753AB"/>
    <w:rsid w:val="0027549A"/>
    <w:rsid w:val="00275BD0"/>
    <w:rsid w:val="00275F75"/>
    <w:rsid w:val="0027600F"/>
    <w:rsid w:val="00276470"/>
    <w:rsid w:val="0027655E"/>
    <w:rsid w:val="002767D7"/>
    <w:rsid w:val="00276C66"/>
    <w:rsid w:val="00276CEA"/>
    <w:rsid w:val="00276DF5"/>
    <w:rsid w:val="00276EC8"/>
    <w:rsid w:val="0027769B"/>
    <w:rsid w:val="00277827"/>
    <w:rsid w:val="00277A7F"/>
    <w:rsid w:val="00277F9C"/>
    <w:rsid w:val="0028048C"/>
    <w:rsid w:val="00280C5A"/>
    <w:rsid w:val="00280D39"/>
    <w:rsid w:val="00281CB3"/>
    <w:rsid w:val="00281EEE"/>
    <w:rsid w:val="00282664"/>
    <w:rsid w:val="00282FAB"/>
    <w:rsid w:val="00283025"/>
    <w:rsid w:val="0028366A"/>
    <w:rsid w:val="00283928"/>
    <w:rsid w:val="00283989"/>
    <w:rsid w:val="00283E75"/>
    <w:rsid w:val="00283FEC"/>
    <w:rsid w:val="0028417A"/>
    <w:rsid w:val="002841BF"/>
    <w:rsid w:val="002842F6"/>
    <w:rsid w:val="00284503"/>
    <w:rsid w:val="0028458E"/>
    <w:rsid w:val="00284F0A"/>
    <w:rsid w:val="00285088"/>
    <w:rsid w:val="0028508A"/>
    <w:rsid w:val="002853F6"/>
    <w:rsid w:val="002856D0"/>
    <w:rsid w:val="00285809"/>
    <w:rsid w:val="00285BF4"/>
    <w:rsid w:val="00285EEC"/>
    <w:rsid w:val="002860D9"/>
    <w:rsid w:val="0028631E"/>
    <w:rsid w:val="0028642C"/>
    <w:rsid w:val="00286967"/>
    <w:rsid w:val="00286B03"/>
    <w:rsid w:val="00286D7B"/>
    <w:rsid w:val="00287235"/>
    <w:rsid w:val="002875AC"/>
    <w:rsid w:val="00290568"/>
    <w:rsid w:val="002908DC"/>
    <w:rsid w:val="00290CFE"/>
    <w:rsid w:val="00290FC2"/>
    <w:rsid w:val="00290FD6"/>
    <w:rsid w:val="00290FF7"/>
    <w:rsid w:val="0029142C"/>
    <w:rsid w:val="002919DE"/>
    <w:rsid w:val="002929C4"/>
    <w:rsid w:val="00292B95"/>
    <w:rsid w:val="00292C32"/>
    <w:rsid w:val="00292D88"/>
    <w:rsid w:val="00292FF3"/>
    <w:rsid w:val="002930D9"/>
    <w:rsid w:val="0029367C"/>
    <w:rsid w:val="002936BB"/>
    <w:rsid w:val="0029381C"/>
    <w:rsid w:val="002938EB"/>
    <w:rsid w:val="00293BF8"/>
    <w:rsid w:val="00294AB6"/>
    <w:rsid w:val="00294CC2"/>
    <w:rsid w:val="00294E7B"/>
    <w:rsid w:val="002955ED"/>
    <w:rsid w:val="00295B9A"/>
    <w:rsid w:val="0029603F"/>
    <w:rsid w:val="00296274"/>
    <w:rsid w:val="002962FE"/>
    <w:rsid w:val="0029676D"/>
    <w:rsid w:val="00296842"/>
    <w:rsid w:val="00296D93"/>
    <w:rsid w:val="00296E23"/>
    <w:rsid w:val="00297020"/>
    <w:rsid w:val="00297194"/>
    <w:rsid w:val="002971DE"/>
    <w:rsid w:val="002973E5"/>
    <w:rsid w:val="002976E4"/>
    <w:rsid w:val="0029792B"/>
    <w:rsid w:val="00297BBF"/>
    <w:rsid w:val="00297E39"/>
    <w:rsid w:val="002A0038"/>
    <w:rsid w:val="002A0A62"/>
    <w:rsid w:val="002A0C5E"/>
    <w:rsid w:val="002A0CDC"/>
    <w:rsid w:val="002A10AF"/>
    <w:rsid w:val="002A14B8"/>
    <w:rsid w:val="002A14C6"/>
    <w:rsid w:val="002A167F"/>
    <w:rsid w:val="002A17C7"/>
    <w:rsid w:val="002A180F"/>
    <w:rsid w:val="002A1A99"/>
    <w:rsid w:val="002A1AED"/>
    <w:rsid w:val="002A1BA8"/>
    <w:rsid w:val="002A1DA4"/>
    <w:rsid w:val="002A1E7C"/>
    <w:rsid w:val="002A2336"/>
    <w:rsid w:val="002A2359"/>
    <w:rsid w:val="002A26AC"/>
    <w:rsid w:val="002A26F7"/>
    <w:rsid w:val="002A27FD"/>
    <w:rsid w:val="002A287A"/>
    <w:rsid w:val="002A2F0B"/>
    <w:rsid w:val="002A3779"/>
    <w:rsid w:val="002A404C"/>
    <w:rsid w:val="002A420E"/>
    <w:rsid w:val="002A48E4"/>
    <w:rsid w:val="002A4990"/>
    <w:rsid w:val="002A49C4"/>
    <w:rsid w:val="002A4A56"/>
    <w:rsid w:val="002A4BE7"/>
    <w:rsid w:val="002A4D4D"/>
    <w:rsid w:val="002A4EC0"/>
    <w:rsid w:val="002A4F0B"/>
    <w:rsid w:val="002A4F9C"/>
    <w:rsid w:val="002A53D9"/>
    <w:rsid w:val="002A5539"/>
    <w:rsid w:val="002A558E"/>
    <w:rsid w:val="002A56C2"/>
    <w:rsid w:val="002A5876"/>
    <w:rsid w:val="002A59AC"/>
    <w:rsid w:val="002A5F01"/>
    <w:rsid w:val="002A5F77"/>
    <w:rsid w:val="002A62A9"/>
    <w:rsid w:val="002A6679"/>
    <w:rsid w:val="002A66DD"/>
    <w:rsid w:val="002A6790"/>
    <w:rsid w:val="002A6862"/>
    <w:rsid w:val="002A71CF"/>
    <w:rsid w:val="002A73EB"/>
    <w:rsid w:val="002A7AA4"/>
    <w:rsid w:val="002B059A"/>
    <w:rsid w:val="002B05CE"/>
    <w:rsid w:val="002B05DD"/>
    <w:rsid w:val="002B07C2"/>
    <w:rsid w:val="002B0857"/>
    <w:rsid w:val="002B0A9C"/>
    <w:rsid w:val="002B12F9"/>
    <w:rsid w:val="002B13BA"/>
    <w:rsid w:val="002B18CC"/>
    <w:rsid w:val="002B1F82"/>
    <w:rsid w:val="002B22FD"/>
    <w:rsid w:val="002B256F"/>
    <w:rsid w:val="002B261F"/>
    <w:rsid w:val="002B28FE"/>
    <w:rsid w:val="002B3130"/>
    <w:rsid w:val="002B3279"/>
    <w:rsid w:val="002B335F"/>
    <w:rsid w:val="002B3C0C"/>
    <w:rsid w:val="002B433B"/>
    <w:rsid w:val="002B461F"/>
    <w:rsid w:val="002B46E7"/>
    <w:rsid w:val="002B4778"/>
    <w:rsid w:val="002B4D18"/>
    <w:rsid w:val="002B4E28"/>
    <w:rsid w:val="002B6166"/>
    <w:rsid w:val="002B61B0"/>
    <w:rsid w:val="002B628B"/>
    <w:rsid w:val="002B66D0"/>
    <w:rsid w:val="002B66DA"/>
    <w:rsid w:val="002B6A56"/>
    <w:rsid w:val="002B6C52"/>
    <w:rsid w:val="002B6D52"/>
    <w:rsid w:val="002B7974"/>
    <w:rsid w:val="002B7A62"/>
    <w:rsid w:val="002C06AD"/>
    <w:rsid w:val="002C090F"/>
    <w:rsid w:val="002C0FB8"/>
    <w:rsid w:val="002C0FC0"/>
    <w:rsid w:val="002C0FE1"/>
    <w:rsid w:val="002C0FF9"/>
    <w:rsid w:val="002C132E"/>
    <w:rsid w:val="002C1BAF"/>
    <w:rsid w:val="002C1F1C"/>
    <w:rsid w:val="002C28B5"/>
    <w:rsid w:val="002C2E29"/>
    <w:rsid w:val="002C3360"/>
    <w:rsid w:val="002C3381"/>
    <w:rsid w:val="002C3478"/>
    <w:rsid w:val="002C3B0F"/>
    <w:rsid w:val="002C50CE"/>
    <w:rsid w:val="002C5B4A"/>
    <w:rsid w:val="002C5C2E"/>
    <w:rsid w:val="002C5C4A"/>
    <w:rsid w:val="002C67F6"/>
    <w:rsid w:val="002C6A0A"/>
    <w:rsid w:val="002C73BD"/>
    <w:rsid w:val="002C74F7"/>
    <w:rsid w:val="002C765F"/>
    <w:rsid w:val="002C7CAB"/>
    <w:rsid w:val="002D07A1"/>
    <w:rsid w:val="002D07BE"/>
    <w:rsid w:val="002D0B27"/>
    <w:rsid w:val="002D101F"/>
    <w:rsid w:val="002D1536"/>
    <w:rsid w:val="002D1654"/>
    <w:rsid w:val="002D1739"/>
    <w:rsid w:val="002D1B1B"/>
    <w:rsid w:val="002D1DAF"/>
    <w:rsid w:val="002D2396"/>
    <w:rsid w:val="002D24FA"/>
    <w:rsid w:val="002D2D9F"/>
    <w:rsid w:val="002D3184"/>
    <w:rsid w:val="002D35D2"/>
    <w:rsid w:val="002D392C"/>
    <w:rsid w:val="002D3B34"/>
    <w:rsid w:val="002D3B3E"/>
    <w:rsid w:val="002D42A2"/>
    <w:rsid w:val="002D4394"/>
    <w:rsid w:val="002D439C"/>
    <w:rsid w:val="002D456C"/>
    <w:rsid w:val="002D46F4"/>
    <w:rsid w:val="002D479A"/>
    <w:rsid w:val="002D4B36"/>
    <w:rsid w:val="002D4B9F"/>
    <w:rsid w:val="002D50CC"/>
    <w:rsid w:val="002D5A69"/>
    <w:rsid w:val="002D5A82"/>
    <w:rsid w:val="002D5BE6"/>
    <w:rsid w:val="002D5E0F"/>
    <w:rsid w:val="002D5E82"/>
    <w:rsid w:val="002D6128"/>
    <w:rsid w:val="002D6277"/>
    <w:rsid w:val="002D6437"/>
    <w:rsid w:val="002D69B3"/>
    <w:rsid w:val="002D6B83"/>
    <w:rsid w:val="002D6D00"/>
    <w:rsid w:val="002D6EE9"/>
    <w:rsid w:val="002D72F5"/>
    <w:rsid w:val="002D7455"/>
    <w:rsid w:val="002D796D"/>
    <w:rsid w:val="002E00E5"/>
    <w:rsid w:val="002E02FF"/>
    <w:rsid w:val="002E034B"/>
    <w:rsid w:val="002E0689"/>
    <w:rsid w:val="002E090A"/>
    <w:rsid w:val="002E0CDE"/>
    <w:rsid w:val="002E128F"/>
    <w:rsid w:val="002E18B2"/>
    <w:rsid w:val="002E18FC"/>
    <w:rsid w:val="002E1C7C"/>
    <w:rsid w:val="002E20AE"/>
    <w:rsid w:val="002E2675"/>
    <w:rsid w:val="002E2942"/>
    <w:rsid w:val="002E3358"/>
    <w:rsid w:val="002E39D7"/>
    <w:rsid w:val="002E3DD4"/>
    <w:rsid w:val="002E4045"/>
    <w:rsid w:val="002E42B5"/>
    <w:rsid w:val="002E4632"/>
    <w:rsid w:val="002E4660"/>
    <w:rsid w:val="002E47BD"/>
    <w:rsid w:val="002E4B09"/>
    <w:rsid w:val="002E4D92"/>
    <w:rsid w:val="002E4F44"/>
    <w:rsid w:val="002E4F74"/>
    <w:rsid w:val="002E4F8C"/>
    <w:rsid w:val="002E501A"/>
    <w:rsid w:val="002E5161"/>
    <w:rsid w:val="002E52DA"/>
    <w:rsid w:val="002E591A"/>
    <w:rsid w:val="002E5C80"/>
    <w:rsid w:val="002E5D8F"/>
    <w:rsid w:val="002E5E85"/>
    <w:rsid w:val="002E5F25"/>
    <w:rsid w:val="002E5F69"/>
    <w:rsid w:val="002E6ADD"/>
    <w:rsid w:val="002E6AFB"/>
    <w:rsid w:val="002E6FFA"/>
    <w:rsid w:val="002E7AB4"/>
    <w:rsid w:val="002E7CC6"/>
    <w:rsid w:val="002E7E3C"/>
    <w:rsid w:val="002F06CD"/>
    <w:rsid w:val="002F07FB"/>
    <w:rsid w:val="002F0B2C"/>
    <w:rsid w:val="002F0B6E"/>
    <w:rsid w:val="002F0B7C"/>
    <w:rsid w:val="002F0C4F"/>
    <w:rsid w:val="002F103A"/>
    <w:rsid w:val="002F1065"/>
    <w:rsid w:val="002F113B"/>
    <w:rsid w:val="002F118A"/>
    <w:rsid w:val="002F1811"/>
    <w:rsid w:val="002F192D"/>
    <w:rsid w:val="002F1AA1"/>
    <w:rsid w:val="002F1E2B"/>
    <w:rsid w:val="002F2004"/>
    <w:rsid w:val="002F2010"/>
    <w:rsid w:val="002F23BC"/>
    <w:rsid w:val="002F27FB"/>
    <w:rsid w:val="002F2869"/>
    <w:rsid w:val="002F2899"/>
    <w:rsid w:val="002F2D6E"/>
    <w:rsid w:val="002F2D86"/>
    <w:rsid w:val="002F2E23"/>
    <w:rsid w:val="002F2F6B"/>
    <w:rsid w:val="002F36CE"/>
    <w:rsid w:val="002F36E3"/>
    <w:rsid w:val="002F390E"/>
    <w:rsid w:val="002F39C5"/>
    <w:rsid w:val="002F4032"/>
    <w:rsid w:val="002F454F"/>
    <w:rsid w:val="002F4565"/>
    <w:rsid w:val="002F47EA"/>
    <w:rsid w:val="002F49FC"/>
    <w:rsid w:val="002F4C0B"/>
    <w:rsid w:val="002F4C20"/>
    <w:rsid w:val="002F4CF2"/>
    <w:rsid w:val="002F56C4"/>
    <w:rsid w:val="002F57F4"/>
    <w:rsid w:val="002F58F6"/>
    <w:rsid w:val="002F59E2"/>
    <w:rsid w:val="002F5D45"/>
    <w:rsid w:val="002F6751"/>
    <w:rsid w:val="002F6853"/>
    <w:rsid w:val="002F6A8A"/>
    <w:rsid w:val="002F7394"/>
    <w:rsid w:val="002F7598"/>
    <w:rsid w:val="002F789C"/>
    <w:rsid w:val="003002A9"/>
    <w:rsid w:val="00300365"/>
    <w:rsid w:val="00300763"/>
    <w:rsid w:val="003007D7"/>
    <w:rsid w:val="0030091C"/>
    <w:rsid w:val="00300B55"/>
    <w:rsid w:val="00300BE6"/>
    <w:rsid w:val="0030128D"/>
    <w:rsid w:val="003018E1"/>
    <w:rsid w:val="00301C68"/>
    <w:rsid w:val="00301CB5"/>
    <w:rsid w:val="00301D74"/>
    <w:rsid w:val="00301F67"/>
    <w:rsid w:val="00302325"/>
    <w:rsid w:val="00302763"/>
    <w:rsid w:val="00302880"/>
    <w:rsid w:val="00302D54"/>
    <w:rsid w:val="00303F45"/>
    <w:rsid w:val="00304288"/>
    <w:rsid w:val="00304596"/>
    <w:rsid w:val="00304605"/>
    <w:rsid w:val="0030477B"/>
    <w:rsid w:val="00304B04"/>
    <w:rsid w:val="00304BE6"/>
    <w:rsid w:val="00304BFB"/>
    <w:rsid w:val="00304CE6"/>
    <w:rsid w:val="003053D3"/>
    <w:rsid w:val="00305B5C"/>
    <w:rsid w:val="00305CF6"/>
    <w:rsid w:val="00305F1D"/>
    <w:rsid w:val="003060AA"/>
    <w:rsid w:val="00306194"/>
    <w:rsid w:val="00306427"/>
    <w:rsid w:val="0030648A"/>
    <w:rsid w:val="00306928"/>
    <w:rsid w:val="003069D6"/>
    <w:rsid w:val="00306E4A"/>
    <w:rsid w:val="00307032"/>
    <w:rsid w:val="00307062"/>
    <w:rsid w:val="003070BE"/>
    <w:rsid w:val="0030723C"/>
    <w:rsid w:val="003072BA"/>
    <w:rsid w:val="0030744A"/>
    <w:rsid w:val="00307BA5"/>
    <w:rsid w:val="00307CE5"/>
    <w:rsid w:val="00307E33"/>
    <w:rsid w:val="00307E85"/>
    <w:rsid w:val="00310021"/>
    <w:rsid w:val="0031033B"/>
    <w:rsid w:val="003107E6"/>
    <w:rsid w:val="003108BC"/>
    <w:rsid w:val="003108C1"/>
    <w:rsid w:val="0031098F"/>
    <w:rsid w:val="003109D4"/>
    <w:rsid w:val="00310D49"/>
    <w:rsid w:val="00310DCD"/>
    <w:rsid w:val="00311051"/>
    <w:rsid w:val="00311081"/>
    <w:rsid w:val="00311233"/>
    <w:rsid w:val="00311236"/>
    <w:rsid w:val="0031151A"/>
    <w:rsid w:val="003116CE"/>
    <w:rsid w:val="00311709"/>
    <w:rsid w:val="00311F73"/>
    <w:rsid w:val="00312498"/>
    <w:rsid w:val="003129CE"/>
    <w:rsid w:val="00312ED9"/>
    <w:rsid w:val="003130B6"/>
    <w:rsid w:val="003130FB"/>
    <w:rsid w:val="0031317C"/>
    <w:rsid w:val="00313522"/>
    <w:rsid w:val="003135BD"/>
    <w:rsid w:val="003141F3"/>
    <w:rsid w:val="00314274"/>
    <w:rsid w:val="003142E0"/>
    <w:rsid w:val="003143B2"/>
    <w:rsid w:val="00314534"/>
    <w:rsid w:val="00314583"/>
    <w:rsid w:val="003149B5"/>
    <w:rsid w:val="003149D5"/>
    <w:rsid w:val="00314DF0"/>
    <w:rsid w:val="00315005"/>
    <w:rsid w:val="00315675"/>
    <w:rsid w:val="00315738"/>
    <w:rsid w:val="00315939"/>
    <w:rsid w:val="00315C0B"/>
    <w:rsid w:val="00315C56"/>
    <w:rsid w:val="00315D04"/>
    <w:rsid w:val="00315ED8"/>
    <w:rsid w:val="00315F19"/>
    <w:rsid w:val="0031600D"/>
    <w:rsid w:val="0031657D"/>
    <w:rsid w:val="003165F5"/>
    <w:rsid w:val="00316961"/>
    <w:rsid w:val="00316BBD"/>
    <w:rsid w:val="00317305"/>
    <w:rsid w:val="00317352"/>
    <w:rsid w:val="00317421"/>
    <w:rsid w:val="00317802"/>
    <w:rsid w:val="00317CA9"/>
    <w:rsid w:val="00317E4A"/>
    <w:rsid w:val="00320522"/>
    <w:rsid w:val="00320815"/>
    <w:rsid w:val="00320984"/>
    <w:rsid w:val="003209D2"/>
    <w:rsid w:val="00320D1C"/>
    <w:rsid w:val="00321330"/>
    <w:rsid w:val="0032154E"/>
    <w:rsid w:val="0032187B"/>
    <w:rsid w:val="00321C08"/>
    <w:rsid w:val="003227B2"/>
    <w:rsid w:val="00322839"/>
    <w:rsid w:val="00322ACB"/>
    <w:rsid w:val="003232D2"/>
    <w:rsid w:val="003233B1"/>
    <w:rsid w:val="003234AE"/>
    <w:rsid w:val="00323702"/>
    <w:rsid w:val="00323F61"/>
    <w:rsid w:val="003240CD"/>
    <w:rsid w:val="003244F7"/>
    <w:rsid w:val="00324550"/>
    <w:rsid w:val="00324682"/>
    <w:rsid w:val="00324703"/>
    <w:rsid w:val="00324DB6"/>
    <w:rsid w:val="00324DC2"/>
    <w:rsid w:val="0032576E"/>
    <w:rsid w:val="00325919"/>
    <w:rsid w:val="00325B20"/>
    <w:rsid w:val="00325F0E"/>
    <w:rsid w:val="00325FA9"/>
    <w:rsid w:val="00325FEF"/>
    <w:rsid w:val="00326208"/>
    <w:rsid w:val="0032624A"/>
    <w:rsid w:val="0032638F"/>
    <w:rsid w:val="0032660B"/>
    <w:rsid w:val="00326A32"/>
    <w:rsid w:val="00326F26"/>
    <w:rsid w:val="00326F51"/>
    <w:rsid w:val="003274E0"/>
    <w:rsid w:val="00327792"/>
    <w:rsid w:val="00327876"/>
    <w:rsid w:val="003278EC"/>
    <w:rsid w:val="003279CF"/>
    <w:rsid w:val="00327E55"/>
    <w:rsid w:val="00327E6B"/>
    <w:rsid w:val="00327F62"/>
    <w:rsid w:val="00330566"/>
    <w:rsid w:val="00330721"/>
    <w:rsid w:val="00330A95"/>
    <w:rsid w:val="003313F8"/>
    <w:rsid w:val="003314A0"/>
    <w:rsid w:val="00331511"/>
    <w:rsid w:val="003315AB"/>
    <w:rsid w:val="00331791"/>
    <w:rsid w:val="0033180C"/>
    <w:rsid w:val="00331B35"/>
    <w:rsid w:val="00332516"/>
    <w:rsid w:val="00332AE6"/>
    <w:rsid w:val="00332AFA"/>
    <w:rsid w:val="00332CB2"/>
    <w:rsid w:val="003330FE"/>
    <w:rsid w:val="00333705"/>
    <w:rsid w:val="00333AA0"/>
    <w:rsid w:val="00333B01"/>
    <w:rsid w:val="00333B66"/>
    <w:rsid w:val="00333F9D"/>
    <w:rsid w:val="00334AEA"/>
    <w:rsid w:val="00334BAF"/>
    <w:rsid w:val="00334CEB"/>
    <w:rsid w:val="00334E36"/>
    <w:rsid w:val="00334FBF"/>
    <w:rsid w:val="003353C0"/>
    <w:rsid w:val="00335C0D"/>
    <w:rsid w:val="00335C69"/>
    <w:rsid w:val="00335D80"/>
    <w:rsid w:val="0033602B"/>
    <w:rsid w:val="0033639B"/>
    <w:rsid w:val="00336523"/>
    <w:rsid w:val="003366BD"/>
    <w:rsid w:val="0033686C"/>
    <w:rsid w:val="00336D30"/>
    <w:rsid w:val="00336E5A"/>
    <w:rsid w:val="00336FDD"/>
    <w:rsid w:val="003371E6"/>
    <w:rsid w:val="00337593"/>
    <w:rsid w:val="00340313"/>
    <w:rsid w:val="0034047A"/>
    <w:rsid w:val="003408CC"/>
    <w:rsid w:val="00340976"/>
    <w:rsid w:val="003415AF"/>
    <w:rsid w:val="00341706"/>
    <w:rsid w:val="003419C7"/>
    <w:rsid w:val="003422E5"/>
    <w:rsid w:val="003423BC"/>
    <w:rsid w:val="00342733"/>
    <w:rsid w:val="003427A0"/>
    <w:rsid w:val="0034281F"/>
    <w:rsid w:val="003434A2"/>
    <w:rsid w:val="003435E5"/>
    <w:rsid w:val="00343CA1"/>
    <w:rsid w:val="00343D17"/>
    <w:rsid w:val="00343EED"/>
    <w:rsid w:val="00344184"/>
    <w:rsid w:val="00344189"/>
    <w:rsid w:val="00344249"/>
    <w:rsid w:val="00344625"/>
    <w:rsid w:val="003447E7"/>
    <w:rsid w:val="00344C36"/>
    <w:rsid w:val="00344DD6"/>
    <w:rsid w:val="00344DFD"/>
    <w:rsid w:val="00345224"/>
    <w:rsid w:val="003452A5"/>
    <w:rsid w:val="003456AC"/>
    <w:rsid w:val="00345AD4"/>
    <w:rsid w:val="00345F48"/>
    <w:rsid w:val="00346488"/>
    <w:rsid w:val="003464C0"/>
    <w:rsid w:val="00346B76"/>
    <w:rsid w:val="00346BB7"/>
    <w:rsid w:val="00346ED7"/>
    <w:rsid w:val="0034708F"/>
    <w:rsid w:val="0034737A"/>
    <w:rsid w:val="0034799A"/>
    <w:rsid w:val="00347C68"/>
    <w:rsid w:val="00347CA0"/>
    <w:rsid w:val="00347F1C"/>
    <w:rsid w:val="003500ED"/>
    <w:rsid w:val="003502CA"/>
    <w:rsid w:val="00350535"/>
    <w:rsid w:val="0035087B"/>
    <w:rsid w:val="0035096A"/>
    <w:rsid w:val="00350979"/>
    <w:rsid w:val="00350AEF"/>
    <w:rsid w:val="003510D9"/>
    <w:rsid w:val="00351679"/>
    <w:rsid w:val="003518FC"/>
    <w:rsid w:val="00351A6F"/>
    <w:rsid w:val="00351E33"/>
    <w:rsid w:val="003520E8"/>
    <w:rsid w:val="0035261B"/>
    <w:rsid w:val="003526C6"/>
    <w:rsid w:val="0035288D"/>
    <w:rsid w:val="00352A37"/>
    <w:rsid w:val="00352CD1"/>
    <w:rsid w:val="003537C2"/>
    <w:rsid w:val="00353DCB"/>
    <w:rsid w:val="00353E23"/>
    <w:rsid w:val="00354065"/>
    <w:rsid w:val="00354193"/>
    <w:rsid w:val="003542EC"/>
    <w:rsid w:val="00354C36"/>
    <w:rsid w:val="00354CCA"/>
    <w:rsid w:val="00354D7A"/>
    <w:rsid w:val="00354FAD"/>
    <w:rsid w:val="00355164"/>
    <w:rsid w:val="00355365"/>
    <w:rsid w:val="003555E8"/>
    <w:rsid w:val="003559CC"/>
    <w:rsid w:val="00355FB6"/>
    <w:rsid w:val="00356352"/>
    <w:rsid w:val="0035637A"/>
    <w:rsid w:val="0035690E"/>
    <w:rsid w:val="00356A52"/>
    <w:rsid w:val="00356F87"/>
    <w:rsid w:val="00357283"/>
    <w:rsid w:val="003573A8"/>
    <w:rsid w:val="00357692"/>
    <w:rsid w:val="00357831"/>
    <w:rsid w:val="00357DA9"/>
    <w:rsid w:val="00360A0B"/>
    <w:rsid w:val="00360FB2"/>
    <w:rsid w:val="0036113D"/>
    <w:rsid w:val="003612CA"/>
    <w:rsid w:val="003616A4"/>
    <w:rsid w:val="00361A40"/>
    <w:rsid w:val="00361C88"/>
    <w:rsid w:val="00361F82"/>
    <w:rsid w:val="00362747"/>
    <w:rsid w:val="00362E36"/>
    <w:rsid w:val="00362F89"/>
    <w:rsid w:val="00363251"/>
    <w:rsid w:val="00363B06"/>
    <w:rsid w:val="00363B29"/>
    <w:rsid w:val="00364AC7"/>
    <w:rsid w:val="00364B42"/>
    <w:rsid w:val="00364E79"/>
    <w:rsid w:val="003657DF"/>
    <w:rsid w:val="0036580D"/>
    <w:rsid w:val="003658C5"/>
    <w:rsid w:val="00365BAB"/>
    <w:rsid w:val="00365D19"/>
    <w:rsid w:val="00365DC5"/>
    <w:rsid w:val="00366258"/>
    <w:rsid w:val="0036687B"/>
    <w:rsid w:val="00366B32"/>
    <w:rsid w:val="00366CA6"/>
    <w:rsid w:val="00367256"/>
    <w:rsid w:val="0036791F"/>
    <w:rsid w:val="00367B11"/>
    <w:rsid w:val="00367B9F"/>
    <w:rsid w:val="0037003B"/>
    <w:rsid w:val="00370650"/>
    <w:rsid w:val="00370885"/>
    <w:rsid w:val="003708F4"/>
    <w:rsid w:val="00370933"/>
    <w:rsid w:val="00370944"/>
    <w:rsid w:val="00370C0C"/>
    <w:rsid w:val="0037268F"/>
    <w:rsid w:val="00372A1E"/>
    <w:rsid w:val="003732B6"/>
    <w:rsid w:val="003736D4"/>
    <w:rsid w:val="003737CB"/>
    <w:rsid w:val="0037440C"/>
    <w:rsid w:val="003744CD"/>
    <w:rsid w:val="0037487D"/>
    <w:rsid w:val="00374995"/>
    <w:rsid w:val="00374E31"/>
    <w:rsid w:val="00375111"/>
    <w:rsid w:val="0037540E"/>
    <w:rsid w:val="0037590B"/>
    <w:rsid w:val="00375985"/>
    <w:rsid w:val="00375A38"/>
    <w:rsid w:val="00375B62"/>
    <w:rsid w:val="0037676E"/>
    <w:rsid w:val="00376D23"/>
    <w:rsid w:val="00376F82"/>
    <w:rsid w:val="0037723E"/>
    <w:rsid w:val="00377491"/>
    <w:rsid w:val="003776E1"/>
    <w:rsid w:val="00377756"/>
    <w:rsid w:val="00377CC5"/>
    <w:rsid w:val="00377E5B"/>
    <w:rsid w:val="00377F64"/>
    <w:rsid w:val="003802F3"/>
    <w:rsid w:val="0038052A"/>
    <w:rsid w:val="0038082D"/>
    <w:rsid w:val="00381693"/>
    <w:rsid w:val="00381A12"/>
    <w:rsid w:val="00381F39"/>
    <w:rsid w:val="00382533"/>
    <w:rsid w:val="0038259E"/>
    <w:rsid w:val="0038295E"/>
    <w:rsid w:val="00382CFE"/>
    <w:rsid w:val="00382DF2"/>
    <w:rsid w:val="00383003"/>
    <w:rsid w:val="003830B0"/>
    <w:rsid w:val="003833A7"/>
    <w:rsid w:val="0038346A"/>
    <w:rsid w:val="00383881"/>
    <w:rsid w:val="00383BCB"/>
    <w:rsid w:val="00383DD1"/>
    <w:rsid w:val="00383FC6"/>
    <w:rsid w:val="00384506"/>
    <w:rsid w:val="00384563"/>
    <w:rsid w:val="00384565"/>
    <w:rsid w:val="00384646"/>
    <w:rsid w:val="003846B5"/>
    <w:rsid w:val="0038486C"/>
    <w:rsid w:val="00384B0F"/>
    <w:rsid w:val="003850BE"/>
    <w:rsid w:val="003851E9"/>
    <w:rsid w:val="0038532C"/>
    <w:rsid w:val="00385665"/>
    <w:rsid w:val="0038589F"/>
    <w:rsid w:val="00385939"/>
    <w:rsid w:val="00385DB6"/>
    <w:rsid w:val="00385EFE"/>
    <w:rsid w:val="003864D0"/>
    <w:rsid w:val="003865F6"/>
    <w:rsid w:val="00386954"/>
    <w:rsid w:val="0038709C"/>
    <w:rsid w:val="00387711"/>
    <w:rsid w:val="00387A67"/>
    <w:rsid w:val="00387A75"/>
    <w:rsid w:val="00390192"/>
    <w:rsid w:val="003903A8"/>
    <w:rsid w:val="00390459"/>
    <w:rsid w:val="003907E3"/>
    <w:rsid w:val="00390832"/>
    <w:rsid w:val="00390CE0"/>
    <w:rsid w:val="0039110F"/>
    <w:rsid w:val="00391127"/>
    <w:rsid w:val="0039141F"/>
    <w:rsid w:val="0039174C"/>
    <w:rsid w:val="00391AD4"/>
    <w:rsid w:val="00391D2F"/>
    <w:rsid w:val="003922FB"/>
    <w:rsid w:val="00392388"/>
    <w:rsid w:val="0039282C"/>
    <w:rsid w:val="00392B34"/>
    <w:rsid w:val="0039321D"/>
    <w:rsid w:val="00393759"/>
    <w:rsid w:val="003937C9"/>
    <w:rsid w:val="003938D5"/>
    <w:rsid w:val="00393C2E"/>
    <w:rsid w:val="00393F84"/>
    <w:rsid w:val="00394125"/>
    <w:rsid w:val="00394454"/>
    <w:rsid w:val="00394824"/>
    <w:rsid w:val="003953FC"/>
    <w:rsid w:val="003964E4"/>
    <w:rsid w:val="00396528"/>
    <w:rsid w:val="00396AE3"/>
    <w:rsid w:val="00396B14"/>
    <w:rsid w:val="00396B97"/>
    <w:rsid w:val="00396D9D"/>
    <w:rsid w:val="00396F4A"/>
    <w:rsid w:val="003970D2"/>
    <w:rsid w:val="00397530"/>
    <w:rsid w:val="0039757B"/>
    <w:rsid w:val="00397A35"/>
    <w:rsid w:val="003A09D8"/>
    <w:rsid w:val="003A0B4D"/>
    <w:rsid w:val="003A0BA1"/>
    <w:rsid w:val="003A1736"/>
    <w:rsid w:val="003A1779"/>
    <w:rsid w:val="003A191F"/>
    <w:rsid w:val="003A1D45"/>
    <w:rsid w:val="003A1F04"/>
    <w:rsid w:val="003A2175"/>
    <w:rsid w:val="003A2274"/>
    <w:rsid w:val="003A28E5"/>
    <w:rsid w:val="003A2FB4"/>
    <w:rsid w:val="003A3B13"/>
    <w:rsid w:val="003A3B45"/>
    <w:rsid w:val="003A3EC6"/>
    <w:rsid w:val="003A3F36"/>
    <w:rsid w:val="003A40BA"/>
    <w:rsid w:val="003A4433"/>
    <w:rsid w:val="003A47D6"/>
    <w:rsid w:val="003A4A1F"/>
    <w:rsid w:val="003A4E83"/>
    <w:rsid w:val="003A4EF1"/>
    <w:rsid w:val="003A4F61"/>
    <w:rsid w:val="003A500D"/>
    <w:rsid w:val="003A5613"/>
    <w:rsid w:val="003A569C"/>
    <w:rsid w:val="003A56B5"/>
    <w:rsid w:val="003A5DE8"/>
    <w:rsid w:val="003A6094"/>
    <w:rsid w:val="003A60EB"/>
    <w:rsid w:val="003A616F"/>
    <w:rsid w:val="003A62E3"/>
    <w:rsid w:val="003A6C55"/>
    <w:rsid w:val="003A6D01"/>
    <w:rsid w:val="003A6FF2"/>
    <w:rsid w:val="003A7029"/>
    <w:rsid w:val="003A71DA"/>
    <w:rsid w:val="003A758E"/>
    <w:rsid w:val="003B003D"/>
    <w:rsid w:val="003B089A"/>
    <w:rsid w:val="003B0A5F"/>
    <w:rsid w:val="003B0C83"/>
    <w:rsid w:val="003B12B1"/>
    <w:rsid w:val="003B1555"/>
    <w:rsid w:val="003B1880"/>
    <w:rsid w:val="003B1C82"/>
    <w:rsid w:val="003B2089"/>
    <w:rsid w:val="003B2105"/>
    <w:rsid w:val="003B27B7"/>
    <w:rsid w:val="003B28B7"/>
    <w:rsid w:val="003B28BC"/>
    <w:rsid w:val="003B293B"/>
    <w:rsid w:val="003B2B30"/>
    <w:rsid w:val="003B2ED0"/>
    <w:rsid w:val="003B38C4"/>
    <w:rsid w:val="003B38DA"/>
    <w:rsid w:val="003B3931"/>
    <w:rsid w:val="003B3EF0"/>
    <w:rsid w:val="003B40D6"/>
    <w:rsid w:val="003B44EC"/>
    <w:rsid w:val="003B4ED0"/>
    <w:rsid w:val="003B4FFD"/>
    <w:rsid w:val="003B508C"/>
    <w:rsid w:val="003B50A7"/>
    <w:rsid w:val="003B55D8"/>
    <w:rsid w:val="003B58E6"/>
    <w:rsid w:val="003B5A65"/>
    <w:rsid w:val="003B6062"/>
    <w:rsid w:val="003B615F"/>
    <w:rsid w:val="003B66DE"/>
    <w:rsid w:val="003B6799"/>
    <w:rsid w:val="003B6E98"/>
    <w:rsid w:val="003B6F75"/>
    <w:rsid w:val="003B6FD3"/>
    <w:rsid w:val="003B70BA"/>
    <w:rsid w:val="003B70DE"/>
    <w:rsid w:val="003B7164"/>
    <w:rsid w:val="003B7B09"/>
    <w:rsid w:val="003B7C49"/>
    <w:rsid w:val="003B7DD8"/>
    <w:rsid w:val="003B7E4B"/>
    <w:rsid w:val="003C01CB"/>
    <w:rsid w:val="003C028D"/>
    <w:rsid w:val="003C0611"/>
    <w:rsid w:val="003C066A"/>
    <w:rsid w:val="003C0AEA"/>
    <w:rsid w:val="003C0DE4"/>
    <w:rsid w:val="003C0E00"/>
    <w:rsid w:val="003C1568"/>
    <w:rsid w:val="003C1622"/>
    <w:rsid w:val="003C18D3"/>
    <w:rsid w:val="003C1C93"/>
    <w:rsid w:val="003C1E1A"/>
    <w:rsid w:val="003C24D6"/>
    <w:rsid w:val="003C2CF8"/>
    <w:rsid w:val="003C2DC5"/>
    <w:rsid w:val="003C2E1D"/>
    <w:rsid w:val="003C2F5E"/>
    <w:rsid w:val="003C34B8"/>
    <w:rsid w:val="003C41A6"/>
    <w:rsid w:val="003C480A"/>
    <w:rsid w:val="003C4C21"/>
    <w:rsid w:val="003C4F65"/>
    <w:rsid w:val="003C4F7A"/>
    <w:rsid w:val="003C4FF1"/>
    <w:rsid w:val="003C5113"/>
    <w:rsid w:val="003C53A4"/>
    <w:rsid w:val="003C59FA"/>
    <w:rsid w:val="003C5E03"/>
    <w:rsid w:val="003C5ED3"/>
    <w:rsid w:val="003C645A"/>
    <w:rsid w:val="003C6710"/>
    <w:rsid w:val="003C6B25"/>
    <w:rsid w:val="003C6F07"/>
    <w:rsid w:val="003C7776"/>
    <w:rsid w:val="003C7825"/>
    <w:rsid w:val="003D00F3"/>
    <w:rsid w:val="003D02B7"/>
    <w:rsid w:val="003D050B"/>
    <w:rsid w:val="003D076B"/>
    <w:rsid w:val="003D0BF3"/>
    <w:rsid w:val="003D15F0"/>
    <w:rsid w:val="003D1710"/>
    <w:rsid w:val="003D1F23"/>
    <w:rsid w:val="003D20FD"/>
    <w:rsid w:val="003D25BD"/>
    <w:rsid w:val="003D2D79"/>
    <w:rsid w:val="003D2D91"/>
    <w:rsid w:val="003D35BC"/>
    <w:rsid w:val="003D40A4"/>
    <w:rsid w:val="003D43C5"/>
    <w:rsid w:val="003D4442"/>
    <w:rsid w:val="003D4703"/>
    <w:rsid w:val="003D47E1"/>
    <w:rsid w:val="003D4885"/>
    <w:rsid w:val="003D49E4"/>
    <w:rsid w:val="003D4F77"/>
    <w:rsid w:val="003D5165"/>
    <w:rsid w:val="003D547A"/>
    <w:rsid w:val="003D552B"/>
    <w:rsid w:val="003D5A85"/>
    <w:rsid w:val="003D5E04"/>
    <w:rsid w:val="003D5E70"/>
    <w:rsid w:val="003D5E7C"/>
    <w:rsid w:val="003D5F18"/>
    <w:rsid w:val="003D60F9"/>
    <w:rsid w:val="003D62FB"/>
    <w:rsid w:val="003D6733"/>
    <w:rsid w:val="003D6A74"/>
    <w:rsid w:val="003D70CD"/>
    <w:rsid w:val="003D771B"/>
    <w:rsid w:val="003D7F98"/>
    <w:rsid w:val="003E006E"/>
    <w:rsid w:val="003E0305"/>
    <w:rsid w:val="003E0396"/>
    <w:rsid w:val="003E03A5"/>
    <w:rsid w:val="003E065D"/>
    <w:rsid w:val="003E08E2"/>
    <w:rsid w:val="003E09B1"/>
    <w:rsid w:val="003E0E23"/>
    <w:rsid w:val="003E0F7D"/>
    <w:rsid w:val="003E1209"/>
    <w:rsid w:val="003E13CD"/>
    <w:rsid w:val="003E1454"/>
    <w:rsid w:val="003E149F"/>
    <w:rsid w:val="003E1891"/>
    <w:rsid w:val="003E198E"/>
    <w:rsid w:val="003E1B34"/>
    <w:rsid w:val="003E1F22"/>
    <w:rsid w:val="003E1FC9"/>
    <w:rsid w:val="003E2213"/>
    <w:rsid w:val="003E22DD"/>
    <w:rsid w:val="003E245C"/>
    <w:rsid w:val="003E24A4"/>
    <w:rsid w:val="003E2BF7"/>
    <w:rsid w:val="003E2CA3"/>
    <w:rsid w:val="003E3443"/>
    <w:rsid w:val="003E3504"/>
    <w:rsid w:val="003E3932"/>
    <w:rsid w:val="003E3965"/>
    <w:rsid w:val="003E4029"/>
    <w:rsid w:val="003E437F"/>
    <w:rsid w:val="003E46E7"/>
    <w:rsid w:val="003E489E"/>
    <w:rsid w:val="003E49C1"/>
    <w:rsid w:val="003E4A73"/>
    <w:rsid w:val="003E50D0"/>
    <w:rsid w:val="003E525C"/>
    <w:rsid w:val="003E5485"/>
    <w:rsid w:val="003E60D4"/>
    <w:rsid w:val="003E628F"/>
    <w:rsid w:val="003E6EEE"/>
    <w:rsid w:val="003E78A4"/>
    <w:rsid w:val="003E7910"/>
    <w:rsid w:val="003E7BAC"/>
    <w:rsid w:val="003E7F80"/>
    <w:rsid w:val="003F00C7"/>
    <w:rsid w:val="003F0A9C"/>
    <w:rsid w:val="003F0B08"/>
    <w:rsid w:val="003F0B4C"/>
    <w:rsid w:val="003F0B83"/>
    <w:rsid w:val="003F0CCB"/>
    <w:rsid w:val="003F0CE2"/>
    <w:rsid w:val="003F0F9E"/>
    <w:rsid w:val="003F1333"/>
    <w:rsid w:val="003F1627"/>
    <w:rsid w:val="003F1709"/>
    <w:rsid w:val="003F179B"/>
    <w:rsid w:val="003F1E43"/>
    <w:rsid w:val="003F2030"/>
    <w:rsid w:val="003F24A8"/>
    <w:rsid w:val="003F2606"/>
    <w:rsid w:val="003F2EB5"/>
    <w:rsid w:val="003F3088"/>
    <w:rsid w:val="003F3094"/>
    <w:rsid w:val="003F3360"/>
    <w:rsid w:val="003F37A8"/>
    <w:rsid w:val="003F38D5"/>
    <w:rsid w:val="003F3AFC"/>
    <w:rsid w:val="003F3FDD"/>
    <w:rsid w:val="003F427D"/>
    <w:rsid w:val="003F4295"/>
    <w:rsid w:val="003F4446"/>
    <w:rsid w:val="003F4631"/>
    <w:rsid w:val="003F486B"/>
    <w:rsid w:val="003F4A6D"/>
    <w:rsid w:val="003F4AB4"/>
    <w:rsid w:val="003F5286"/>
    <w:rsid w:val="003F5410"/>
    <w:rsid w:val="003F5542"/>
    <w:rsid w:val="003F561F"/>
    <w:rsid w:val="003F5ACD"/>
    <w:rsid w:val="003F5B72"/>
    <w:rsid w:val="003F5BB0"/>
    <w:rsid w:val="003F5CFD"/>
    <w:rsid w:val="003F5D9F"/>
    <w:rsid w:val="003F6773"/>
    <w:rsid w:val="003F72B1"/>
    <w:rsid w:val="003F7422"/>
    <w:rsid w:val="003F7948"/>
    <w:rsid w:val="003F7BE3"/>
    <w:rsid w:val="003F7E04"/>
    <w:rsid w:val="0040012C"/>
    <w:rsid w:val="00400CA0"/>
    <w:rsid w:val="00400F4A"/>
    <w:rsid w:val="00400F9B"/>
    <w:rsid w:val="0040125C"/>
    <w:rsid w:val="00401461"/>
    <w:rsid w:val="0040194A"/>
    <w:rsid w:val="00401B02"/>
    <w:rsid w:val="004020D9"/>
    <w:rsid w:val="0040211A"/>
    <w:rsid w:val="004023E9"/>
    <w:rsid w:val="00402470"/>
    <w:rsid w:val="00402E1E"/>
    <w:rsid w:val="00402E82"/>
    <w:rsid w:val="00403113"/>
    <w:rsid w:val="00403312"/>
    <w:rsid w:val="004036BC"/>
    <w:rsid w:val="0040373E"/>
    <w:rsid w:val="00403759"/>
    <w:rsid w:val="004040AE"/>
    <w:rsid w:val="00404A06"/>
    <w:rsid w:val="00405297"/>
    <w:rsid w:val="0040544C"/>
    <w:rsid w:val="004056DC"/>
    <w:rsid w:val="00405D5A"/>
    <w:rsid w:val="00405D6D"/>
    <w:rsid w:val="0040602E"/>
    <w:rsid w:val="00406244"/>
    <w:rsid w:val="004062F1"/>
    <w:rsid w:val="00406517"/>
    <w:rsid w:val="00406729"/>
    <w:rsid w:val="0040708A"/>
    <w:rsid w:val="00407571"/>
    <w:rsid w:val="00407821"/>
    <w:rsid w:val="004078E5"/>
    <w:rsid w:val="00407B8C"/>
    <w:rsid w:val="00410611"/>
    <w:rsid w:val="00410655"/>
    <w:rsid w:val="00410698"/>
    <w:rsid w:val="00410700"/>
    <w:rsid w:val="0041096E"/>
    <w:rsid w:val="004109D1"/>
    <w:rsid w:val="00410C37"/>
    <w:rsid w:val="0041145F"/>
    <w:rsid w:val="00411541"/>
    <w:rsid w:val="004115EC"/>
    <w:rsid w:val="00411BA3"/>
    <w:rsid w:val="00412230"/>
    <w:rsid w:val="00412E40"/>
    <w:rsid w:val="00412EB2"/>
    <w:rsid w:val="00413181"/>
    <w:rsid w:val="004137D5"/>
    <w:rsid w:val="00413A51"/>
    <w:rsid w:val="0041450D"/>
    <w:rsid w:val="00414632"/>
    <w:rsid w:val="00414C83"/>
    <w:rsid w:val="0041506F"/>
    <w:rsid w:val="0041587E"/>
    <w:rsid w:val="00415AB7"/>
    <w:rsid w:val="00415BBA"/>
    <w:rsid w:val="00415F1D"/>
    <w:rsid w:val="004160D4"/>
    <w:rsid w:val="00416485"/>
    <w:rsid w:val="004170F6"/>
    <w:rsid w:val="00417717"/>
    <w:rsid w:val="0041784F"/>
    <w:rsid w:val="004178E9"/>
    <w:rsid w:val="00417A0F"/>
    <w:rsid w:val="00417B97"/>
    <w:rsid w:val="00417F0E"/>
    <w:rsid w:val="004200A5"/>
    <w:rsid w:val="0042019D"/>
    <w:rsid w:val="00420238"/>
    <w:rsid w:val="004204B2"/>
    <w:rsid w:val="004205A0"/>
    <w:rsid w:val="00420B24"/>
    <w:rsid w:val="00420EEC"/>
    <w:rsid w:val="00420EF3"/>
    <w:rsid w:val="0042103A"/>
    <w:rsid w:val="004213C3"/>
    <w:rsid w:val="004213CF"/>
    <w:rsid w:val="004215ED"/>
    <w:rsid w:val="0042168C"/>
    <w:rsid w:val="00421744"/>
    <w:rsid w:val="0042175A"/>
    <w:rsid w:val="00421822"/>
    <w:rsid w:val="00421F87"/>
    <w:rsid w:val="0042207E"/>
    <w:rsid w:val="00422315"/>
    <w:rsid w:val="0042278A"/>
    <w:rsid w:val="004227F1"/>
    <w:rsid w:val="00422958"/>
    <w:rsid w:val="00422B56"/>
    <w:rsid w:val="00422E5C"/>
    <w:rsid w:val="00422F63"/>
    <w:rsid w:val="0042328F"/>
    <w:rsid w:val="004234D8"/>
    <w:rsid w:val="00424125"/>
    <w:rsid w:val="004241B5"/>
    <w:rsid w:val="00424455"/>
    <w:rsid w:val="0042448E"/>
    <w:rsid w:val="00424618"/>
    <w:rsid w:val="00424955"/>
    <w:rsid w:val="00424983"/>
    <w:rsid w:val="00424BE9"/>
    <w:rsid w:val="00424E4C"/>
    <w:rsid w:val="00424E6D"/>
    <w:rsid w:val="00425027"/>
    <w:rsid w:val="0042523E"/>
    <w:rsid w:val="004252B3"/>
    <w:rsid w:val="0042555C"/>
    <w:rsid w:val="00425777"/>
    <w:rsid w:val="0042662B"/>
    <w:rsid w:val="004269C3"/>
    <w:rsid w:val="00426CA8"/>
    <w:rsid w:val="00426EA0"/>
    <w:rsid w:val="00426FB5"/>
    <w:rsid w:val="0042709E"/>
    <w:rsid w:val="004270F9"/>
    <w:rsid w:val="00427538"/>
    <w:rsid w:val="004275B2"/>
    <w:rsid w:val="00427AA7"/>
    <w:rsid w:val="00427B4D"/>
    <w:rsid w:val="00430167"/>
    <w:rsid w:val="00430399"/>
    <w:rsid w:val="004303EF"/>
    <w:rsid w:val="00430CFA"/>
    <w:rsid w:val="00430D4D"/>
    <w:rsid w:val="00430F40"/>
    <w:rsid w:val="00431024"/>
    <w:rsid w:val="00431274"/>
    <w:rsid w:val="004320E6"/>
    <w:rsid w:val="004323C8"/>
    <w:rsid w:val="00432506"/>
    <w:rsid w:val="00432671"/>
    <w:rsid w:val="00432700"/>
    <w:rsid w:val="00432791"/>
    <w:rsid w:val="004327A4"/>
    <w:rsid w:val="004327D2"/>
    <w:rsid w:val="0043357D"/>
    <w:rsid w:val="00433E32"/>
    <w:rsid w:val="004344EC"/>
    <w:rsid w:val="004345E4"/>
    <w:rsid w:val="00434660"/>
    <w:rsid w:val="00434817"/>
    <w:rsid w:val="004348E4"/>
    <w:rsid w:val="00434A6E"/>
    <w:rsid w:val="00434ADA"/>
    <w:rsid w:val="00434DA6"/>
    <w:rsid w:val="00435037"/>
    <w:rsid w:val="004352A4"/>
    <w:rsid w:val="00435301"/>
    <w:rsid w:val="00435AD1"/>
    <w:rsid w:val="00435D99"/>
    <w:rsid w:val="00435DEA"/>
    <w:rsid w:val="00435F6C"/>
    <w:rsid w:val="004368B7"/>
    <w:rsid w:val="00436BF2"/>
    <w:rsid w:val="00436F71"/>
    <w:rsid w:val="004370A7"/>
    <w:rsid w:val="004374A1"/>
    <w:rsid w:val="004377A9"/>
    <w:rsid w:val="004407DE"/>
    <w:rsid w:val="004408A2"/>
    <w:rsid w:val="0044099B"/>
    <w:rsid w:val="00440A3A"/>
    <w:rsid w:val="00440DC3"/>
    <w:rsid w:val="00441684"/>
    <w:rsid w:val="0044172A"/>
    <w:rsid w:val="00441903"/>
    <w:rsid w:val="00441B06"/>
    <w:rsid w:val="004421FB"/>
    <w:rsid w:val="004422C2"/>
    <w:rsid w:val="00442338"/>
    <w:rsid w:val="0044281C"/>
    <w:rsid w:val="0044284D"/>
    <w:rsid w:val="004428EA"/>
    <w:rsid w:val="00442E6E"/>
    <w:rsid w:val="00442EEA"/>
    <w:rsid w:val="004431BC"/>
    <w:rsid w:val="004433A3"/>
    <w:rsid w:val="00443489"/>
    <w:rsid w:val="00443BFF"/>
    <w:rsid w:val="00443D7C"/>
    <w:rsid w:val="0044423E"/>
    <w:rsid w:val="00444249"/>
    <w:rsid w:val="004444E0"/>
    <w:rsid w:val="0044452C"/>
    <w:rsid w:val="00444987"/>
    <w:rsid w:val="00444B78"/>
    <w:rsid w:val="00444C0F"/>
    <w:rsid w:val="00444FE5"/>
    <w:rsid w:val="00445A24"/>
    <w:rsid w:val="00446104"/>
    <w:rsid w:val="00446F79"/>
    <w:rsid w:val="004471FC"/>
    <w:rsid w:val="0044722D"/>
    <w:rsid w:val="0044740C"/>
    <w:rsid w:val="004474A4"/>
    <w:rsid w:val="00447654"/>
    <w:rsid w:val="004479EF"/>
    <w:rsid w:val="00447C35"/>
    <w:rsid w:val="00450055"/>
    <w:rsid w:val="00450175"/>
    <w:rsid w:val="00450900"/>
    <w:rsid w:val="00450BF6"/>
    <w:rsid w:val="0045104A"/>
    <w:rsid w:val="00451801"/>
    <w:rsid w:val="00451813"/>
    <w:rsid w:val="004519CF"/>
    <w:rsid w:val="00451D5A"/>
    <w:rsid w:val="00452246"/>
    <w:rsid w:val="004528B5"/>
    <w:rsid w:val="00452AB5"/>
    <w:rsid w:val="00452CF6"/>
    <w:rsid w:val="004533E3"/>
    <w:rsid w:val="0045357B"/>
    <w:rsid w:val="00453A23"/>
    <w:rsid w:val="00453B11"/>
    <w:rsid w:val="00453E22"/>
    <w:rsid w:val="00453EF4"/>
    <w:rsid w:val="00453F66"/>
    <w:rsid w:val="0045403F"/>
    <w:rsid w:val="00454AD0"/>
    <w:rsid w:val="00454B0C"/>
    <w:rsid w:val="0045519B"/>
    <w:rsid w:val="00455452"/>
    <w:rsid w:val="004555A0"/>
    <w:rsid w:val="0045589F"/>
    <w:rsid w:val="00456029"/>
    <w:rsid w:val="00456140"/>
    <w:rsid w:val="0045663E"/>
    <w:rsid w:val="00456878"/>
    <w:rsid w:val="00456DD1"/>
    <w:rsid w:val="004571AD"/>
    <w:rsid w:val="0045759A"/>
    <w:rsid w:val="0045770B"/>
    <w:rsid w:val="00457AD2"/>
    <w:rsid w:val="00457AFF"/>
    <w:rsid w:val="00457E32"/>
    <w:rsid w:val="004600E6"/>
    <w:rsid w:val="004607CE"/>
    <w:rsid w:val="00460A2C"/>
    <w:rsid w:val="00460EB4"/>
    <w:rsid w:val="0046129A"/>
    <w:rsid w:val="004612A3"/>
    <w:rsid w:val="004619A8"/>
    <w:rsid w:val="004619F3"/>
    <w:rsid w:val="004619F9"/>
    <w:rsid w:val="00461C93"/>
    <w:rsid w:val="00461EC9"/>
    <w:rsid w:val="0046234E"/>
    <w:rsid w:val="00462569"/>
    <w:rsid w:val="0046260F"/>
    <w:rsid w:val="00462B97"/>
    <w:rsid w:val="00462EF3"/>
    <w:rsid w:val="004635DD"/>
    <w:rsid w:val="004643FB"/>
    <w:rsid w:val="0046476A"/>
    <w:rsid w:val="00464D89"/>
    <w:rsid w:val="00464F84"/>
    <w:rsid w:val="0046523A"/>
    <w:rsid w:val="004655DB"/>
    <w:rsid w:val="00465B2F"/>
    <w:rsid w:val="00465CD1"/>
    <w:rsid w:val="00465DAB"/>
    <w:rsid w:val="00465DB3"/>
    <w:rsid w:val="00465DD9"/>
    <w:rsid w:val="00465E37"/>
    <w:rsid w:val="004660D0"/>
    <w:rsid w:val="00466239"/>
    <w:rsid w:val="00466538"/>
    <w:rsid w:val="00466D5A"/>
    <w:rsid w:val="00466DD5"/>
    <w:rsid w:val="004671BA"/>
    <w:rsid w:val="0046752B"/>
    <w:rsid w:val="004675F8"/>
    <w:rsid w:val="0046767E"/>
    <w:rsid w:val="00467BDD"/>
    <w:rsid w:val="00467D9F"/>
    <w:rsid w:val="00467EF8"/>
    <w:rsid w:val="004702CB"/>
    <w:rsid w:val="00470600"/>
    <w:rsid w:val="00470792"/>
    <w:rsid w:val="00470AF9"/>
    <w:rsid w:val="00470B4C"/>
    <w:rsid w:val="00470CCF"/>
    <w:rsid w:val="00470FFB"/>
    <w:rsid w:val="00471082"/>
    <w:rsid w:val="004712DB"/>
    <w:rsid w:val="0047181E"/>
    <w:rsid w:val="00471B7F"/>
    <w:rsid w:val="00471BC7"/>
    <w:rsid w:val="00471EB2"/>
    <w:rsid w:val="00472349"/>
    <w:rsid w:val="00472562"/>
    <w:rsid w:val="004728E4"/>
    <w:rsid w:val="00472C56"/>
    <w:rsid w:val="00472CEB"/>
    <w:rsid w:val="0047305D"/>
    <w:rsid w:val="004730EF"/>
    <w:rsid w:val="00473296"/>
    <w:rsid w:val="0047393E"/>
    <w:rsid w:val="00473C73"/>
    <w:rsid w:val="00473DC9"/>
    <w:rsid w:val="00473F32"/>
    <w:rsid w:val="004748E3"/>
    <w:rsid w:val="00474B86"/>
    <w:rsid w:val="00474D9C"/>
    <w:rsid w:val="00474DFD"/>
    <w:rsid w:val="00475041"/>
    <w:rsid w:val="00475061"/>
    <w:rsid w:val="00475650"/>
    <w:rsid w:val="004757D4"/>
    <w:rsid w:val="00475968"/>
    <w:rsid w:val="00475A8C"/>
    <w:rsid w:val="00475BBB"/>
    <w:rsid w:val="00475E8D"/>
    <w:rsid w:val="00475F86"/>
    <w:rsid w:val="004761A9"/>
    <w:rsid w:val="00476652"/>
    <w:rsid w:val="00476788"/>
    <w:rsid w:val="00476A04"/>
    <w:rsid w:val="00476D34"/>
    <w:rsid w:val="00476E1A"/>
    <w:rsid w:val="00477965"/>
    <w:rsid w:val="00477D7C"/>
    <w:rsid w:val="00477EED"/>
    <w:rsid w:val="0048003C"/>
    <w:rsid w:val="00480C65"/>
    <w:rsid w:val="0048117A"/>
    <w:rsid w:val="00481849"/>
    <w:rsid w:val="004819DE"/>
    <w:rsid w:val="004824DC"/>
    <w:rsid w:val="004825D9"/>
    <w:rsid w:val="00482641"/>
    <w:rsid w:val="004827DA"/>
    <w:rsid w:val="00482880"/>
    <w:rsid w:val="00482AF9"/>
    <w:rsid w:val="00482C7E"/>
    <w:rsid w:val="00482E11"/>
    <w:rsid w:val="00483149"/>
    <w:rsid w:val="004833AF"/>
    <w:rsid w:val="004834E3"/>
    <w:rsid w:val="00483C68"/>
    <w:rsid w:val="00483D3F"/>
    <w:rsid w:val="00483F38"/>
    <w:rsid w:val="0048422D"/>
    <w:rsid w:val="00484298"/>
    <w:rsid w:val="004845E9"/>
    <w:rsid w:val="00484800"/>
    <w:rsid w:val="00484901"/>
    <w:rsid w:val="004850BA"/>
    <w:rsid w:val="00485541"/>
    <w:rsid w:val="00485685"/>
    <w:rsid w:val="00485703"/>
    <w:rsid w:val="0048577C"/>
    <w:rsid w:val="00485813"/>
    <w:rsid w:val="00485875"/>
    <w:rsid w:val="00485887"/>
    <w:rsid w:val="0048592F"/>
    <w:rsid w:val="00485D58"/>
    <w:rsid w:val="00485FCB"/>
    <w:rsid w:val="00485FF2"/>
    <w:rsid w:val="004860BE"/>
    <w:rsid w:val="004860E2"/>
    <w:rsid w:val="004861BA"/>
    <w:rsid w:val="0048667D"/>
    <w:rsid w:val="00486C70"/>
    <w:rsid w:val="00486FB0"/>
    <w:rsid w:val="004871C1"/>
    <w:rsid w:val="00487866"/>
    <w:rsid w:val="00487D88"/>
    <w:rsid w:val="004900D3"/>
    <w:rsid w:val="004900FE"/>
    <w:rsid w:val="00490327"/>
    <w:rsid w:val="00491182"/>
    <w:rsid w:val="004911C6"/>
    <w:rsid w:val="00491310"/>
    <w:rsid w:val="00491356"/>
    <w:rsid w:val="0049148A"/>
    <w:rsid w:val="004914E9"/>
    <w:rsid w:val="00491694"/>
    <w:rsid w:val="004916E6"/>
    <w:rsid w:val="004919B7"/>
    <w:rsid w:val="00491C30"/>
    <w:rsid w:val="00491CAE"/>
    <w:rsid w:val="004920E2"/>
    <w:rsid w:val="0049222C"/>
    <w:rsid w:val="0049259A"/>
    <w:rsid w:val="00492E17"/>
    <w:rsid w:val="00492E6F"/>
    <w:rsid w:val="0049302E"/>
    <w:rsid w:val="004930C4"/>
    <w:rsid w:val="004934C4"/>
    <w:rsid w:val="0049414A"/>
    <w:rsid w:val="004942E8"/>
    <w:rsid w:val="004943D2"/>
    <w:rsid w:val="004945FE"/>
    <w:rsid w:val="00495448"/>
    <w:rsid w:val="00495511"/>
    <w:rsid w:val="00495639"/>
    <w:rsid w:val="004959B1"/>
    <w:rsid w:val="00496052"/>
    <w:rsid w:val="0049605D"/>
    <w:rsid w:val="004963CF"/>
    <w:rsid w:val="00496497"/>
    <w:rsid w:val="00496F04"/>
    <w:rsid w:val="00497572"/>
    <w:rsid w:val="004979B5"/>
    <w:rsid w:val="00497BBB"/>
    <w:rsid w:val="004A040A"/>
    <w:rsid w:val="004A0730"/>
    <w:rsid w:val="004A110A"/>
    <w:rsid w:val="004A122C"/>
    <w:rsid w:val="004A1526"/>
    <w:rsid w:val="004A1551"/>
    <w:rsid w:val="004A15AB"/>
    <w:rsid w:val="004A17E1"/>
    <w:rsid w:val="004A1969"/>
    <w:rsid w:val="004A1ED6"/>
    <w:rsid w:val="004A1F22"/>
    <w:rsid w:val="004A2108"/>
    <w:rsid w:val="004A239A"/>
    <w:rsid w:val="004A2473"/>
    <w:rsid w:val="004A2D0A"/>
    <w:rsid w:val="004A31B8"/>
    <w:rsid w:val="004A36BF"/>
    <w:rsid w:val="004A3794"/>
    <w:rsid w:val="004A3828"/>
    <w:rsid w:val="004A3C82"/>
    <w:rsid w:val="004A3F1C"/>
    <w:rsid w:val="004A4104"/>
    <w:rsid w:val="004A447E"/>
    <w:rsid w:val="004A47FF"/>
    <w:rsid w:val="004A4856"/>
    <w:rsid w:val="004A4FC5"/>
    <w:rsid w:val="004A5305"/>
    <w:rsid w:val="004A56D9"/>
    <w:rsid w:val="004A605C"/>
    <w:rsid w:val="004A60D4"/>
    <w:rsid w:val="004A61B0"/>
    <w:rsid w:val="004A6666"/>
    <w:rsid w:val="004A6848"/>
    <w:rsid w:val="004A6A5C"/>
    <w:rsid w:val="004A734B"/>
    <w:rsid w:val="004A75F1"/>
    <w:rsid w:val="004A7DCF"/>
    <w:rsid w:val="004B02F2"/>
    <w:rsid w:val="004B0725"/>
    <w:rsid w:val="004B09D1"/>
    <w:rsid w:val="004B0ABD"/>
    <w:rsid w:val="004B0C1C"/>
    <w:rsid w:val="004B0C98"/>
    <w:rsid w:val="004B0FA4"/>
    <w:rsid w:val="004B10D9"/>
    <w:rsid w:val="004B12CC"/>
    <w:rsid w:val="004B1308"/>
    <w:rsid w:val="004B1A87"/>
    <w:rsid w:val="004B1AE2"/>
    <w:rsid w:val="004B1F54"/>
    <w:rsid w:val="004B2057"/>
    <w:rsid w:val="004B21D5"/>
    <w:rsid w:val="004B2326"/>
    <w:rsid w:val="004B29BC"/>
    <w:rsid w:val="004B2D0F"/>
    <w:rsid w:val="004B2E63"/>
    <w:rsid w:val="004B2FFA"/>
    <w:rsid w:val="004B3CD4"/>
    <w:rsid w:val="004B4DE0"/>
    <w:rsid w:val="004B579E"/>
    <w:rsid w:val="004B598B"/>
    <w:rsid w:val="004B5E0C"/>
    <w:rsid w:val="004B65B7"/>
    <w:rsid w:val="004B66D0"/>
    <w:rsid w:val="004B6823"/>
    <w:rsid w:val="004B6BE0"/>
    <w:rsid w:val="004B6C76"/>
    <w:rsid w:val="004B6E44"/>
    <w:rsid w:val="004B70CA"/>
    <w:rsid w:val="004B74A9"/>
    <w:rsid w:val="004B7C4E"/>
    <w:rsid w:val="004C0048"/>
    <w:rsid w:val="004C0182"/>
    <w:rsid w:val="004C0245"/>
    <w:rsid w:val="004C0407"/>
    <w:rsid w:val="004C0938"/>
    <w:rsid w:val="004C0A09"/>
    <w:rsid w:val="004C0AF2"/>
    <w:rsid w:val="004C0D5D"/>
    <w:rsid w:val="004C11D1"/>
    <w:rsid w:val="004C13A1"/>
    <w:rsid w:val="004C15DB"/>
    <w:rsid w:val="004C16A4"/>
    <w:rsid w:val="004C1797"/>
    <w:rsid w:val="004C219F"/>
    <w:rsid w:val="004C21EA"/>
    <w:rsid w:val="004C2212"/>
    <w:rsid w:val="004C278B"/>
    <w:rsid w:val="004C2C4E"/>
    <w:rsid w:val="004C30CE"/>
    <w:rsid w:val="004C3288"/>
    <w:rsid w:val="004C3E2B"/>
    <w:rsid w:val="004C3E9A"/>
    <w:rsid w:val="004C3F03"/>
    <w:rsid w:val="004C417B"/>
    <w:rsid w:val="004C41D5"/>
    <w:rsid w:val="004C4938"/>
    <w:rsid w:val="004C4A8D"/>
    <w:rsid w:val="004C4B31"/>
    <w:rsid w:val="004C5452"/>
    <w:rsid w:val="004C583C"/>
    <w:rsid w:val="004C588E"/>
    <w:rsid w:val="004C5AD3"/>
    <w:rsid w:val="004C5B06"/>
    <w:rsid w:val="004C5B1B"/>
    <w:rsid w:val="004C5E32"/>
    <w:rsid w:val="004C5EA6"/>
    <w:rsid w:val="004C6514"/>
    <w:rsid w:val="004C680F"/>
    <w:rsid w:val="004C6A2F"/>
    <w:rsid w:val="004C6D27"/>
    <w:rsid w:val="004C6F63"/>
    <w:rsid w:val="004C7465"/>
    <w:rsid w:val="004C7579"/>
    <w:rsid w:val="004C7A6C"/>
    <w:rsid w:val="004D02BB"/>
    <w:rsid w:val="004D065A"/>
    <w:rsid w:val="004D088F"/>
    <w:rsid w:val="004D0B0C"/>
    <w:rsid w:val="004D0C90"/>
    <w:rsid w:val="004D0E33"/>
    <w:rsid w:val="004D0E89"/>
    <w:rsid w:val="004D133D"/>
    <w:rsid w:val="004D144C"/>
    <w:rsid w:val="004D14CD"/>
    <w:rsid w:val="004D1D61"/>
    <w:rsid w:val="004D1F32"/>
    <w:rsid w:val="004D2281"/>
    <w:rsid w:val="004D237F"/>
    <w:rsid w:val="004D23AE"/>
    <w:rsid w:val="004D249D"/>
    <w:rsid w:val="004D2553"/>
    <w:rsid w:val="004D27EA"/>
    <w:rsid w:val="004D28FC"/>
    <w:rsid w:val="004D2A4C"/>
    <w:rsid w:val="004D2B46"/>
    <w:rsid w:val="004D335E"/>
    <w:rsid w:val="004D36E5"/>
    <w:rsid w:val="004D4053"/>
    <w:rsid w:val="004D4217"/>
    <w:rsid w:val="004D4535"/>
    <w:rsid w:val="004D45C4"/>
    <w:rsid w:val="004D4668"/>
    <w:rsid w:val="004D50BD"/>
    <w:rsid w:val="004D50D4"/>
    <w:rsid w:val="004D5A18"/>
    <w:rsid w:val="004D5AA2"/>
    <w:rsid w:val="004D5E6C"/>
    <w:rsid w:val="004D5F50"/>
    <w:rsid w:val="004D5F79"/>
    <w:rsid w:val="004D6026"/>
    <w:rsid w:val="004D65B3"/>
    <w:rsid w:val="004D6810"/>
    <w:rsid w:val="004D6933"/>
    <w:rsid w:val="004D6B75"/>
    <w:rsid w:val="004D6C25"/>
    <w:rsid w:val="004D6E96"/>
    <w:rsid w:val="004D6F50"/>
    <w:rsid w:val="004D720F"/>
    <w:rsid w:val="004D7618"/>
    <w:rsid w:val="004D7CF4"/>
    <w:rsid w:val="004E0392"/>
    <w:rsid w:val="004E0929"/>
    <w:rsid w:val="004E0AD5"/>
    <w:rsid w:val="004E0BD5"/>
    <w:rsid w:val="004E0D26"/>
    <w:rsid w:val="004E0E2C"/>
    <w:rsid w:val="004E18FC"/>
    <w:rsid w:val="004E19CA"/>
    <w:rsid w:val="004E1B0C"/>
    <w:rsid w:val="004E1CCE"/>
    <w:rsid w:val="004E1D3D"/>
    <w:rsid w:val="004E1DCE"/>
    <w:rsid w:val="004E20CB"/>
    <w:rsid w:val="004E2334"/>
    <w:rsid w:val="004E266A"/>
    <w:rsid w:val="004E28CB"/>
    <w:rsid w:val="004E2ACB"/>
    <w:rsid w:val="004E2F0C"/>
    <w:rsid w:val="004E38AB"/>
    <w:rsid w:val="004E4633"/>
    <w:rsid w:val="004E4793"/>
    <w:rsid w:val="004E47B4"/>
    <w:rsid w:val="004E4A78"/>
    <w:rsid w:val="004E4E1A"/>
    <w:rsid w:val="004E4FB0"/>
    <w:rsid w:val="004E5037"/>
    <w:rsid w:val="004E5B66"/>
    <w:rsid w:val="004E5FCB"/>
    <w:rsid w:val="004E627D"/>
    <w:rsid w:val="004E6415"/>
    <w:rsid w:val="004E648C"/>
    <w:rsid w:val="004E6D63"/>
    <w:rsid w:val="004E7783"/>
    <w:rsid w:val="004E7EF3"/>
    <w:rsid w:val="004F0038"/>
    <w:rsid w:val="004F0369"/>
    <w:rsid w:val="004F0CCC"/>
    <w:rsid w:val="004F19A4"/>
    <w:rsid w:val="004F1BB4"/>
    <w:rsid w:val="004F1E89"/>
    <w:rsid w:val="004F2485"/>
    <w:rsid w:val="004F2812"/>
    <w:rsid w:val="004F2922"/>
    <w:rsid w:val="004F29C1"/>
    <w:rsid w:val="004F29DD"/>
    <w:rsid w:val="004F2C53"/>
    <w:rsid w:val="004F3517"/>
    <w:rsid w:val="004F35C6"/>
    <w:rsid w:val="004F3721"/>
    <w:rsid w:val="004F3A49"/>
    <w:rsid w:val="004F3E76"/>
    <w:rsid w:val="004F467D"/>
    <w:rsid w:val="004F4890"/>
    <w:rsid w:val="004F4DF9"/>
    <w:rsid w:val="004F569D"/>
    <w:rsid w:val="004F58FD"/>
    <w:rsid w:val="004F5B1E"/>
    <w:rsid w:val="004F5DBE"/>
    <w:rsid w:val="004F65D2"/>
    <w:rsid w:val="004F68A5"/>
    <w:rsid w:val="004F69B7"/>
    <w:rsid w:val="004F6BCD"/>
    <w:rsid w:val="004F7118"/>
    <w:rsid w:val="004F7782"/>
    <w:rsid w:val="004F77A9"/>
    <w:rsid w:val="004F7871"/>
    <w:rsid w:val="004F78A3"/>
    <w:rsid w:val="004F798D"/>
    <w:rsid w:val="005001D5"/>
    <w:rsid w:val="00500407"/>
    <w:rsid w:val="00500524"/>
    <w:rsid w:val="00500892"/>
    <w:rsid w:val="00500BEE"/>
    <w:rsid w:val="00500CF1"/>
    <w:rsid w:val="00500E36"/>
    <w:rsid w:val="00500F34"/>
    <w:rsid w:val="00500F63"/>
    <w:rsid w:val="00501050"/>
    <w:rsid w:val="005011BD"/>
    <w:rsid w:val="005011C1"/>
    <w:rsid w:val="00501241"/>
    <w:rsid w:val="005017D9"/>
    <w:rsid w:val="005019D6"/>
    <w:rsid w:val="00501FE0"/>
    <w:rsid w:val="005025ED"/>
    <w:rsid w:val="005028E7"/>
    <w:rsid w:val="00502993"/>
    <w:rsid w:val="00502A0D"/>
    <w:rsid w:val="00502D0B"/>
    <w:rsid w:val="00502D9C"/>
    <w:rsid w:val="005032D8"/>
    <w:rsid w:val="0050356A"/>
    <w:rsid w:val="00503A09"/>
    <w:rsid w:val="005042AF"/>
    <w:rsid w:val="00504BD4"/>
    <w:rsid w:val="00504C56"/>
    <w:rsid w:val="00504F44"/>
    <w:rsid w:val="00504F94"/>
    <w:rsid w:val="0050561A"/>
    <w:rsid w:val="00505A4B"/>
    <w:rsid w:val="00506114"/>
    <w:rsid w:val="005061DF"/>
    <w:rsid w:val="00506823"/>
    <w:rsid w:val="005068EB"/>
    <w:rsid w:val="005069F3"/>
    <w:rsid w:val="00506AE4"/>
    <w:rsid w:val="00506E31"/>
    <w:rsid w:val="00507226"/>
    <w:rsid w:val="0050745F"/>
    <w:rsid w:val="00507FAF"/>
    <w:rsid w:val="00510068"/>
    <w:rsid w:val="00510485"/>
    <w:rsid w:val="00510AD8"/>
    <w:rsid w:val="00510E72"/>
    <w:rsid w:val="00511572"/>
    <w:rsid w:val="005116ED"/>
    <w:rsid w:val="00511ADB"/>
    <w:rsid w:val="00511B4D"/>
    <w:rsid w:val="00511DB2"/>
    <w:rsid w:val="00511F68"/>
    <w:rsid w:val="005121A5"/>
    <w:rsid w:val="0051293E"/>
    <w:rsid w:val="005129BD"/>
    <w:rsid w:val="00512BC3"/>
    <w:rsid w:val="00512C52"/>
    <w:rsid w:val="00512D1D"/>
    <w:rsid w:val="00512F2F"/>
    <w:rsid w:val="0051316B"/>
    <w:rsid w:val="005131C4"/>
    <w:rsid w:val="005137E3"/>
    <w:rsid w:val="00513EB0"/>
    <w:rsid w:val="005140F0"/>
    <w:rsid w:val="00514B54"/>
    <w:rsid w:val="00514DB6"/>
    <w:rsid w:val="00514F5E"/>
    <w:rsid w:val="00515513"/>
    <w:rsid w:val="005156C9"/>
    <w:rsid w:val="00515BAA"/>
    <w:rsid w:val="00515D78"/>
    <w:rsid w:val="00516300"/>
    <w:rsid w:val="0051697D"/>
    <w:rsid w:val="00516A17"/>
    <w:rsid w:val="00516B01"/>
    <w:rsid w:val="00516C5D"/>
    <w:rsid w:val="00516D97"/>
    <w:rsid w:val="0051777B"/>
    <w:rsid w:val="0051779C"/>
    <w:rsid w:val="00517DFF"/>
    <w:rsid w:val="005202BC"/>
    <w:rsid w:val="00520385"/>
    <w:rsid w:val="005204FF"/>
    <w:rsid w:val="00520774"/>
    <w:rsid w:val="00521096"/>
    <w:rsid w:val="005219C5"/>
    <w:rsid w:val="00521CE8"/>
    <w:rsid w:val="00522503"/>
    <w:rsid w:val="00522D47"/>
    <w:rsid w:val="00523227"/>
    <w:rsid w:val="00523337"/>
    <w:rsid w:val="0052355E"/>
    <w:rsid w:val="005237D3"/>
    <w:rsid w:val="005240AC"/>
    <w:rsid w:val="0052422A"/>
    <w:rsid w:val="00524719"/>
    <w:rsid w:val="00524936"/>
    <w:rsid w:val="00525138"/>
    <w:rsid w:val="005251DB"/>
    <w:rsid w:val="00525798"/>
    <w:rsid w:val="00525B85"/>
    <w:rsid w:val="00525CB7"/>
    <w:rsid w:val="00525CBC"/>
    <w:rsid w:val="00525F34"/>
    <w:rsid w:val="00526067"/>
    <w:rsid w:val="005260D8"/>
    <w:rsid w:val="00526A47"/>
    <w:rsid w:val="00526ABC"/>
    <w:rsid w:val="005270AB"/>
    <w:rsid w:val="0052713E"/>
    <w:rsid w:val="005275C9"/>
    <w:rsid w:val="0052781F"/>
    <w:rsid w:val="00527AF5"/>
    <w:rsid w:val="005301F1"/>
    <w:rsid w:val="0053022A"/>
    <w:rsid w:val="005305AA"/>
    <w:rsid w:val="00530956"/>
    <w:rsid w:val="005309AC"/>
    <w:rsid w:val="00530C77"/>
    <w:rsid w:val="00530EC1"/>
    <w:rsid w:val="005311F9"/>
    <w:rsid w:val="005314F8"/>
    <w:rsid w:val="0053189A"/>
    <w:rsid w:val="00531CAB"/>
    <w:rsid w:val="0053203B"/>
    <w:rsid w:val="0053220B"/>
    <w:rsid w:val="00532707"/>
    <w:rsid w:val="00532986"/>
    <w:rsid w:val="005337C4"/>
    <w:rsid w:val="00533B3E"/>
    <w:rsid w:val="00533C1A"/>
    <w:rsid w:val="0053419A"/>
    <w:rsid w:val="00534623"/>
    <w:rsid w:val="00534F02"/>
    <w:rsid w:val="00534F39"/>
    <w:rsid w:val="005352FB"/>
    <w:rsid w:val="005354D4"/>
    <w:rsid w:val="005358C0"/>
    <w:rsid w:val="00535F6C"/>
    <w:rsid w:val="005363DF"/>
    <w:rsid w:val="00536721"/>
    <w:rsid w:val="00536924"/>
    <w:rsid w:val="00536DB1"/>
    <w:rsid w:val="00536FCF"/>
    <w:rsid w:val="00537341"/>
    <w:rsid w:val="005376A3"/>
    <w:rsid w:val="00537CC0"/>
    <w:rsid w:val="00540335"/>
    <w:rsid w:val="005404BD"/>
    <w:rsid w:val="005407B8"/>
    <w:rsid w:val="00540FDF"/>
    <w:rsid w:val="005416C1"/>
    <w:rsid w:val="0054188A"/>
    <w:rsid w:val="0054190B"/>
    <w:rsid w:val="00541AD2"/>
    <w:rsid w:val="00541E24"/>
    <w:rsid w:val="0054200E"/>
    <w:rsid w:val="005420FA"/>
    <w:rsid w:val="00543407"/>
    <w:rsid w:val="00543AB6"/>
    <w:rsid w:val="00543B43"/>
    <w:rsid w:val="00543ECC"/>
    <w:rsid w:val="00543F80"/>
    <w:rsid w:val="005441BC"/>
    <w:rsid w:val="005447CA"/>
    <w:rsid w:val="00544C1B"/>
    <w:rsid w:val="00544DDD"/>
    <w:rsid w:val="00544DF8"/>
    <w:rsid w:val="005452CA"/>
    <w:rsid w:val="00545581"/>
    <w:rsid w:val="005457C0"/>
    <w:rsid w:val="00545AA9"/>
    <w:rsid w:val="00545ADD"/>
    <w:rsid w:val="00545CBF"/>
    <w:rsid w:val="005466BE"/>
    <w:rsid w:val="0054673A"/>
    <w:rsid w:val="00546953"/>
    <w:rsid w:val="00546B7F"/>
    <w:rsid w:val="00546BA3"/>
    <w:rsid w:val="00546CA9"/>
    <w:rsid w:val="00546D0B"/>
    <w:rsid w:val="00546DB1"/>
    <w:rsid w:val="00546E7A"/>
    <w:rsid w:val="00547794"/>
    <w:rsid w:val="00547996"/>
    <w:rsid w:val="00547CFA"/>
    <w:rsid w:val="00547F43"/>
    <w:rsid w:val="0055002A"/>
    <w:rsid w:val="005506C0"/>
    <w:rsid w:val="00550904"/>
    <w:rsid w:val="00550A5F"/>
    <w:rsid w:val="00550B0F"/>
    <w:rsid w:val="00550E30"/>
    <w:rsid w:val="005510A8"/>
    <w:rsid w:val="00551ABC"/>
    <w:rsid w:val="00552814"/>
    <w:rsid w:val="00552E4D"/>
    <w:rsid w:val="0055304A"/>
    <w:rsid w:val="00553538"/>
    <w:rsid w:val="00553841"/>
    <w:rsid w:val="00553BD6"/>
    <w:rsid w:val="00553CA0"/>
    <w:rsid w:val="00553D18"/>
    <w:rsid w:val="00554013"/>
    <w:rsid w:val="005541FE"/>
    <w:rsid w:val="005542A5"/>
    <w:rsid w:val="00554A0B"/>
    <w:rsid w:val="00554AE0"/>
    <w:rsid w:val="005550EE"/>
    <w:rsid w:val="00555306"/>
    <w:rsid w:val="0055546D"/>
    <w:rsid w:val="005554FD"/>
    <w:rsid w:val="00555675"/>
    <w:rsid w:val="00555836"/>
    <w:rsid w:val="00555AFE"/>
    <w:rsid w:val="00555FFF"/>
    <w:rsid w:val="0055610C"/>
    <w:rsid w:val="005562AE"/>
    <w:rsid w:val="0055668D"/>
    <w:rsid w:val="00556A3E"/>
    <w:rsid w:val="005572E0"/>
    <w:rsid w:val="00557301"/>
    <w:rsid w:val="00557603"/>
    <w:rsid w:val="00557972"/>
    <w:rsid w:val="00557978"/>
    <w:rsid w:val="00557B36"/>
    <w:rsid w:val="00557F53"/>
    <w:rsid w:val="00560041"/>
    <w:rsid w:val="00560263"/>
    <w:rsid w:val="00560400"/>
    <w:rsid w:val="005606D4"/>
    <w:rsid w:val="005609C6"/>
    <w:rsid w:val="00560A0A"/>
    <w:rsid w:val="00560DAE"/>
    <w:rsid w:val="00560E89"/>
    <w:rsid w:val="005612CE"/>
    <w:rsid w:val="0056135F"/>
    <w:rsid w:val="005616F9"/>
    <w:rsid w:val="00561958"/>
    <w:rsid w:val="00561FC4"/>
    <w:rsid w:val="0056272E"/>
    <w:rsid w:val="00562993"/>
    <w:rsid w:val="00562B39"/>
    <w:rsid w:val="00562B51"/>
    <w:rsid w:val="00562DB3"/>
    <w:rsid w:val="0056338B"/>
    <w:rsid w:val="00563417"/>
    <w:rsid w:val="005634D9"/>
    <w:rsid w:val="00564176"/>
    <w:rsid w:val="00564761"/>
    <w:rsid w:val="00564B4E"/>
    <w:rsid w:val="0056582C"/>
    <w:rsid w:val="00565BD9"/>
    <w:rsid w:val="00565D61"/>
    <w:rsid w:val="0056602A"/>
    <w:rsid w:val="005660FC"/>
    <w:rsid w:val="00566444"/>
    <w:rsid w:val="0056709D"/>
    <w:rsid w:val="0056761B"/>
    <w:rsid w:val="00567843"/>
    <w:rsid w:val="00567A0E"/>
    <w:rsid w:val="00567E52"/>
    <w:rsid w:val="00570004"/>
    <w:rsid w:val="005704EC"/>
    <w:rsid w:val="0057059C"/>
    <w:rsid w:val="00570C67"/>
    <w:rsid w:val="00571237"/>
    <w:rsid w:val="005712DE"/>
    <w:rsid w:val="0057140C"/>
    <w:rsid w:val="00571647"/>
    <w:rsid w:val="00571E7E"/>
    <w:rsid w:val="00572253"/>
    <w:rsid w:val="005722E5"/>
    <w:rsid w:val="00572309"/>
    <w:rsid w:val="0057235C"/>
    <w:rsid w:val="005725D7"/>
    <w:rsid w:val="00572877"/>
    <w:rsid w:val="00572945"/>
    <w:rsid w:val="00572D84"/>
    <w:rsid w:val="00572F0E"/>
    <w:rsid w:val="00573506"/>
    <w:rsid w:val="00573AF2"/>
    <w:rsid w:val="00573BB3"/>
    <w:rsid w:val="005742D1"/>
    <w:rsid w:val="0057433B"/>
    <w:rsid w:val="005744C4"/>
    <w:rsid w:val="00574520"/>
    <w:rsid w:val="005745DE"/>
    <w:rsid w:val="005746E0"/>
    <w:rsid w:val="005747E8"/>
    <w:rsid w:val="00574A56"/>
    <w:rsid w:val="005750F8"/>
    <w:rsid w:val="0057530E"/>
    <w:rsid w:val="005759AA"/>
    <w:rsid w:val="00575C54"/>
    <w:rsid w:val="005764BD"/>
    <w:rsid w:val="00576638"/>
    <w:rsid w:val="005768EF"/>
    <w:rsid w:val="00576ACC"/>
    <w:rsid w:val="00576CD1"/>
    <w:rsid w:val="00576DCB"/>
    <w:rsid w:val="005770C0"/>
    <w:rsid w:val="00577169"/>
    <w:rsid w:val="005771DA"/>
    <w:rsid w:val="00577263"/>
    <w:rsid w:val="005772F7"/>
    <w:rsid w:val="00577506"/>
    <w:rsid w:val="005777FF"/>
    <w:rsid w:val="00577A64"/>
    <w:rsid w:val="00577FF3"/>
    <w:rsid w:val="0058048F"/>
    <w:rsid w:val="005804B0"/>
    <w:rsid w:val="005804E8"/>
    <w:rsid w:val="0058050D"/>
    <w:rsid w:val="00580D2F"/>
    <w:rsid w:val="00580E72"/>
    <w:rsid w:val="005811E3"/>
    <w:rsid w:val="0058131D"/>
    <w:rsid w:val="005816D7"/>
    <w:rsid w:val="005818AE"/>
    <w:rsid w:val="005820E0"/>
    <w:rsid w:val="0058252D"/>
    <w:rsid w:val="0058257B"/>
    <w:rsid w:val="00582604"/>
    <w:rsid w:val="005827FB"/>
    <w:rsid w:val="00582AFD"/>
    <w:rsid w:val="00582D1B"/>
    <w:rsid w:val="0058335E"/>
    <w:rsid w:val="00583504"/>
    <w:rsid w:val="00583560"/>
    <w:rsid w:val="0058395E"/>
    <w:rsid w:val="00583CA5"/>
    <w:rsid w:val="00583FED"/>
    <w:rsid w:val="00584177"/>
    <w:rsid w:val="00584376"/>
    <w:rsid w:val="00584727"/>
    <w:rsid w:val="005849C2"/>
    <w:rsid w:val="00585346"/>
    <w:rsid w:val="0058594E"/>
    <w:rsid w:val="00585B7A"/>
    <w:rsid w:val="00585BC2"/>
    <w:rsid w:val="00585BE8"/>
    <w:rsid w:val="00585F11"/>
    <w:rsid w:val="0058617F"/>
    <w:rsid w:val="0058627D"/>
    <w:rsid w:val="005867B2"/>
    <w:rsid w:val="00586968"/>
    <w:rsid w:val="00586A03"/>
    <w:rsid w:val="00586CFE"/>
    <w:rsid w:val="0058701D"/>
    <w:rsid w:val="00587024"/>
    <w:rsid w:val="005873AF"/>
    <w:rsid w:val="005874F5"/>
    <w:rsid w:val="00587D8A"/>
    <w:rsid w:val="00590066"/>
    <w:rsid w:val="005900EA"/>
    <w:rsid w:val="005905E5"/>
    <w:rsid w:val="00590669"/>
    <w:rsid w:val="00590C0D"/>
    <w:rsid w:val="00590DA1"/>
    <w:rsid w:val="00590FEA"/>
    <w:rsid w:val="005914BD"/>
    <w:rsid w:val="0059168F"/>
    <w:rsid w:val="0059176B"/>
    <w:rsid w:val="005917BE"/>
    <w:rsid w:val="00591D6A"/>
    <w:rsid w:val="005929A9"/>
    <w:rsid w:val="00592C6D"/>
    <w:rsid w:val="00592CDB"/>
    <w:rsid w:val="00592F2A"/>
    <w:rsid w:val="005930A0"/>
    <w:rsid w:val="00593215"/>
    <w:rsid w:val="005932FB"/>
    <w:rsid w:val="005934F1"/>
    <w:rsid w:val="005936E1"/>
    <w:rsid w:val="00593753"/>
    <w:rsid w:val="005938E4"/>
    <w:rsid w:val="00593AE4"/>
    <w:rsid w:val="00593B1E"/>
    <w:rsid w:val="00593BFA"/>
    <w:rsid w:val="00593D94"/>
    <w:rsid w:val="00593E05"/>
    <w:rsid w:val="00593E60"/>
    <w:rsid w:val="00593EAF"/>
    <w:rsid w:val="00595146"/>
    <w:rsid w:val="005954DB"/>
    <w:rsid w:val="0059628A"/>
    <w:rsid w:val="005962B3"/>
    <w:rsid w:val="005965F5"/>
    <w:rsid w:val="00596890"/>
    <w:rsid w:val="00596921"/>
    <w:rsid w:val="00596BCF"/>
    <w:rsid w:val="00597499"/>
    <w:rsid w:val="005977D4"/>
    <w:rsid w:val="005977DB"/>
    <w:rsid w:val="00597AF4"/>
    <w:rsid w:val="00597C10"/>
    <w:rsid w:val="005A0063"/>
    <w:rsid w:val="005A05B7"/>
    <w:rsid w:val="005A0A46"/>
    <w:rsid w:val="005A0D79"/>
    <w:rsid w:val="005A103E"/>
    <w:rsid w:val="005A141B"/>
    <w:rsid w:val="005A18FD"/>
    <w:rsid w:val="005A1951"/>
    <w:rsid w:val="005A2569"/>
    <w:rsid w:val="005A26F6"/>
    <w:rsid w:val="005A2783"/>
    <w:rsid w:val="005A28CB"/>
    <w:rsid w:val="005A2BCD"/>
    <w:rsid w:val="005A31C1"/>
    <w:rsid w:val="005A3D4F"/>
    <w:rsid w:val="005A3E50"/>
    <w:rsid w:val="005A3E6F"/>
    <w:rsid w:val="005A3EED"/>
    <w:rsid w:val="005A4549"/>
    <w:rsid w:val="005A4882"/>
    <w:rsid w:val="005A4B74"/>
    <w:rsid w:val="005A52AE"/>
    <w:rsid w:val="005A5DF9"/>
    <w:rsid w:val="005A6626"/>
    <w:rsid w:val="005A68AA"/>
    <w:rsid w:val="005A6932"/>
    <w:rsid w:val="005A6E47"/>
    <w:rsid w:val="005A6F74"/>
    <w:rsid w:val="005A721F"/>
    <w:rsid w:val="005A725C"/>
    <w:rsid w:val="005A731E"/>
    <w:rsid w:val="005A769F"/>
    <w:rsid w:val="005A77ED"/>
    <w:rsid w:val="005A7880"/>
    <w:rsid w:val="005B0062"/>
    <w:rsid w:val="005B00E5"/>
    <w:rsid w:val="005B051B"/>
    <w:rsid w:val="005B080A"/>
    <w:rsid w:val="005B0DD2"/>
    <w:rsid w:val="005B1262"/>
    <w:rsid w:val="005B1390"/>
    <w:rsid w:val="005B1A83"/>
    <w:rsid w:val="005B1DB3"/>
    <w:rsid w:val="005B21E1"/>
    <w:rsid w:val="005B225E"/>
    <w:rsid w:val="005B23EE"/>
    <w:rsid w:val="005B2B21"/>
    <w:rsid w:val="005B2DF4"/>
    <w:rsid w:val="005B3292"/>
    <w:rsid w:val="005B39F0"/>
    <w:rsid w:val="005B3AA3"/>
    <w:rsid w:val="005B3C2F"/>
    <w:rsid w:val="005B3EC7"/>
    <w:rsid w:val="005B45F3"/>
    <w:rsid w:val="005B5190"/>
    <w:rsid w:val="005B519F"/>
    <w:rsid w:val="005B52B0"/>
    <w:rsid w:val="005B5F1D"/>
    <w:rsid w:val="005B5FAB"/>
    <w:rsid w:val="005B645E"/>
    <w:rsid w:val="005B68DF"/>
    <w:rsid w:val="005B6E30"/>
    <w:rsid w:val="005B73B9"/>
    <w:rsid w:val="005B75AB"/>
    <w:rsid w:val="005B7953"/>
    <w:rsid w:val="005B7B5E"/>
    <w:rsid w:val="005B7D0D"/>
    <w:rsid w:val="005B7DE0"/>
    <w:rsid w:val="005C0748"/>
    <w:rsid w:val="005C0897"/>
    <w:rsid w:val="005C0903"/>
    <w:rsid w:val="005C0995"/>
    <w:rsid w:val="005C0E19"/>
    <w:rsid w:val="005C0F02"/>
    <w:rsid w:val="005C0FFE"/>
    <w:rsid w:val="005C114A"/>
    <w:rsid w:val="005C1876"/>
    <w:rsid w:val="005C1938"/>
    <w:rsid w:val="005C1A9A"/>
    <w:rsid w:val="005C1BE9"/>
    <w:rsid w:val="005C1E27"/>
    <w:rsid w:val="005C1F2A"/>
    <w:rsid w:val="005C20BD"/>
    <w:rsid w:val="005C2593"/>
    <w:rsid w:val="005C2772"/>
    <w:rsid w:val="005C27F6"/>
    <w:rsid w:val="005C2A18"/>
    <w:rsid w:val="005C2AB6"/>
    <w:rsid w:val="005C2B22"/>
    <w:rsid w:val="005C2BA3"/>
    <w:rsid w:val="005C2DA4"/>
    <w:rsid w:val="005C35A3"/>
    <w:rsid w:val="005C383C"/>
    <w:rsid w:val="005C38E5"/>
    <w:rsid w:val="005C39AE"/>
    <w:rsid w:val="005C3BCD"/>
    <w:rsid w:val="005C3C34"/>
    <w:rsid w:val="005C3E1F"/>
    <w:rsid w:val="005C3E8C"/>
    <w:rsid w:val="005C4215"/>
    <w:rsid w:val="005C43C2"/>
    <w:rsid w:val="005C483C"/>
    <w:rsid w:val="005C4B27"/>
    <w:rsid w:val="005C4C4C"/>
    <w:rsid w:val="005C506D"/>
    <w:rsid w:val="005C5145"/>
    <w:rsid w:val="005C55BB"/>
    <w:rsid w:val="005C5F79"/>
    <w:rsid w:val="005C6402"/>
    <w:rsid w:val="005C64F5"/>
    <w:rsid w:val="005C6628"/>
    <w:rsid w:val="005C6972"/>
    <w:rsid w:val="005C6AD5"/>
    <w:rsid w:val="005C6D51"/>
    <w:rsid w:val="005C7494"/>
    <w:rsid w:val="005C74C5"/>
    <w:rsid w:val="005C7DA9"/>
    <w:rsid w:val="005D00DB"/>
    <w:rsid w:val="005D00E2"/>
    <w:rsid w:val="005D0425"/>
    <w:rsid w:val="005D04E1"/>
    <w:rsid w:val="005D0613"/>
    <w:rsid w:val="005D119C"/>
    <w:rsid w:val="005D1488"/>
    <w:rsid w:val="005D1B1B"/>
    <w:rsid w:val="005D1B74"/>
    <w:rsid w:val="005D1F98"/>
    <w:rsid w:val="005D207D"/>
    <w:rsid w:val="005D21EE"/>
    <w:rsid w:val="005D29BE"/>
    <w:rsid w:val="005D2A8E"/>
    <w:rsid w:val="005D2C0A"/>
    <w:rsid w:val="005D2C7A"/>
    <w:rsid w:val="005D2ED0"/>
    <w:rsid w:val="005D30AF"/>
    <w:rsid w:val="005D30F7"/>
    <w:rsid w:val="005D37C3"/>
    <w:rsid w:val="005D3D3F"/>
    <w:rsid w:val="005D3E39"/>
    <w:rsid w:val="005D48EB"/>
    <w:rsid w:val="005D4D67"/>
    <w:rsid w:val="005D4DCD"/>
    <w:rsid w:val="005D4F01"/>
    <w:rsid w:val="005D536B"/>
    <w:rsid w:val="005D5753"/>
    <w:rsid w:val="005D57C5"/>
    <w:rsid w:val="005D5D3E"/>
    <w:rsid w:val="005D639B"/>
    <w:rsid w:val="005D6750"/>
    <w:rsid w:val="005D68A1"/>
    <w:rsid w:val="005D68BA"/>
    <w:rsid w:val="005D69E2"/>
    <w:rsid w:val="005D6B93"/>
    <w:rsid w:val="005D6D69"/>
    <w:rsid w:val="005D75E3"/>
    <w:rsid w:val="005D7739"/>
    <w:rsid w:val="005D7CE5"/>
    <w:rsid w:val="005D7EE8"/>
    <w:rsid w:val="005E02EB"/>
    <w:rsid w:val="005E0307"/>
    <w:rsid w:val="005E0A26"/>
    <w:rsid w:val="005E0C54"/>
    <w:rsid w:val="005E0E8E"/>
    <w:rsid w:val="005E11E9"/>
    <w:rsid w:val="005E1492"/>
    <w:rsid w:val="005E1625"/>
    <w:rsid w:val="005E195F"/>
    <w:rsid w:val="005E196E"/>
    <w:rsid w:val="005E1E4B"/>
    <w:rsid w:val="005E27A2"/>
    <w:rsid w:val="005E3008"/>
    <w:rsid w:val="005E30BC"/>
    <w:rsid w:val="005E3437"/>
    <w:rsid w:val="005E38B2"/>
    <w:rsid w:val="005E3AFB"/>
    <w:rsid w:val="005E3C56"/>
    <w:rsid w:val="005E3F37"/>
    <w:rsid w:val="005E452B"/>
    <w:rsid w:val="005E47E6"/>
    <w:rsid w:val="005E48F5"/>
    <w:rsid w:val="005E4C41"/>
    <w:rsid w:val="005E4DE3"/>
    <w:rsid w:val="005E5184"/>
    <w:rsid w:val="005E53EC"/>
    <w:rsid w:val="005E5405"/>
    <w:rsid w:val="005E562C"/>
    <w:rsid w:val="005E5D9E"/>
    <w:rsid w:val="005E6022"/>
    <w:rsid w:val="005E60FE"/>
    <w:rsid w:val="005E61F2"/>
    <w:rsid w:val="005E6440"/>
    <w:rsid w:val="005E685D"/>
    <w:rsid w:val="005E6E17"/>
    <w:rsid w:val="005E70B0"/>
    <w:rsid w:val="005E71FF"/>
    <w:rsid w:val="005E72A7"/>
    <w:rsid w:val="005E7376"/>
    <w:rsid w:val="005E7D52"/>
    <w:rsid w:val="005E7E2B"/>
    <w:rsid w:val="005F03B6"/>
    <w:rsid w:val="005F0AD0"/>
    <w:rsid w:val="005F0CF6"/>
    <w:rsid w:val="005F0E91"/>
    <w:rsid w:val="005F1257"/>
    <w:rsid w:val="005F1617"/>
    <w:rsid w:val="005F1773"/>
    <w:rsid w:val="005F1AD4"/>
    <w:rsid w:val="005F1D7A"/>
    <w:rsid w:val="005F2008"/>
    <w:rsid w:val="005F218C"/>
    <w:rsid w:val="005F25ED"/>
    <w:rsid w:val="005F2679"/>
    <w:rsid w:val="005F2ACE"/>
    <w:rsid w:val="005F2E99"/>
    <w:rsid w:val="005F31D7"/>
    <w:rsid w:val="005F322F"/>
    <w:rsid w:val="005F36ED"/>
    <w:rsid w:val="005F39E7"/>
    <w:rsid w:val="005F3E98"/>
    <w:rsid w:val="005F414B"/>
    <w:rsid w:val="005F4206"/>
    <w:rsid w:val="005F4A8C"/>
    <w:rsid w:val="005F4B94"/>
    <w:rsid w:val="005F4CFD"/>
    <w:rsid w:val="005F4DB6"/>
    <w:rsid w:val="005F4E19"/>
    <w:rsid w:val="005F4F66"/>
    <w:rsid w:val="005F4FAE"/>
    <w:rsid w:val="005F4FCE"/>
    <w:rsid w:val="005F5015"/>
    <w:rsid w:val="005F5592"/>
    <w:rsid w:val="005F5886"/>
    <w:rsid w:val="005F58A7"/>
    <w:rsid w:val="005F58E6"/>
    <w:rsid w:val="005F592F"/>
    <w:rsid w:val="005F5F43"/>
    <w:rsid w:val="005F5FE3"/>
    <w:rsid w:val="005F6646"/>
    <w:rsid w:val="005F6710"/>
    <w:rsid w:val="005F68BB"/>
    <w:rsid w:val="005F7033"/>
    <w:rsid w:val="005F739E"/>
    <w:rsid w:val="005F76F0"/>
    <w:rsid w:val="005F79A7"/>
    <w:rsid w:val="005F7EF4"/>
    <w:rsid w:val="0060007F"/>
    <w:rsid w:val="0060038B"/>
    <w:rsid w:val="00600729"/>
    <w:rsid w:val="00600B02"/>
    <w:rsid w:val="00601188"/>
    <w:rsid w:val="00601390"/>
    <w:rsid w:val="00602036"/>
    <w:rsid w:val="00602335"/>
    <w:rsid w:val="00602949"/>
    <w:rsid w:val="00602E18"/>
    <w:rsid w:val="00602F51"/>
    <w:rsid w:val="00603410"/>
    <w:rsid w:val="00603D09"/>
    <w:rsid w:val="00603D78"/>
    <w:rsid w:val="00603E89"/>
    <w:rsid w:val="006048FC"/>
    <w:rsid w:val="00604F03"/>
    <w:rsid w:val="0060534A"/>
    <w:rsid w:val="00605CBE"/>
    <w:rsid w:val="0060619F"/>
    <w:rsid w:val="006062B0"/>
    <w:rsid w:val="00606641"/>
    <w:rsid w:val="00606926"/>
    <w:rsid w:val="006069E8"/>
    <w:rsid w:val="00606B15"/>
    <w:rsid w:val="00606BDF"/>
    <w:rsid w:val="0060714E"/>
    <w:rsid w:val="00607AAF"/>
    <w:rsid w:val="00607ADF"/>
    <w:rsid w:val="00607ECC"/>
    <w:rsid w:val="006102BE"/>
    <w:rsid w:val="00610471"/>
    <w:rsid w:val="0061057F"/>
    <w:rsid w:val="006106C3"/>
    <w:rsid w:val="00610D41"/>
    <w:rsid w:val="00610F89"/>
    <w:rsid w:val="006110B7"/>
    <w:rsid w:val="0061121D"/>
    <w:rsid w:val="006114BE"/>
    <w:rsid w:val="0061167B"/>
    <w:rsid w:val="00611990"/>
    <w:rsid w:val="00611AF0"/>
    <w:rsid w:val="00611D39"/>
    <w:rsid w:val="00611D79"/>
    <w:rsid w:val="00611E17"/>
    <w:rsid w:val="00612047"/>
    <w:rsid w:val="006120AF"/>
    <w:rsid w:val="00612235"/>
    <w:rsid w:val="00612247"/>
    <w:rsid w:val="00612661"/>
    <w:rsid w:val="006126F1"/>
    <w:rsid w:val="00612A6B"/>
    <w:rsid w:val="00612FEA"/>
    <w:rsid w:val="00613265"/>
    <w:rsid w:val="0061375B"/>
    <w:rsid w:val="00613AD5"/>
    <w:rsid w:val="00613C16"/>
    <w:rsid w:val="00613C80"/>
    <w:rsid w:val="00613CA6"/>
    <w:rsid w:val="00613D4F"/>
    <w:rsid w:val="00613E05"/>
    <w:rsid w:val="00614291"/>
    <w:rsid w:val="00614608"/>
    <w:rsid w:val="00614612"/>
    <w:rsid w:val="006148BF"/>
    <w:rsid w:val="00614BF9"/>
    <w:rsid w:val="00614D13"/>
    <w:rsid w:val="00614DD8"/>
    <w:rsid w:val="00615150"/>
    <w:rsid w:val="00615409"/>
    <w:rsid w:val="00615AB8"/>
    <w:rsid w:val="00616200"/>
    <w:rsid w:val="00616E23"/>
    <w:rsid w:val="00617164"/>
    <w:rsid w:val="006174BE"/>
    <w:rsid w:val="00617B51"/>
    <w:rsid w:val="00617F4E"/>
    <w:rsid w:val="00617F5A"/>
    <w:rsid w:val="006200A9"/>
    <w:rsid w:val="006202A2"/>
    <w:rsid w:val="006202FB"/>
    <w:rsid w:val="006208D7"/>
    <w:rsid w:val="00621023"/>
    <w:rsid w:val="006217B8"/>
    <w:rsid w:val="00621D9A"/>
    <w:rsid w:val="006222A9"/>
    <w:rsid w:val="006222D7"/>
    <w:rsid w:val="00622780"/>
    <w:rsid w:val="006228D3"/>
    <w:rsid w:val="00622966"/>
    <w:rsid w:val="00622A42"/>
    <w:rsid w:val="00622C64"/>
    <w:rsid w:val="00622CD5"/>
    <w:rsid w:val="006239DC"/>
    <w:rsid w:val="00623A08"/>
    <w:rsid w:val="00623AF4"/>
    <w:rsid w:val="00623D9E"/>
    <w:rsid w:val="0062468D"/>
    <w:rsid w:val="006246A1"/>
    <w:rsid w:val="00624E21"/>
    <w:rsid w:val="00624EC1"/>
    <w:rsid w:val="00624FE6"/>
    <w:rsid w:val="00625104"/>
    <w:rsid w:val="0062511C"/>
    <w:rsid w:val="0062533D"/>
    <w:rsid w:val="00625954"/>
    <w:rsid w:val="00625AA3"/>
    <w:rsid w:val="00625D03"/>
    <w:rsid w:val="006269C0"/>
    <w:rsid w:val="00626E67"/>
    <w:rsid w:val="00626ECE"/>
    <w:rsid w:val="0062785B"/>
    <w:rsid w:val="00627B18"/>
    <w:rsid w:val="00627B82"/>
    <w:rsid w:val="006306FF"/>
    <w:rsid w:val="00630B1B"/>
    <w:rsid w:val="00630E88"/>
    <w:rsid w:val="006310AB"/>
    <w:rsid w:val="00631387"/>
    <w:rsid w:val="00631E7A"/>
    <w:rsid w:val="0063275E"/>
    <w:rsid w:val="00632D3B"/>
    <w:rsid w:val="00632D42"/>
    <w:rsid w:val="00632DAE"/>
    <w:rsid w:val="00632DF9"/>
    <w:rsid w:val="00632E26"/>
    <w:rsid w:val="00632E6E"/>
    <w:rsid w:val="00632ED5"/>
    <w:rsid w:val="0063310E"/>
    <w:rsid w:val="00633409"/>
    <w:rsid w:val="0063370D"/>
    <w:rsid w:val="006337EC"/>
    <w:rsid w:val="00633826"/>
    <w:rsid w:val="006339BA"/>
    <w:rsid w:val="00633C75"/>
    <w:rsid w:val="00633EDA"/>
    <w:rsid w:val="00633F7D"/>
    <w:rsid w:val="006344FC"/>
    <w:rsid w:val="00634766"/>
    <w:rsid w:val="00634965"/>
    <w:rsid w:val="00634A98"/>
    <w:rsid w:val="00634B4F"/>
    <w:rsid w:val="00635047"/>
    <w:rsid w:val="006351D1"/>
    <w:rsid w:val="0063537C"/>
    <w:rsid w:val="00635738"/>
    <w:rsid w:val="0063576C"/>
    <w:rsid w:val="00635C7B"/>
    <w:rsid w:val="00635D73"/>
    <w:rsid w:val="00636004"/>
    <w:rsid w:val="00636281"/>
    <w:rsid w:val="006364F3"/>
    <w:rsid w:val="006365EF"/>
    <w:rsid w:val="00636690"/>
    <w:rsid w:val="0063670E"/>
    <w:rsid w:val="00636933"/>
    <w:rsid w:val="00636B06"/>
    <w:rsid w:val="00636CF1"/>
    <w:rsid w:val="006372AD"/>
    <w:rsid w:val="00637999"/>
    <w:rsid w:val="00637F0F"/>
    <w:rsid w:val="006401B9"/>
    <w:rsid w:val="0064020B"/>
    <w:rsid w:val="006405A4"/>
    <w:rsid w:val="00640E9C"/>
    <w:rsid w:val="00641146"/>
    <w:rsid w:val="0064114D"/>
    <w:rsid w:val="006416FB"/>
    <w:rsid w:val="00641776"/>
    <w:rsid w:val="00641785"/>
    <w:rsid w:val="00641B02"/>
    <w:rsid w:val="00641C89"/>
    <w:rsid w:val="0064205B"/>
    <w:rsid w:val="00642110"/>
    <w:rsid w:val="0064215A"/>
    <w:rsid w:val="00642177"/>
    <w:rsid w:val="0064225A"/>
    <w:rsid w:val="00642333"/>
    <w:rsid w:val="00642398"/>
    <w:rsid w:val="006424D2"/>
    <w:rsid w:val="006426EE"/>
    <w:rsid w:val="00642AAB"/>
    <w:rsid w:val="00642DD1"/>
    <w:rsid w:val="00642E02"/>
    <w:rsid w:val="00642F11"/>
    <w:rsid w:val="0064336D"/>
    <w:rsid w:val="0064359E"/>
    <w:rsid w:val="0064361E"/>
    <w:rsid w:val="00643777"/>
    <w:rsid w:val="00643C53"/>
    <w:rsid w:val="00643D64"/>
    <w:rsid w:val="00643FC6"/>
    <w:rsid w:val="006441DE"/>
    <w:rsid w:val="006444AF"/>
    <w:rsid w:val="006447EA"/>
    <w:rsid w:val="00644BC3"/>
    <w:rsid w:val="00644C40"/>
    <w:rsid w:val="00645138"/>
    <w:rsid w:val="00645169"/>
    <w:rsid w:val="00645903"/>
    <w:rsid w:val="00645F7A"/>
    <w:rsid w:val="00646994"/>
    <w:rsid w:val="00646C6D"/>
    <w:rsid w:val="0064721C"/>
    <w:rsid w:val="0064734E"/>
    <w:rsid w:val="006474DD"/>
    <w:rsid w:val="006475B4"/>
    <w:rsid w:val="00647691"/>
    <w:rsid w:val="00647709"/>
    <w:rsid w:val="006478B6"/>
    <w:rsid w:val="00647B53"/>
    <w:rsid w:val="00647D70"/>
    <w:rsid w:val="00647DCC"/>
    <w:rsid w:val="006507A1"/>
    <w:rsid w:val="0065097D"/>
    <w:rsid w:val="006509F2"/>
    <w:rsid w:val="00650CE6"/>
    <w:rsid w:val="00650DEE"/>
    <w:rsid w:val="00650E0F"/>
    <w:rsid w:val="00651134"/>
    <w:rsid w:val="006512DA"/>
    <w:rsid w:val="00651356"/>
    <w:rsid w:val="00651437"/>
    <w:rsid w:val="00651640"/>
    <w:rsid w:val="00651A92"/>
    <w:rsid w:val="00651BF5"/>
    <w:rsid w:val="00651D50"/>
    <w:rsid w:val="00651E5F"/>
    <w:rsid w:val="00651EA9"/>
    <w:rsid w:val="00652096"/>
    <w:rsid w:val="006521C3"/>
    <w:rsid w:val="006523EA"/>
    <w:rsid w:val="00652DE0"/>
    <w:rsid w:val="0065318F"/>
    <w:rsid w:val="00653672"/>
    <w:rsid w:val="006536A7"/>
    <w:rsid w:val="00653794"/>
    <w:rsid w:val="006537AF"/>
    <w:rsid w:val="006537FC"/>
    <w:rsid w:val="0065385F"/>
    <w:rsid w:val="006538AC"/>
    <w:rsid w:val="0065394A"/>
    <w:rsid w:val="00654636"/>
    <w:rsid w:val="0065464C"/>
    <w:rsid w:val="006547A5"/>
    <w:rsid w:val="0065484E"/>
    <w:rsid w:val="00654B69"/>
    <w:rsid w:val="00655569"/>
    <w:rsid w:val="006555C5"/>
    <w:rsid w:val="00655D1D"/>
    <w:rsid w:val="0065616E"/>
    <w:rsid w:val="0065659D"/>
    <w:rsid w:val="00656980"/>
    <w:rsid w:val="006569BD"/>
    <w:rsid w:val="00656F01"/>
    <w:rsid w:val="00657B9A"/>
    <w:rsid w:val="00657BCB"/>
    <w:rsid w:val="00657FE6"/>
    <w:rsid w:val="006600C0"/>
    <w:rsid w:val="006600EA"/>
    <w:rsid w:val="0066016B"/>
    <w:rsid w:val="006601E0"/>
    <w:rsid w:val="00660550"/>
    <w:rsid w:val="00660678"/>
    <w:rsid w:val="00660812"/>
    <w:rsid w:val="00660BE2"/>
    <w:rsid w:val="00660E74"/>
    <w:rsid w:val="006614D7"/>
    <w:rsid w:val="0066173B"/>
    <w:rsid w:val="00661C71"/>
    <w:rsid w:val="00661CC9"/>
    <w:rsid w:val="00661E89"/>
    <w:rsid w:val="006621BA"/>
    <w:rsid w:val="006624FE"/>
    <w:rsid w:val="006629C6"/>
    <w:rsid w:val="00662B8E"/>
    <w:rsid w:val="0066325A"/>
    <w:rsid w:val="00663BB5"/>
    <w:rsid w:val="006643C5"/>
    <w:rsid w:val="00664486"/>
    <w:rsid w:val="00664D9C"/>
    <w:rsid w:val="00665067"/>
    <w:rsid w:val="006651AE"/>
    <w:rsid w:val="00665A93"/>
    <w:rsid w:val="00665EE1"/>
    <w:rsid w:val="00665F8C"/>
    <w:rsid w:val="00665FDD"/>
    <w:rsid w:val="00666440"/>
    <w:rsid w:val="00666527"/>
    <w:rsid w:val="00666603"/>
    <w:rsid w:val="006669FB"/>
    <w:rsid w:val="00666E30"/>
    <w:rsid w:val="006674AA"/>
    <w:rsid w:val="00667546"/>
    <w:rsid w:val="00667791"/>
    <w:rsid w:val="00667A0A"/>
    <w:rsid w:val="00667CBB"/>
    <w:rsid w:val="00667F6B"/>
    <w:rsid w:val="006700EA"/>
    <w:rsid w:val="0067024C"/>
    <w:rsid w:val="00670506"/>
    <w:rsid w:val="00670C49"/>
    <w:rsid w:val="00670CFD"/>
    <w:rsid w:val="00670FCF"/>
    <w:rsid w:val="00671680"/>
    <w:rsid w:val="0067183D"/>
    <w:rsid w:val="00671844"/>
    <w:rsid w:val="00671B48"/>
    <w:rsid w:val="00671C87"/>
    <w:rsid w:val="00671EF2"/>
    <w:rsid w:val="00671FD4"/>
    <w:rsid w:val="00672DD8"/>
    <w:rsid w:val="00672EA0"/>
    <w:rsid w:val="00672F4A"/>
    <w:rsid w:val="00673172"/>
    <w:rsid w:val="006731E8"/>
    <w:rsid w:val="0067346E"/>
    <w:rsid w:val="0067374B"/>
    <w:rsid w:val="00673987"/>
    <w:rsid w:val="006740CB"/>
    <w:rsid w:val="00674A9B"/>
    <w:rsid w:val="00674B13"/>
    <w:rsid w:val="00674D11"/>
    <w:rsid w:val="00674E03"/>
    <w:rsid w:val="00674E35"/>
    <w:rsid w:val="006751E3"/>
    <w:rsid w:val="00675FA1"/>
    <w:rsid w:val="00676202"/>
    <w:rsid w:val="006762E3"/>
    <w:rsid w:val="006762EF"/>
    <w:rsid w:val="00676350"/>
    <w:rsid w:val="006763A9"/>
    <w:rsid w:val="0067683A"/>
    <w:rsid w:val="006768CA"/>
    <w:rsid w:val="00676AD7"/>
    <w:rsid w:val="006771BD"/>
    <w:rsid w:val="006771E2"/>
    <w:rsid w:val="006777DB"/>
    <w:rsid w:val="00677822"/>
    <w:rsid w:val="006779D0"/>
    <w:rsid w:val="00677A0E"/>
    <w:rsid w:val="00677E93"/>
    <w:rsid w:val="00677EDA"/>
    <w:rsid w:val="00677F1A"/>
    <w:rsid w:val="00677FA0"/>
    <w:rsid w:val="006802EC"/>
    <w:rsid w:val="00680759"/>
    <w:rsid w:val="00680A01"/>
    <w:rsid w:val="00680C0F"/>
    <w:rsid w:val="00681372"/>
    <w:rsid w:val="00681545"/>
    <w:rsid w:val="00681BC3"/>
    <w:rsid w:val="0068216C"/>
    <w:rsid w:val="006826F0"/>
    <w:rsid w:val="00682976"/>
    <w:rsid w:val="00682CEB"/>
    <w:rsid w:val="00682EBB"/>
    <w:rsid w:val="00682F6E"/>
    <w:rsid w:val="00683629"/>
    <w:rsid w:val="0068363A"/>
    <w:rsid w:val="00684311"/>
    <w:rsid w:val="00684313"/>
    <w:rsid w:val="0068446F"/>
    <w:rsid w:val="006845E5"/>
    <w:rsid w:val="00684BB1"/>
    <w:rsid w:val="006854B0"/>
    <w:rsid w:val="006856D7"/>
    <w:rsid w:val="006858AC"/>
    <w:rsid w:val="00685B3D"/>
    <w:rsid w:val="00685F55"/>
    <w:rsid w:val="00685FD9"/>
    <w:rsid w:val="006863F3"/>
    <w:rsid w:val="006864B3"/>
    <w:rsid w:val="0068696F"/>
    <w:rsid w:val="00686D17"/>
    <w:rsid w:val="00686DEF"/>
    <w:rsid w:val="00686EBC"/>
    <w:rsid w:val="00687280"/>
    <w:rsid w:val="0068732B"/>
    <w:rsid w:val="006874F4"/>
    <w:rsid w:val="0068791D"/>
    <w:rsid w:val="00687976"/>
    <w:rsid w:val="00687ABC"/>
    <w:rsid w:val="00687AC3"/>
    <w:rsid w:val="00687CE9"/>
    <w:rsid w:val="00687EAF"/>
    <w:rsid w:val="00690040"/>
    <w:rsid w:val="00690203"/>
    <w:rsid w:val="00690A3F"/>
    <w:rsid w:val="0069136D"/>
    <w:rsid w:val="00691846"/>
    <w:rsid w:val="00691A7B"/>
    <w:rsid w:val="00691C64"/>
    <w:rsid w:val="006922AF"/>
    <w:rsid w:val="00692804"/>
    <w:rsid w:val="00692CC7"/>
    <w:rsid w:val="00693250"/>
    <w:rsid w:val="00693459"/>
    <w:rsid w:val="00693491"/>
    <w:rsid w:val="006934CE"/>
    <w:rsid w:val="0069366E"/>
    <w:rsid w:val="00693904"/>
    <w:rsid w:val="00693F9C"/>
    <w:rsid w:val="00694084"/>
    <w:rsid w:val="0069462E"/>
    <w:rsid w:val="00694844"/>
    <w:rsid w:val="00694C0C"/>
    <w:rsid w:val="00694DA5"/>
    <w:rsid w:val="00694DF5"/>
    <w:rsid w:val="006959FC"/>
    <w:rsid w:val="00695D7C"/>
    <w:rsid w:val="00695F83"/>
    <w:rsid w:val="00696798"/>
    <w:rsid w:val="006969D9"/>
    <w:rsid w:val="00696A78"/>
    <w:rsid w:val="00696BC6"/>
    <w:rsid w:val="00696DF6"/>
    <w:rsid w:val="006970C2"/>
    <w:rsid w:val="006970D5"/>
    <w:rsid w:val="00697201"/>
    <w:rsid w:val="00697693"/>
    <w:rsid w:val="00697963"/>
    <w:rsid w:val="00697D4B"/>
    <w:rsid w:val="006A006D"/>
    <w:rsid w:val="006A0ACD"/>
    <w:rsid w:val="006A0D27"/>
    <w:rsid w:val="006A0F91"/>
    <w:rsid w:val="006A101B"/>
    <w:rsid w:val="006A10D8"/>
    <w:rsid w:val="006A131C"/>
    <w:rsid w:val="006A14E2"/>
    <w:rsid w:val="006A18DB"/>
    <w:rsid w:val="006A1F63"/>
    <w:rsid w:val="006A1FE2"/>
    <w:rsid w:val="006A228B"/>
    <w:rsid w:val="006A24B2"/>
    <w:rsid w:val="006A26AA"/>
    <w:rsid w:val="006A281C"/>
    <w:rsid w:val="006A2C3A"/>
    <w:rsid w:val="006A2E6E"/>
    <w:rsid w:val="006A2EDC"/>
    <w:rsid w:val="006A2F1C"/>
    <w:rsid w:val="006A312F"/>
    <w:rsid w:val="006A3251"/>
    <w:rsid w:val="006A34FA"/>
    <w:rsid w:val="006A3EF6"/>
    <w:rsid w:val="006A4118"/>
    <w:rsid w:val="006A439D"/>
    <w:rsid w:val="006A4575"/>
    <w:rsid w:val="006A4612"/>
    <w:rsid w:val="006A46C0"/>
    <w:rsid w:val="006A49D7"/>
    <w:rsid w:val="006A4A05"/>
    <w:rsid w:val="006A4C3C"/>
    <w:rsid w:val="006A4E41"/>
    <w:rsid w:val="006A4F50"/>
    <w:rsid w:val="006A4FB4"/>
    <w:rsid w:val="006A53B4"/>
    <w:rsid w:val="006A5A08"/>
    <w:rsid w:val="006A5C62"/>
    <w:rsid w:val="006A5DA5"/>
    <w:rsid w:val="006A6214"/>
    <w:rsid w:val="006A646A"/>
    <w:rsid w:val="006A65FE"/>
    <w:rsid w:val="006A67D4"/>
    <w:rsid w:val="006A68F4"/>
    <w:rsid w:val="006A6E39"/>
    <w:rsid w:val="006A7142"/>
    <w:rsid w:val="006A73D9"/>
    <w:rsid w:val="006A768A"/>
    <w:rsid w:val="006A779E"/>
    <w:rsid w:val="006A7852"/>
    <w:rsid w:val="006A7ADF"/>
    <w:rsid w:val="006A7B58"/>
    <w:rsid w:val="006A7CCC"/>
    <w:rsid w:val="006A7F5A"/>
    <w:rsid w:val="006B03C0"/>
    <w:rsid w:val="006B04AA"/>
    <w:rsid w:val="006B070C"/>
    <w:rsid w:val="006B098C"/>
    <w:rsid w:val="006B09ED"/>
    <w:rsid w:val="006B0AB5"/>
    <w:rsid w:val="006B0C00"/>
    <w:rsid w:val="006B111D"/>
    <w:rsid w:val="006B12B5"/>
    <w:rsid w:val="006B1CEF"/>
    <w:rsid w:val="006B1EBD"/>
    <w:rsid w:val="006B2054"/>
    <w:rsid w:val="006B205B"/>
    <w:rsid w:val="006B2345"/>
    <w:rsid w:val="006B245D"/>
    <w:rsid w:val="006B2477"/>
    <w:rsid w:val="006B2946"/>
    <w:rsid w:val="006B2993"/>
    <w:rsid w:val="006B2D0C"/>
    <w:rsid w:val="006B2F2A"/>
    <w:rsid w:val="006B2F74"/>
    <w:rsid w:val="006B31AB"/>
    <w:rsid w:val="006B324E"/>
    <w:rsid w:val="006B37F9"/>
    <w:rsid w:val="006B3854"/>
    <w:rsid w:val="006B386E"/>
    <w:rsid w:val="006B3C40"/>
    <w:rsid w:val="006B3EF9"/>
    <w:rsid w:val="006B46CC"/>
    <w:rsid w:val="006B479C"/>
    <w:rsid w:val="006B4878"/>
    <w:rsid w:val="006B494E"/>
    <w:rsid w:val="006B50E2"/>
    <w:rsid w:val="006B515B"/>
    <w:rsid w:val="006B529B"/>
    <w:rsid w:val="006B539E"/>
    <w:rsid w:val="006B54A3"/>
    <w:rsid w:val="006B5954"/>
    <w:rsid w:val="006B639F"/>
    <w:rsid w:val="006B65DB"/>
    <w:rsid w:val="006B69D6"/>
    <w:rsid w:val="006B7248"/>
    <w:rsid w:val="006B7433"/>
    <w:rsid w:val="006B7749"/>
    <w:rsid w:val="006B7A94"/>
    <w:rsid w:val="006B7D8B"/>
    <w:rsid w:val="006C01A9"/>
    <w:rsid w:val="006C01C2"/>
    <w:rsid w:val="006C01DD"/>
    <w:rsid w:val="006C03D5"/>
    <w:rsid w:val="006C0424"/>
    <w:rsid w:val="006C069B"/>
    <w:rsid w:val="006C0C95"/>
    <w:rsid w:val="006C0DBF"/>
    <w:rsid w:val="006C0DD9"/>
    <w:rsid w:val="006C146B"/>
    <w:rsid w:val="006C1593"/>
    <w:rsid w:val="006C1620"/>
    <w:rsid w:val="006C1FF6"/>
    <w:rsid w:val="006C2074"/>
    <w:rsid w:val="006C221B"/>
    <w:rsid w:val="006C25EF"/>
    <w:rsid w:val="006C2BE6"/>
    <w:rsid w:val="006C30A9"/>
    <w:rsid w:val="006C3137"/>
    <w:rsid w:val="006C3340"/>
    <w:rsid w:val="006C33ED"/>
    <w:rsid w:val="006C3D56"/>
    <w:rsid w:val="006C4554"/>
    <w:rsid w:val="006C45A4"/>
    <w:rsid w:val="006C45C6"/>
    <w:rsid w:val="006C4A71"/>
    <w:rsid w:val="006C4EEE"/>
    <w:rsid w:val="006C5581"/>
    <w:rsid w:val="006C5A02"/>
    <w:rsid w:val="006C5A4B"/>
    <w:rsid w:val="006C5D93"/>
    <w:rsid w:val="006C60E5"/>
    <w:rsid w:val="006C654A"/>
    <w:rsid w:val="006C6D56"/>
    <w:rsid w:val="006C73B7"/>
    <w:rsid w:val="006C785F"/>
    <w:rsid w:val="006C7898"/>
    <w:rsid w:val="006C7D70"/>
    <w:rsid w:val="006C7FF2"/>
    <w:rsid w:val="006D0798"/>
    <w:rsid w:val="006D07AE"/>
    <w:rsid w:val="006D0CF6"/>
    <w:rsid w:val="006D1720"/>
    <w:rsid w:val="006D1CD8"/>
    <w:rsid w:val="006D21DE"/>
    <w:rsid w:val="006D2389"/>
    <w:rsid w:val="006D2902"/>
    <w:rsid w:val="006D2A16"/>
    <w:rsid w:val="006D2CE8"/>
    <w:rsid w:val="006D2DB7"/>
    <w:rsid w:val="006D2FFB"/>
    <w:rsid w:val="006D30F9"/>
    <w:rsid w:val="006D3319"/>
    <w:rsid w:val="006D3515"/>
    <w:rsid w:val="006D4005"/>
    <w:rsid w:val="006D40BE"/>
    <w:rsid w:val="006D4280"/>
    <w:rsid w:val="006D4753"/>
    <w:rsid w:val="006D4902"/>
    <w:rsid w:val="006D4ACC"/>
    <w:rsid w:val="006D4BF3"/>
    <w:rsid w:val="006D4CDD"/>
    <w:rsid w:val="006D5460"/>
    <w:rsid w:val="006D5C9A"/>
    <w:rsid w:val="006D6144"/>
    <w:rsid w:val="006D6191"/>
    <w:rsid w:val="006D6284"/>
    <w:rsid w:val="006D64B0"/>
    <w:rsid w:val="006D68C3"/>
    <w:rsid w:val="006D691E"/>
    <w:rsid w:val="006D6DA2"/>
    <w:rsid w:val="006D79D4"/>
    <w:rsid w:val="006D7D06"/>
    <w:rsid w:val="006E0C4D"/>
    <w:rsid w:val="006E1BA9"/>
    <w:rsid w:val="006E1C1C"/>
    <w:rsid w:val="006E1E50"/>
    <w:rsid w:val="006E261D"/>
    <w:rsid w:val="006E2D24"/>
    <w:rsid w:val="006E3117"/>
    <w:rsid w:val="006E3546"/>
    <w:rsid w:val="006E3D56"/>
    <w:rsid w:val="006E4766"/>
    <w:rsid w:val="006E4870"/>
    <w:rsid w:val="006E4C6C"/>
    <w:rsid w:val="006E6076"/>
    <w:rsid w:val="006E6137"/>
    <w:rsid w:val="006E65EA"/>
    <w:rsid w:val="006E6601"/>
    <w:rsid w:val="006E6621"/>
    <w:rsid w:val="006E6DCD"/>
    <w:rsid w:val="006E6E6D"/>
    <w:rsid w:val="006E718C"/>
    <w:rsid w:val="006E7280"/>
    <w:rsid w:val="006E74B7"/>
    <w:rsid w:val="006E7B52"/>
    <w:rsid w:val="006E7BEC"/>
    <w:rsid w:val="006E7EF5"/>
    <w:rsid w:val="006F032E"/>
    <w:rsid w:val="006F0355"/>
    <w:rsid w:val="006F04D4"/>
    <w:rsid w:val="006F0588"/>
    <w:rsid w:val="006F05AC"/>
    <w:rsid w:val="006F09E7"/>
    <w:rsid w:val="006F0A34"/>
    <w:rsid w:val="006F0B30"/>
    <w:rsid w:val="006F0C0C"/>
    <w:rsid w:val="006F0DFA"/>
    <w:rsid w:val="006F0FE3"/>
    <w:rsid w:val="006F1436"/>
    <w:rsid w:val="006F15F3"/>
    <w:rsid w:val="006F1A51"/>
    <w:rsid w:val="006F1BC2"/>
    <w:rsid w:val="006F1E43"/>
    <w:rsid w:val="006F21F4"/>
    <w:rsid w:val="006F23B2"/>
    <w:rsid w:val="006F2F6C"/>
    <w:rsid w:val="006F3F4A"/>
    <w:rsid w:val="006F40CD"/>
    <w:rsid w:val="006F4108"/>
    <w:rsid w:val="006F44F3"/>
    <w:rsid w:val="006F46F9"/>
    <w:rsid w:val="006F4CDA"/>
    <w:rsid w:val="006F4E71"/>
    <w:rsid w:val="006F4FE0"/>
    <w:rsid w:val="006F5584"/>
    <w:rsid w:val="006F5AF6"/>
    <w:rsid w:val="006F5B40"/>
    <w:rsid w:val="006F5B9F"/>
    <w:rsid w:val="006F5C82"/>
    <w:rsid w:val="006F5D19"/>
    <w:rsid w:val="006F5D8F"/>
    <w:rsid w:val="006F6068"/>
    <w:rsid w:val="006F6B50"/>
    <w:rsid w:val="006F6D3E"/>
    <w:rsid w:val="006F702B"/>
    <w:rsid w:val="006F7163"/>
    <w:rsid w:val="006F729E"/>
    <w:rsid w:val="006F7705"/>
    <w:rsid w:val="0070025A"/>
    <w:rsid w:val="00700582"/>
    <w:rsid w:val="007009D1"/>
    <w:rsid w:val="00700DD5"/>
    <w:rsid w:val="00700EDC"/>
    <w:rsid w:val="007012FE"/>
    <w:rsid w:val="0070133B"/>
    <w:rsid w:val="007016BB"/>
    <w:rsid w:val="007019FE"/>
    <w:rsid w:val="00701C05"/>
    <w:rsid w:val="00701E77"/>
    <w:rsid w:val="00701E93"/>
    <w:rsid w:val="00702140"/>
    <w:rsid w:val="007023BD"/>
    <w:rsid w:val="00702435"/>
    <w:rsid w:val="0070256F"/>
    <w:rsid w:val="0070284F"/>
    <w:rsid w:val="00702AC7"/>
    <w:rsid w:val="007034E1"/>
    <w:rsid w:val="00703A2B"/>
    <w:rsid w:val="00703A66"/>
    <w:rsid w:val="00703F91"/>
    <w:rsid w:val="007041F7"/>
    <w:rsid w:val="00704DA9"/>
    <w:rsid w:val="00705272"/>
    <w:rsid w:val="007052CE"/>
    <w:rsid w:val="00705756"/>
    <w:rsid w:val="00705761"/>
    <w:rsid w:val="00705950"/>
    <w:rsid w:val="00705C8E"/>
    <w:rsid w:val="00705DC4"/>
    <w:rsid w:val="00705E42"/>
    <w:rsid w:val="00705F06"/>
    <w:rsid w:val="00706104"/>
    <w:rsid w:val="00706513"/>
    <w:rsid w:val="007065FE"/>
    <w:rsid w:val="00706E71"/>
    <w:rsid w:val="00706E74"/>
    <w:rsid w:val="007070EE"/>
    <w:rsid w:val="0070739F"/>
    <w:rsid w:val="00707DCB"/>
    <w:rsid w:val="00710085"/>
    <w:rsid w:val="007100B4"/>
    <w:rsid w:val="007103BC"/>
    <w:rsid w:val="007104F8"/>
    <w:rsid w:val="007106C0"/>
    <w:rsid w:val="00710A64"/>
    <w:rsid w:val="00710F5B"/>
    <w:rsid w:val="0071104F"/>
    <w:rsid w:val="007111EB"/>
    <w:rsid w:val="007115AB"/>
    <w:rsid w:val="00711761"/>
    <w:rsid w:val="00711E22"/>
    <w:rsid w:val="0071209A"/>
    <w:rsid w:val="0071232A"/>
    <w:rsid w:val="00712389"/>
    <w:rsid w:val="00712575"/>
    <w:rsid w:val="007127A2"/>
    <w:rsid w:val="00712B35"/>
    <w:rsid w:val="00712B62"/>
    <w:rsid w:val="00712C91"/>
    <w:rsid w:val="007130CE"/>
    <w:rsid w:val="0071314C"/>
    <w:rsid w:val="0071367D"/>
    <w:rsid w:val="007138FC"/>
    <w:rsid w:val="00713A44"/>
    <w:rsid w:val="00713B51"/>
    <w:rsid w:val="00714250"/>
    <w:rsid w:val="007142EE"/>
    <w:rsid w:val="007143BF"/>
    <w:rsid w:val="007146A7"/>
    <w:rsid w:val="00714AD5"/>
    <w:rsid w:val="00714CC2"/>
    <w:rsid w:val="00714F39"/>
    <w:rsid w:val="0071517A"/>
    <w:rsid w:val="007155C5"/>
    <w:rsid w:val="007156E8"/>
    <w:rsid w:val="00716387"/>
    <w:rsid w:val="007164A5"/>
    <w:rsid w:val="0071664E"/>
    <w:rsid w:val="0071680D"/>
    <w:rsid w:val="0071682F"/>
    <w:rsid w:val="00716E9D"/>
    <w:rsid w:val="00716F31"/>
    <w:rsid w:val="007172E9"/>
    <w:rsid w:val="007176A7"/>
    <w:rsid w:val="007177D1"/>
    <w:rsid w:val="007179FD"/>
    <w:rsid w:val="00717D9D"/>
    <w:rsid w:val="00720538"/>
    <w:rsid w:val="007207F3"/>
    <w:rsid w:val="0072088F"/>
    <w:rsid w:val="00720AEA"/>
    <w:rsid w:val="00720C19"/>
    <w:rsid w:val="00720E86"/>
    <w:rsid w:val="00720F88"/>
    <w:rsid w:val="007217DA"/>
    <w:rsid w:val="00721BAF"/>
    <w:rsid w:val="00722163"/>
    <w:rsid w:val="007221EB"/>
    <w:rsid w:val="0072307D"/>
    <w:rsid w:val="007242B6"/>
    <w:rsid w:val="00724A30"/>
    <w:rsid w:val="00724A83"/>
    <w:rsid w:val="00724E33"/>
    <w:rsid w:val="00724EB3"/>
    <w:rsid w:val="00724F01"/>
    <w:rsid w:val="007250C4"/>
    <w:rsid w:val="00725DB8"/>
    <w:rsid w:val="00725DCA"/>
    <w:rsid w:val="00725EC0"/>
    <w:rsid w:val="0072618F"/>
    <w:rsid w:val="007262B1"/>
    <w:rsid w:val="007264E7"/>
    <w:rsid w:val="007266B2"/>
    <w:rsid w:val="00726C26"/>
    <w:rsid w:val="00726D92"/>
    <w:rsid w:val="00727171"/>
    <w:rsid w:val="00727451"/>
    <w:rsid w:val="00727582"/>
    <w:rsid w:val="007276C2"/>
    <w:rsid w:val="00727C64"/>
    <w:rsid w:val="00727CFD"/>
    <w:rsid w:val="00727D25"/>
    <w:rsid w:val="0073012A"/>
    <w:rsid w:val="00730396"/>
    <w:rsid w:val="00730502"/>
    <w:rsid w:val="00730A00"/>
    <w:rsid w:val="00730A28"/>
    <w:rsid w:val="00730ACC"/>
    <w:rsid w:val="00730B47"/>
    <w:rsid w:val="00730DC2"/>
    <w:rsid w:val="00730E21"/>
    <w:rsid w:val="00730FC2"/>
    <w:rsid w:val="007315DF"/>
    <w:rsid w:val="00731780"/>
    <w:rsid w:val="00731A4C"/>
    <w:rsid w:val="00731AF9"/>
    <w:rsid w:val="00731D2A"/>
    <w:rsid w:val="007321D9"/>
    <w:rsid w:val="00732386"/>
    <w:rsid w:val="00732FB3"/>
    <w:rsid w:val="00733836"/>
    <w:rsid w:val="00733DE0"/>
    <w:rsid w:val="00733DF2"/>
    <w:rsid w:val="00733F6A"/>
    <w:rsid w:val="007342EF"/>
    <w:rsid w:val="00734418"/>
    <w:rsid w:val="00734786"/>
    <w:rsid w:val="00734A03"/>
    <w:rsid w:val="00734BBF"/>
    <w:rsid w:val="00734BF6"/>
    <w:rsid w:val="0073544F"/>
    <w:rsid w:val="00735BB8"/>
    <w:rsid w:val="00735DB3"/>
    <w:rsid w:val="00735EC4"/>
    <w:rsid w:val="00735F68"/>
    <w:rsid w:val="007361FF"/>
    <w:rsid w:val="007364A6"/>
    <w:rsid w:val="00736B88"/>
    <w:rsid w:val="00737575"/>
    <w:rsid w:val="00737820"/>
    <w:rsid w:val="0073787B"/>
    <w:rsid w:val="0073798F"/>
    <w:rsid w:val="00737C5E"/>
    <w:rsid w:val="007400F8"/>
    <w:rsid w:val="007402D8"/>
    <w:rsid w:val="00740857"/>
    <w:rsid w:val="0074092B"/>
    <w:rsid w:val="00740A2E"/>
    <w:rsid w:val="00740B6C"/>
    <w:rsid w:val="00740FA6"/>
    <w:rsid w:val="00740FFF"/>
    <w:rsid w:val="00741107"/>
    <w:rsid w:val="00741773"/>
    <w:rsid w:val="00741F8A"/>
    <w:rsid w:val="0074260F"/>
    <w:rsid w:val="00742B92"/>
    <w:rsid w:val="00742BCD"/>
    <w:rsid w:val="00742BD8"/>
    <w:rsid w:val="007430C7"/>
    <w:rsid w:val="00743196"/>
    <w:rsid w:val="00743373"/>
    <w:rsid w:val="00743714"/>
    <w:rsid w:val="00743928"/>
    <w:rsid w:val="00743BF4"/>
    <w:rsid w:val="00743D5C"/>
    <w:rsid w:val="00744019"/>
    <w:rsid w:val="007445BD"/>
    <w:rsid w:val="00744762"/>
    <w:rsid w:val="007448B9"/>
    <w:rsid w:val="00744D25"/>
    <w:rsid w:val="0074505E"/>
    <w:rsid w:val="0074560D"/>
    <w:rsid w:val="007457FB"/>
    <w:rsid w:val="00745C38"/>
    <w:rsid w:val="00745CAC"/>
    <w:rsid w:val="00746AB4"/>
    <w:rsid w:val="0074727E"/>
    <w:rsid w:val="007476BB"/>
    <w:rsid w:val="00747791"/>
    <w:rsid w:val="00747C1E"/>
    <w:rsid w:val="0075000C"/>
    <w:rsid w:val="00750052"/>
    <w:rsid w:val="007503EA"/>
    <w:rsid w:val="007504AF"/>
    <w:rsid w:val="00750528"/>
    <w:rsid w:val="00750E6B"/>
    <w:rsid w:val="00750EF0"/>
    <w:rsid w:val="0075139C"/>
    <w:rsid w:val="0075148D"/>
    <w:rsid w:val="0075168B"/>
    <w:rsid w:val="0075172D"/>
    <w:rsid w:val="00751732"/>
    <w:rsid w:val="00751B8B"/>
    <w:rsid w:val="00751C4B"/>
    <w:rsid w:val="00751D87"/>
    <w:rsid w:val="00752779"/>
    <w:rsid w:val="007531F7"/>
    <w:rsid w:val="007542B1"/>
    <w:rsid w:val="00754777"/>
    <w:rsid w:val="00754C3C"/>
    <w:rsid w:val="00754DE8"/>
    <w:rsid w:val="00755437"/>
    <w:rsid w:val="007554EB"/>
    <w:rsid w:val="0075579B"/>
    <w:rsid w:val="007558E0"/>
    <w:rsid w:val="0075598C"/>
    <w:rsid w:val="00755BC0"/>
    <w:rsid w:val="00755BEE"/>
    <w:rsid w:val="00755D55"/>
    <w:rsid w:val="00755E3E"/>
    <w:rsid w:val="007565DC"/>
    <w:rsid w:val="00756756"/>
    <w:rsid w:val="00757298"/>
    <w:rsid w:val="007572D1"/>
    <w:rsid w:val="00757425"/>
    <w:rsid w:val="00757719"/>
    <w:rsid w:val="00757C92"/>
    <w:rsid w:val="00757E1A"/>
    <w:rsid w:val="00757F41"/>
    <w:rsid w:val="00760566"/>
    <w:rsid w:val="00760EF4"/>
    <w:rsid w:val="0076101B"/>
    <w:rsid w:val="00761CDE"/>
    <w:rsid w:val="00761D66"/>
    <w:rsid w:val="00761EFB"/>
    <w:rsid w:val="0076223B"/>
    <w:rsid w:val="007623E0"/>
    <w:rsid w:val="0076295F"/>
    <w:rsid w:val="007629B4"/>
    <w:rsid w:val="007629BD"/>
    <w:rsid w:val="00762BCD"/>
    <w:rsid w:val="00763234"/>
    <w:rsid w:val="00763CB1"/>
    <w:rsid w:val="00764012"/>
    <w:rsid w:val="00764094"/>
    <w:rsid w:val="0076473D"/>
    <w:rsid w:val="00764923"/>
    <w:rsid w:val="007649A4"/>
    <w:rsid w:val="00764E92"/>
    <w:rsid w:val="00764F60"/>
    <w:rsid w:val="00765277"/>
    <w:rsid w:val="00765315"/>
    <w:rsid w:val="007657FC"/>
    <w:rsid w:val="00765F69"/>
    <w:rsid w:val="00766101"/>
    <w:rsid w:val="007664A8"/>
    <w:rsid w:val="00766657"/>
    <w:rsid w:val="0076681E"/>
    <w:rsid w:val="0076682C"/>
    <w:rsid w:val="0076683B"/>
    <w:rsid w:val="007669E2"/>
    <w:rsid w:val="00766E3C"/>
    <w:rsid w:val="007672FF"/>
    <w:rsid w:val="0076746A"/>
    <w:rsid w:val="007674CC"/>
    <w:rsid w:val="00767C58"/>
    <w:rsid w:val="00767CF4"/>
    <w:rsid w:val="00767F68"/>
    <w:rsid w:val="00770040"/>
    <w:rsid w:val="00770597"/>
    <w:rsid w:val="00770932"/>
    <w:rsid w:val="0077100F"/>
    <w:rsid w:val="007712BD"/>
    <w:rsid w:val="007713FC"/>
    <w:rsid w:val="007715B9"/>
    <w:rsid w:val="00771784"/>
    <w:rsid w:val="00771814"/>
    <w:rsid w:val="00771A7F"/>
    <w:rsid w:val="007723A3"/>
    <w:rsid w:val="007723B7"/>
    <w:rsid w:val="00772A44"/>
    <w:rsid w:val="00772F3D"/>
    <w:rsid w:val="00773807"/>
    <w:rsid w:val="00773AAB"/>
    <w:rsid w:val="0077408A"/>
    <w:rsid w:val="00774331"/>
    <w:rsid w:val="0077455F"/>
    <w:rsid w:val="007747AD"/>
    <w:rsid w:val="00774A45"/>
    <w:rsid w:val="00774B27"/>
    <w:rsid w:val="007752E4"/>
    <w:rsid w:val="0077532D"/>
    <w:rsid w:val="0077542A"/>
    <w:rsid w:val="007767EC"/>
    <w:rsid w:val="00776BD0"/>
    <w:rsid w:val="00776C11"/>
    <w:rsid w:val="00776E9C"/>
    <w:rsid w:val="00777145"/>
    <w:rsid w:val="007772A5"/>
    <w:rsid w:val="007774A4"/>
    <w:rsid w:val="00777707"/>
    <w:rsid w:val="00777A1C"/>
    <w:rsid w:val="00777C2D"/>
    <w:rsid w:val="00777C92"/>
    <w:rsid w:val="00777D16"/>
    <w:rsid w:val="0078086F"/>
    <w:rsid w:val="00780E46"/>
    <w:rsid w:val="00781208"/>
    <w:rsid w:val="007815E0"/>
    <w:rsid w:val="00781A2C"/>
    <w:rsid w:val="00781AAB"/>
    <w:rsid w:val="007825A9"/>
    <w:rsid w:val="00782A7F"/>
    <w:rsid w:val="007830C4"/>
    <w:rsid w:val="00783140"/>
    <w:rsid w:val="00783152"/>
    <w:rsid w:val="0078323C"/>
    <w:rsid w:val="00783611"/>
    <w:rsid w:val="0078379D"/>
    <w:rsid w:val="00783873"/>
    <w:rsid w:val="00783A1E"/>
    <w:rsid w:val="00783BE9"/>
    <w:rsid w:val="00783C19"/>
    <w:rsid w:val="00783E25"/>
    <w:rsid w:val="00784097"/>
    <w:rsid w:val="007841AF"/>
    <w:rsid w:val="0078478D"/>
    <w:rsid w:val="007849CE"/>
    <w:rsid w:val="00784C34"/>
    <w:rsid w:val="00784EEB"/>
    <w:rsid w:val="00785479"/>
    <w:rsid w:val="00785829"/>
    <w:rsid w:val="007863C7"/>
    <w:rsid w:val="00786BB6"/>
    <w:rsid w:val="00786C0C"/>
    <w:rsid w:val="007872AA"/>
    <w:rsid w:val="00787364"/>
    <w:rsid w:val="007877A5"/>
    <w:rsid w:val="007902D7"/>
    <w:rsid w:val="00790835"/>
    <w:rsid w:val="007910F8"/>
    <w:rsid w:val="0079118A"/>
    <w:rsid w:val="0079134F"/>
    <w:rsid w:val="00791391"/>
    <w:rsid w:val="007913E7"/>
    <w:rsid w:val="007921AF"/>
    <w:rsid w:val="007923C1"/>
    <w:rsid w:val="0079245F"/>
    <w:rsid w:val="00792618"/>
    <w:rsid w:val="007928A9"/>
    <w:rsid w:val="00792FA5"/>
    <w:rsid w:val="00793060"/>
    <w:rsid w:val="00793638"/>
    <w:rsid w:val="00793747"/>
    <w:rsid w:val="007939F9"/>
    <w:rsid w:val="00793C58"/>
    <w:rsid w:val="00793CC6"/>
    <w:rsid w:val="00793D90"/>
    <w:rsid w:val="00793FFE"/>
    <w:rsid w:val="007941CB"/>
    <w:rsid w:val="007943EB"/>
    <w:rsid w:val="007945BC"/>
    <w:rsid w:val="00794A55"/>
    <w:rsid w:val="00794C1D"/>
    <w:rsid w:val="00794F57"/>
    <w:rsid w:val="00794F6D"/>
    <w:rsid w:val="00795013"/>
    <w:rsid w:val="0079522E"/>
    <w:rsid w:val="0079524B"/>
    <w:rsid w:val="007952C4"/>
    <w:rsid w:val="00795402"/>
    <w:rsid w:val="00795AC4"/>
    <w:rsid w:val="00795B4C"/>
    <w:rsid w:val="00795DF3"/>
    <w:rsid w:val="00796016"/>
    <w:rsid w:val="00796064"/>
    <w:rsid w:val="0079622A"/>
    <w:rsid w:val="007962F0"/>
    <w:rsid w:val="00796303"/>
    <w:rsid w:val="00796F2E"/>
    <w:rsid w:val="00797799"/>
    <w:rsid w:val="0079786D"/>
    <w:rsid w:val="00797937"/>
    <w:rsid w:val="00797B5B"/>
    <w:rsid w:val="00797C26"/>
    <w:rsid w:val="007A0156"/>
    <w:rsid w:val="007A0462"/>
    <w:rsid w:val="007A0877"/>
    <w:rsid w:val="007A0D3A"/>
    <w:rsid w:val="007A1561"/>
    <w:rsid w:val="007A15F3"/>
    <w:rsid w:val="007A18A9"/>
    <w:rsid w:val="007A18B8"/>
    <w:rsid w:val="007A19DC"/>
    <w:rsid w:val="007A1D47"/>
    <w:rsid w:val="007A2038"/>
    <w:rsid w:val="007A242B"/>
    <w:rsid w:val="007A24B4"/>
    <w:rsid w:val="007A26B7"/>
    <w:rsid w:val="007A2947"/>
    <w:rsid w:val="007A2FC8"/>
    <w:rsid w:val="007A30D9"/>
    <w:rsid w:val="007A346C"/>
    <w:rsid w:val="007A36C8"/>
    <w:rsid w:val="007A3E8B"/>
    <w:rsid w:val="007A3F2E"/>
    <w:rsid w:val="007A45D6"/>
    <w:rsid w:val="007A48DE"/>
    <w:rsid w:val="007A51C7"/>
    <w:rsid w:val="007A5B2B"/>
    <w:rsid w:val="007A6417"/>
    <w:rsid w:val="007A6854"/>
    <w:rsid w:val="007A6B8B"/>
    <w:rsid w:val="007A6D71"/>
    <w:rsid w:val="007A7194"/>
    <w:rsid w:val="007A7AD2"/>
    <w:rsid w:val="007A7B64"/>
    <w:rsid w:val="007A7F56"/>
    <w:rsid w:val="007B0329"/>
    <w:rsid w:val="007B0527"/>
    <w:rsid w:val="007B112C"/>
    <w:rsid w:val="007B152D"/>
    <w:rsid w:val="007B1978"/>
    <w:rsid w:val="007B1A71"/>
    <w:rsid w:val="007B1B73"/>
    <w:rsid w:val="007B1C2C"/>
    <w:rsid w:val="007B1D9A"/>
    <w:rsid w:val="007B26CC"/>
    <w:rsid w:val="007B2756"/>
    <w:rsid w:val="007B2921"/>
    <w:rsid w:val="007B295A"/>
    <w:rsid w:val="007B2AD6"/>
    <w:rsid w:val="007B2BD8"/>
    <w:rsid w:val="007B305F"/>
    <w:rsid w:val="007B336F"/>
    <w:rsid w:val="007B3433"/>
    <w:rsid w:val="007B3737"/>
    <w:rsid w:val="007B3768"/>
    <w:rsid w:val="007B3A17"/>
    <w:rsid w:val="007B3B64"/>
    <w:rsid w:val="007B3C6E"/>
    <w:rsid w:val="007B3EA9"/>
    <w:rsid w:val="007B3FCF"/>
    <w:rsid w:val="007B42AC"/>
    <w:rsid w:val="007B4342"/>
    <w:rsid w:val="007B4643"/>
    <w:rsid w:val="007B4BF6"/>
    <w:rsid w:val="007B4E3D"/>
    <w:rsid w:val="007B5421"/>
    <w:rsid w:val="007B5714"/>
    <w:rsid w:val="007B59B4"/>
    <w:rsid w:val="007B5AC6"/>
    <w:rsid w:val="007B5B71"/>
    <w:rsid w:val="007B5DF8"/>
    <w:rsid w:val="007B5E0B"/>
    <w:rsid w:val="007B6103"/>
    <w:rsid w:val="007B629E"/>
    <w:rsid w:val="007B6551"/>
    <w:rsid w:val="007B6AA3"/>
    <w:rsid w:val="007B7352"/>
    <w:rsid w:val="007B7573"/>
    <w:rsid w:val="007B7B2B"/>
    <w:rsid w:val="007B7D67"/>
    <w:rsid w:val="007C0623"/>
    <w:rsid w:val="007C06E2"/>
    <w:rsid w:val="007C09FF"/>
    <w:rsid w:val="007C0E61"/>
    <w:rsid w:val="007C1448"/>
    <w:rsid w:val="007C14FA"/>
    <w:rsid w:val="007C1548"/>
    <w:rsid w:val="007C155C"/>
    <w:rsid w:val="007C15E1"/>
    <w:rsid w:val="007C1C2D"/>
    <w:rsid w:val="007C1E62"/>
    <w:rsid w:val="007C2672"/>
    <w:rsid w:val="007C276B"/>
    <w:rsid w:val="007C2B71"/>
    <w:rsid w:val="007C2DF5"/>
    <w:rsid w:val="007C307D"/>
    <w:rsid w:val="007C3168"/>
    <w:rsid w:val="007C3AFC"/>
    <w:rsid w:val="007C4782"/>
    <w:rsid w:val="007C4947"/>
    <w:rsid w:val="007C4B7B"/>
    <w:rsid w:val="007C4B8A"/>
    <w:rsid w:val="007C50DC"/>
    <w:rsid w:val="007C58E1"/>
    <w:rsid w:val="007C5AD2"/>
    <w:rsid w:val="007C5EC6"/>
    <w:rsid w:val="007C639B"/>
    <w:rsid w:val="007C6834"/>
    <w:rsid w:val="007C6CC4"/>
    <w:rsid w:val="007C7497"/>
    <w:rsid w:val="007C7A31"/>
    <w:rsid w:val="007C7C74"/>
    <w:rsid w:val="007D01C4"/>
    <w:rsid w:val="007D10C4"/>
    <w:rsid w:val="007D11F7"/>
    <w:rsid w:val="007D1586"/>
    <w:rsid w:val="007D1759"/>
    <w:rsid w:val="007D18B1"/>
    <w:rsid w:val="007D193D"/>
    <w:rsid w:val="007D2686"/>
    <w:rsid w:val="007D2769"/>
    <w:rsid w:val="007D28A3"/>
    <w:rsid w:val="007D28CA"/>
    <w:rsid w:val="007D30F2"/>
    <w:rsid w:val="007D361D"/>
    <w:rsid w:val="007D3674"/>
    <w:rsid w:val="007D3A79"/>
    <w:rsid w:val="007D3F74"/>
    <w:rsid w:val="007D4174"/>
    <w:rsid w:val="007D45F7"/>
    <w:rsid w:val="007D48DE"/>
    <w:rsid w:val="007D4BE2"/>
    <w:rsid w:val="007D50C1"/>
    <w:rsid w:val="007D5765"/>
    <w:rsid w:val="007D59DB"/>
    <w:rsid w:val="007D5B70"/>
    <w:rsid w:val="007D5EA2"/>
    <w:rsid w:val="007D61D4"/>
    <w:rsid w:val="007D64EA"/>
    <w:rsid w:val="007D6CE8"/>
    <w:rsid w:val="007D6F9A"/>
    <w:rsid w:val="007D70C2"/>
    <w:rsid w:val="007D7439"/>
    <w:rsid w:val="007D7515"/>
    <w:rsid w:val="007D75CA"/>
    <w:rsid w:val="007D7644"/>
    <w:rsid w:val="007D7CDE"/>
    <w:rsid w:val="007D7E17"/>
    <w:rsid w:val="007E022D"/>
    <w:rsid w:val="007E0606"/>
    <w:rsid w:val="007E0E34"/>
    <w:rsid w:val="007E0F14"/>
    <w:rsid w:val="007E103A"/>
    <w:rsid w:val="007E122A"/>
    <w:rsid w:val="007E155A"/>
    <w:rsid w:val="007E169F"/>
    <w:rsid w:val="007E173C"/>
    <w:rsid w:val="007E1A96"/>
    <w:rsid w:val="007E1F97"/>
    <w:rsid w:val="007E2547"/>
    <w:rsid w:val="007E2550"/>
    <w:rsid w:val="007E27F4"/>
    <w:rsid w:val="007E290C"/>
    <w:rsid w:val="007E2AE4"/>
    <w:rsid w:val="007E2AF9"/>
    <w:rsid w:val="007E2AFD"/>
    <w:rsid w:val="007E3225"/>
    <w:rsid w:val="007E3AFA"/>
    <w:rsid w:val="007E3D1D"/>
    <w:rsid w:val="007E3DAE"/>
    <w:rsid w:val="007E422D"/>
    <w:rsid w:val="007E423D"/>
    <w:rsid w:val="007E42EF"/>
    <w:rsid w:val="007E472A"/>
    <w:rsid w:val="007E489C"/>
    <w:rsid w:val="007E49C6"/>
    <w:rsid w:val="007E4CB2"/>
    <w:rsid w:val="007E4D1E"/>
    <w:rsid w:val="007E51C1"/>
    <w:rsid w:val="007E51E4"/>
    <w:rsid w:val="007E538C"/>
    <w:rsid w:val="007E5438"/>
    <w:rsid w:val="007E5447"/>
    <w:rsid w:val="007E5EAE"/>
    <w:rsid w:val="007E5F29"/>
    <w:rsid w:val="007E5F93"/>
    <w:rsid w:val="007E5FBD"/>
    <w:rsid w:val="007E6028"/>
    <w:rsid w:val="007E62C3"/>
    <w:rsid w:val="007E65F6"/>
    <w:rsid w:val="007E6922"/>
    <w:rsid w:val="007E699F"/>
    <w:rsid w:val="007E6FE8"/>
    <w:rsid w:val="007F03D5"/>
    <w:rsid w:val="007F07CD"/>
    <w:rsid w:val="007F0D90"/>
    <w:rsid w:val="007F0F80"/>
    <w:rsid w:val="007F15CA"/>
    <w:rsid w:val="007F1694"/>
    <w:rsid w:val="007F1B09"/>
    <w:rsid w:val="007F1D82"/>
    <w:rsid w:val="007F1DD4"/>
    <w:rsid w:val="007F1EF6"/>
    <w:rsid w:val="007F2274"/>
    <w:rsid w:val="007F228F"/>
    <w:rsid w:val="007F239A"/>
    <w:rsid w:val="007F295C"/>
    <w:rsid w:val="007F2B08"/>
    <w:rsid w:val="007F2D56"/>
    <w:rsid w:val="007F335E"/>
    <w:rsid w:val="007F33D4"/>
    <w:rsid w:val="007F3744"/>
    <w:rsid w:val="007F3A7C"/>
    <w:rsid w:val="007F3EE5"/>
    <w:rsid w:val="007F4662"/>
    <w:rsid w:val="007F4A01"/>
    <w:rsid w:val="007F4B2D"/>
    <w:rsid w:val="007F51A4"/>
    <w:rsid w:val="007F51C8"/>
    <w:rsid w:val="007F5278"/>
    <w:rsid w:val="007F5C05"/>
    <w:rsid w:val="007F5F40"/>
    <w:rsid w:val="007F5F4C"/>
    <w:rsid w:val="007F5FE9"/>
    <w:rsid w:val="007F6443"/>
    <w:rsid w:val="007F646A"/>
    <w:rsid w:val="007F6491"/>
    <w:rsid w:val="007F66E0"/>
    <w:rsid w:val="007F6B11"/>
    <w:rsid w:val="007F6EFD"/>
    <w:rsid w:val="007F70C8"/>
    <w:rsid w:val="007F72BF"/>
    <w:rsid w:val="007F7864"/>
    <w:rsid w:val="007F7B57"/>
    <w:rsid w:val="007F7BF0"/>
    <w:rsid w:val="007F7EA3"/>
    <w:rsid w:val="007F7F20"/>
    <w:rsid w:val="007F7FF4"/>
    <w:rsid w:val="00800394"/>
    <w:rsid w:val="00800D86"/>
    <w:rsid w:val="00800E8F"/>
    <w:rsid w:val="0080140B"/>
    <w:rsid w:val="00801D74"/>
    <w:rsid w:val="00802122"/>
    <w:rsid w:val="00802209"/>
    <w:rsid w:val="00802626"/>
    <w:rsid w:val="008027C3"/>
    <w:rsid w:val="008029AC"/>
    <w:rsid w:val="00803067"/>
    <w:rsid w:val="008042CC"/>
    <w:rsid w:val="008042D0"/>
    <w:rsid w:val="00804755"/>
    <w:rsid w:val="00804B35"/>
    <w:rsid w:val="00804C0A"/>
    <w:rsid w:val="00804CC6"/>
    <w:rsid w:val="00804DD1"/>
    <w:rsid w:val="00804EE4"/>
    <w:rsid w:val="0080520E"/>
    <w:rsid w:val="008052FB"/>
    <w:rsid w:val="008054CB"/>
    <w:rsid w:val="00805671"/>
    <w:rsid w:val="00805673"/>
    <w:rsid w:val="008057D2"/>
    <w:rsid w:val="00805830"/>
    <w:rsid w:val="00805CF0"/>
    <w:rsid w:val="00805D75"/>
    <w:rsid w:val="00805DAA"/>
    <w:rsid w:val="00805DBC"/>
    <w:rsid w:val="00805E40"/>
    <w:rsid w:val="008061E4"/>
    <w:rsid w:val="008066DE"/>
    <w:rsid w:val="00806773"/>
    <w:rsid w:val="00806908"/>
    <w:rsid w:val="00806B6F"/>
    <w:rsid w:val="00806D0E"/>
    <w:rsid w:val="00806E31"/>
    <w:rsid w:val="0080719B"/>
    <w:rsid w:val="00807E39"/>
    <w:rsid w:val="008103B5"/>
    <w:rsid w:val="00810461"/>
    <w:rsid w:val="00810744"/>
    <w:rsid w:val="008107CC"/>
    <w:rsid w:val="00810ABD"/>
    <w:rsid w:val="00810D61"/>
    <w:rsid w:val="0081112D"/>
    <w:rsid w:val="00811255"/>
    <w:rsid w:val="008115B8"/>
    <w:rsid w:val="00811B71"/>
    <w:rsid w:val="008122C9"/>
    <w:rsid w:val="00812697"/>
    <w:rsid w:val="00812A8D"/>
    <w:rsid w:val="00812AE3"/>
    <w:rsid w:val="00812F98"/>
    <w:rsid w:val="00813063"/>
    <w:rsid w:val="00813083"/>
    <w:rsid w:val="008136AA"/>
    <w:rsid w:val="0081373F"/>
    <w:rsid w:val="008137B6"/>
    <w:rsid w:val="008139B7"/>
    <w:rsid w:val="00813CF3"/>
    <w:rsid w:val="00813D1E"/>
    <w:rsid w:val="00814062"/>
    <w:rsid w:val="00814070"/>
    <w:rsid w:val="008140E0"/>
    <w:rsid w:val="0081414F"/>
    <w:rsid w:val="00814234"/>
    <w:rsid w:val="00814253"/>
    <w:rsid w:val="008142C0"/>
    <w:rsid w:val="00814370"/>
    <w:rsid w:val="008144D2"/>
    <w:rsid w:val="00814CB2"/>
    <w:rsid w:val="00814EA7"/>
    <w:rsid w:val="008151B6"/>
    <w:rsid w:val="008153A7"/>
    <w:rsid w:val="0081559A"/>
    <w:rsid w:val="00815765"/>
    <w:rsid w:val="008159C3"/>
    <w:rsid w:val="00815A4D"/>
    <w:rsid w:val="00815C91"/>
    <w:rsid w:val="00815F79"/>
    <w:rsid w:val="00816296"/>
    <w:rsid w:val="00816531"/>
    <w:rsid w:val="0081660C"/>
    <w:rsid w:val="008177C7"/>
    <w:rsid w:val="008177DE"/>
    <w:rsid w:val="00820595"/>
    <w:rsid w:val="0082063E"/>
    <w:rsid w:val="00820A13"/>
    <w:rsid w:val="00820EE0"/>
    <w:rsid w:val="0082103C"/>
    <w:rsid w:val="00821077"/>
    <w:rsid w:val="00821475"/>
    <w:rsid w:val="0082197E"/>
    <w:rsid w:val="00821BB0"/>
    <w:rsid w:val="00821BBD"/>
    <w:rsid w:val="00821E8D"/>
    <w:rsid w:val="0082217A"/>
    <w:rsid w:val="00822A1C"/>
    <w:rsid w:val="00822B91"/>
    <w:rsid w:val="00822B98"/>
    <w:rsid w:val="008232FA"/>
    <w:rsid w:val="00823864"/>
    <w:rsid w:val="0082405A"/>
    <w:rsid w:val="00824361"/>
    <w:rsid w:val="00824EE3"/>
    <w:rsid w:val="00825106"/>
    <w:rsid w:val="0082560E"/>
    <w:rsid w:val="00825D2D"/>
    <w:rsid w:val="00825E9B"/>
    <w:rsid w:val="00825F2F"/>
    <w:rsid w:val="008263FF"/>
    <w:rsid w:val="00826426"/>
    <w:rsid w:val="00826472"/>
    <w:rsid w:val="0082650B"/>
    <w:rsid w:val="00826695"/>
    <w:rsid w:val="00826EC8"/>
    <w:rsid w:val="00827296"/>
    <w:rsid w:val="00827982"/>
    <w:rsid w:val="0083018A"/>
    <w:rsid w:val="0083063D"/>
    <w:rsid w:val="00830755"/>
    <w:rsid w:val="00830EDF"/>
    <w:rsid w:val="00831739"/>
    <w:rsid w:val="00831A96"/>
    <w:rsid w:val="00831B97"/>
    <w:rsid w:val="00831C34"/>
    <w:rsid w:val="00831C99"/>
    <w:rsid w:val="00831F33"/>
    <w:rsid w:val="008323F2"/>
    <w:rsid w:val="0083255D"/>
    <w:rsid w:val="00832613"/>
    <w:rsid w:val="0083293B"/>
    <w:rsid w:val="00832EE9"/>
    <w:rsid w:val="00832EF6"/>
    <w:rsid w:val="0083371B"/>
    <w:rsid w:val="008338D4"/>
    <w:rsid w:val="00833929"/>
    <w:rsid w:val="008339B5"/>
    <w:rsid w:val="00834040"/>
    <w:rsid w:val="00834162"/>
    <w:rsid w:val="008345F7"/>
    <w:rsid w:val="00834611"/>
    <w:rsid w:val="008349EB"/>
    <w:rsid w:val="00834B76"/>
    <w:rsid w:val="00835138"/>
    <w:rsid w:val="0083523D"/>
    <w:rsid w:val="0083531E"/>
    <w:rsid w:val="00835346"/>
    <w:rsid w:val="00835A4B"/>
    <w:rsid w:val="00835AFA"/>
    <w:rsid w:val="00835D2D"/>
    <w:rsid w:val="00835F48"/>
    <w:rsid w:val="008362F8"/>
    <w:rsid w:val="008367D5"/>
    <w:rsid w:val="00836D4C"/>
    <w:rsid w:val="00836F00"/>
    <w:rsid w:val="0083722F"/>
    <w:rsid w:val="00837A54"/>
    <w:rsid w:val="00837C95"/>
    <w:rsid w:val="00837DF4"/>
    <w:rsid w:val="00840236"/>
    <w:rsid w:val="008407BD"/>
    <w:rsid w:val="00840DC3"/>
    <w:rsid w:val="00840F13"/>
    <w:rsid w:val="0084149E"/>
    <w:rsid w:val="00841A5B"/>
    <w:rsid w:val="00841CD9"/>
    <w:rsid w:val="00842A53"/>
    <w:rsid w:val="00842A79"/>
    <w:rsid w:val="008432AF"/>
    <w:rsid w:val="00843568"/>
    <w:rsid w:val="00843898"/>
    <w:rsid w:val="00843ABD"/>
    <w:rsid w:val="00843C2D"/>
    <w:rsid w:val="008441DC"/>
    <w:rsid w:val="0084431D"/>
    <w:rsid w:val="008446C6"/>
    <w:rsid w:val="00844920"/>
    <w:rsid w:val="008449A7"/>
    <w:rsid w:val="008449E3"/>
    <w:rsid w:val="00844FEE"/>
    <w:rsid w:val="008452CF"/>
    <w:rsid w:val="008454FD"/>
    <w:rsid w:val="008457F4"/>
    <w:rsid w:val="00845A66"/>
    <w:rsid w:val="008463B6"/>
    <w:rsid w:val="00846A08"/>
    <w:rsid w:val="00846F8A"/>
    <w:rsid w:val="00846FBE"/>
    <w:rsid w:val="008473DC"/>
    <w:rsid w:val="008475E8"/>
    <w:rsid w:val="00847752"/>
    <w:rsid w:val="008478D3"/>
    <w:rsid w:val="00847A6E"/>
    <w:rsid w:val="00847EB4"/>
    <w:rsid w:val="0085042A"/>
    <w:rsid w:val="0085054B"/>
    <w:rsid w:val="008507A8"/>
    <w:rsid w:val="0085099C"/>
    <w:rsid w:val="008510D3"/>
    <w:rsid w:val="008514C0"/>
    <w:rsid w:val="00851B89"/>
    <w:rsid w:val="00851BD1"/>
    <w:rsid w:val="00851E19"/>
    <w:rsid w:val="008521B5"/>
    <w:rsid w:val="00852284"/>
    <w:rsid w:val="008524EA"/>
    <w:rsid w:val="0085397D"/>
    <w:rsid w:val="00853BC3"/>
    <w:rsid w:val="00853C80"/>
    <w:rsid w:val="0085405F"/>
    <w:rsid w:val="00854124"/>
    <w:rsid w:val="008543C1"/>
    <w:rsid w:val="00854ADE"/>
    <w:rsid w:val="00855445"/>
    <w:rsid w:val="00855A7E"/>
    <w:rsid w:val="00855C3A"/>
    <w:rsid w:val="00856276"/>
    <w:rsid w:val="0085645D"/>
    <w:rsid w:val="00856497"/>
    <w:rsid w:val="00856AFF"/>
    <w:rsid w:val="00856CCE"/>
    <w:rsid w:val="00860199"/>
    <w:rsid w:val="00860370"/>
    <w:rsid w:val="0086045D"/>
    <w:rsid w:val="00860C3D"/>
    <w:rsid w:val="00860F33"/>
    <w:rsid w:val="0086100C"/>
    <w:rsid w:val="0086129B"/>
    <w:rsid w:val="00861397"/>
    <w:rsid w:val="0086155C"/>
    <w:rsid w:val="0086156E"/>
    <w:rsid w:val="008615AC"/>
    <w:rsid w:val="00861A18"/>
    <w:rsid w:val="00861BCD"/>
    <w:rsid w:val="00862255"/>
    <w:rsid w:val="008627C9"/>
    <w:rsid w:val="0086299F"/>
    <w:rsid w:val="00862A72"/>
    <w:rsid w:val="00863B41"/>
    <w:rsid w:val="00863C75"/>
    <w:rsid w:val="00863C90"/>
    <w:rsid w:val="00863C92"/>
    <w:rsid w:val="00863D52"/>
    <w:rsid w:val="00864233"/>
    <w:rsid w:val="0086425B"/>
    <w:rsid w:val="00864337"/>
    <w:rsid w:val="008649ED"/>
    <w:rsid w:val="00864BC9"/>
    <w:rsid w:val="00865B40"/>
    <w:rsid w:val="0086658C"/>
    <w:rsid w:val="00866A5D"/>
    <w:rsid w:val="00867A60"/>
    <w:rsid w:val="00867E35"/>
    <w:rsid w:val="008703EE"/>
    <w:rsid w:val="00870472"/>
    <w:rsid w:val="00870672"/>
    <w:rsid w:val="00870720"/>
    <w:rsid w:val="00870A88"/>
    <w:rsid w:val="00870A99"/>
    <w:rsid w:val="008710CF"/>
    <w:rsid w:val="0087185A"/>
    <w:rsid w:val="00871886"/>
    <w:rsid w:val="00871D70"/>
    <w:rsid w:val="00871DD1"/>
    <w:rsid w:val="00871FFF"/>
    <w:rsid w:val="00872420"/>
    <w:rsid w:val="0087305A"/>
    <w:rsid w:val="008732EA"/>
    <w:rsid w:val="00873483"/>
    <w:rsid w:val="00873950"/>
    <w:rsid w:val="00873B47"/>
    <w:rsid w:val="00874104"/>
    <w:rsid w:val="00874249"/>
    <w:rsid w:val="008744AA"/>
    <w:rsid w:val="008747FD"/>
    <w:rsid w:val="00874805"/>
    <w:rsid w:val="00874AD0"/>
    <w:rsid w:val="00874C55"/>
    <w:rsid w:val="00874EE8"/>
    <w:rsid w:val="008751D2"/>
    <w:rsid w:val="00875600"/>
    <w:rsid w:val="008756F0"/>
    <w:rsid w:val="00875B5E"/>
    <w:rsid w:val="00875CCE"/>
    <w:rsid w:val="008760EE"/>
    <w:rsid w:val="0087639D"/>
    <w:rsid w:val="00876413"/>
    <w:rsid w:val="008766EE"/>
    <w:rsid w:val="00876774"/>
    <w:rsid w:val="00876C6F"/>
    <w:rsid w:val="00876E34"/>
    <w:rsid w:val="00877027"/>
    <w:rsid w:val="0087714C"/>
    <w:rsid w:val="008772F7"/>
    <w:rsid w:val="00877569"/>
    <w:rsid w:val="00877FD1"/>
    <w:rsid w:val="0088011B"/>
    <w:rsid w:val="0088016D"/>
    <w:rsid w:val="008801A8"/>
    <w:rsid w:val="008804EA"/>
    <w:rsid w:val="008807FF"/>
    <w:rsid w:val="00880B05"/>
    <w:rsid w:val="00880BE9"/>
    <w:rsid w:val="00880D01"/>
    <w:rsid w:val="00880DF2"/>
    <w:rsid w:val="00880F1D"/>
    <w:rsid w:val="00881049"/>
    <w:rsid w:val="008812C9"/>
    <w:rsid w:val="0088163C"/>
    <w:rsid w:val="00881F44"/>
    <w:rsid w:val="00881FD0"/>
    <w:rsid w:val="008825F7"/>
    <w:rsid w:val="008829D1"/>
    <w:rsid w:val="00882B6E"/>
    <w:rsid w:val="00882F1F"/>
    <w:rsid w:val="00883103"/>
    <w:rsid w:val="00883341"/>
    <w:rsid w:val="008834BE"/>
    <w:rsid w:val="00883648"/>
    <w:rsid w:val="0088396D"/>
    <w:rsid w:val="00883987"/>
    <w:rsid w:val="00883D0E"/>
    <w:rsid w:val="00883E2A"/>
    <w:rsid w:val="0088401A"/>
    <w:rsid w:val="00884517"/>
    <w:rsid w:val="00884F67"/>
    <w:rsid w:val="00885448"/>
    <w:rsid w:val="0088571D"/>
    <w:rsid w:val="00885D00"/>
    <w:rsid w:val="00885ED2"/>
    <w:rsid w:val="0088672B"/>
    <w:rsid w:val="008869DB"/>
    <w:rsid w:val="0088712C"/>
    <w:rsid w:val="0088723B"/>
    <w:rsid w:val="008873E4"/>
    <w:rsid w:val="0088743D"/>
    <w:rsid w:val="0088749F"/>
    <w:rsid w:val="008877A9"/>
    <w:rsid w:val="00887D3C"/>
    <w:rsid w:val="00887F9B"/>
    <w:rsid w:val="0089017F"/>
    <w:rsid w:val="008907EA"/>
    <w:rsid w:val="00890822"/>
    <w:rsid w:val="00890A90"/>
    <w:rsid w:val="008910A0"/>
    <w:rsid w:val="00891530"/>
    <w:rsid w:val="008918C2"/>
    <w:rsid w:val="00891CA5"/>
    <w:rsid w:val="008920AC"/>
    <w:rsid w:val="008924AE"/>
    <w:rsid w:val="0089326B"/>
    <w:rsid w:val="00893A22"/>
    <w:rsid w:val="00893A64"/>
    <w:rsid w:val="00893B88"/>
    <w:rsid w:val="00893EFF"/>
    <w:rsid w:val="00893FF7"/>
    <w:rsid w:val="00894204"/>
    <w:rsid w:val="00894581"/>
    <w:rsid w:val="00894718"/>
    <w:rsid w:val="00894B9F"/>
    <w:rsid w:val="00894C87"/>
    <w:rsid w:val="00894E8B"/>
    <w:rsid w:val="00895032"/>
    <w:rsid w:val="00895473"/>
    <w:rsid w:val="008958C0"/>
    <w:rsid w:val="00895F6A"/>
    <w:rsid w:val="0089627B"/>
    <w:rsid w:val="00896689"/>
    <w:rsid w:val="00896745"/>
    <w:rsid w:val="008979B5"/>
    <w:rsid w:val="00897A99"/>
    <w:rsid w:val="008A057C"/>
    <w:rsid w:val="008A0C8B"/>
    <w:rsid w:val="008A1046"/>
    <w:rsid w:val="008A1A2B"/>
    <w:rsid w:val="008A207E"/>
    <w:rsid w:val="008A2208"/>
    <w:rsid w:val="008A2429"/>
    <w:rsid w:val="008A284B"/>
    <w:rsid w:val="008A2CB5"/>
    <w:rsid w:val="008A3737"/>
    <w:rsid w:val="008A3D7C"/>
    <w:rsid w:val="008A4007"/>
    <w:rsid w:val="008A435D"/>
    <w:rsid w:val="008A43D8"/>
    <w:rsid w:val="008A48B8"/>
    <w:rsid w:val="008A4A68"/>
    <w:rsid w:val="008A4C3F"/>
    <w:rsid w:val="008A4F10"/>
    <w:rsid w:val="008A55E7"/>
    <w:rsid w:val="008A562F"/>
    <w:rsid w:val="008A56D1"/>
    <w:rsid w:val="008A57D0"/>
    <w:rsid w:val="008A5CDE"/>
    <w:rsid w:val="008A6401"/>
    <w:rsid w:val="008A691E"/>
    <w:rsid w:val="008A719D"/>
    <w:rsid w:val="008A72D7"/>
    <w:rsid w:val="008A771C"/>
    <w:rsid w:val="008A7C10"/>
    <w:rsid w:val="008A7DBC"/>
    <w:rsid w:val="008A7F46"/>
    <w:rsid w:val="008B013F"/>
    <w:rsid w:val="008B03DF"/>
    <w:rsid w:val="008B04A5"/>
    <w:rsid w:val="008B0A04"/>
    <w:rsid w:val="008B0AC9"/>
    <w:rsid w:val="008B0AD8"/>
    <w:rsid w:val="008B163B"/>
    <w:rsid w:val="008B195B"/>
    <w:rsid w:val="008B1DD5"/>
    <w:rsid w:val="008B22E3"/>
    <w:rsid w:val="008B2366"/>
    <w:rsid w:val="008B24E2"/>
    <w:rsid w:val="008B2AC8"/>
    <w:rsid w:val="008B2D9F"/>
    <w:rsid w:val="008B2EBF"/>
    <w:rsid w:val="008B328D"/>
    <w:rsid w:val="008B333A"/>
    <w:rsid w:val="008B334A"/>
    <w:rsid w:val="008B385C"/>
    <w:rsid w:val="008B392B"/>
    <w:rsid w:val="008B3A23"/>
    <w:rsid w:val="008B3B96"/>
    <w:rsid w:val="008B3D78"/>
    <w:rsid w:val="008B3FE3"/>
    <w:rsid w:val="008B41D4"/>
    <w:rsid w:val="008B420A"/>
    <w:rsid w:val="008B435A"/>
    <w:rsid w:val="008B44FC"/>
    <w:rsid w:val="008B4962"/>
    <w:rsid w:val="008B49BA"/>
    <w:rsid w:val="008B4CF1"/>
    <w:rsid w:val="008B4CFC"/>
    <w:rsid w:val="008B4F23"/>
    <w:rsid w:val="008B52F3"/>
    <w:rsid w:val="008B5AF7"/>
    <w:rsid w:val="008B5B7E"/>
    <w:rsid w:val="008B5BD1"/>
    <w:rsid w:val="008B5FFF"/>
    <w:rsid w:val="008B61AB"/>
    <w:rsid w:val="008B6402"/>
    <w:rsid w:val="008B6626"/>
    <w:rsid w:val="008B66C9"/>
    <w:rsid w:val="008B68F9"/>
    <w:rsid w:val="008B6D99"/>
    <w:rsid w:val="008B71BE"/>
    <w:rsid w:val="008B7C03"/>
    <w:rsid w:val="008B7D43"/>
    <w:rsid w:val="008C035F"/>
    <w:rsid w:val="008C0F3D"/>
    <w:rsid w:val="008C1055"/>
    <w:rsid w:val="008C1216"/>
    <w:rsid w:val="008C1478"/>
    <w:rsid w:val="008C17D5"/>
    <w:rsid w:val="008C1B55"/>
    <w:rsid w:val="008C1CB2"/>
    <w:rsid w:val="008C23CC"/>
    <w:rsid w:val="008C2950"/>
    <w:rsid w:val="008C2DC2"/>
    <w:rsid w:val="008C31FA"/>
    <w:rsid w:val="008C34A1"/>
    <w:rsid w:val="008C3518"/>
    <w:rsid w:val="008C38DA"/>
    <w:rsid w:val="008C3E37"/>
    <w:rsid w:val="008C4498"/>
    <w:rsid w:val="008C4C89"/>
    <w:rsid w:val="008C5249"/>
    <w:rsid w:val="008C52CF"/>
    <w:rsid w:val="008C555A"/>
    <w:rsid w:val="008C55F8"/>
    <w:rsid w:val="008C5ECC"/>
    <w:rsid w:val="008C619A"/>
    <w:rsid w:val="008C6A53"/>
    <w:rsid w:val="008C6D47"/>
    <w:rsid w:val="008C6F84"/>
    <w:rsid w:val="008C71A1"/>
    <w:rsid w:val="008C778D"/>
    <w:rsid w:val="008C7F35"/>
    <w:rsid w:val="008D0213"/>
    <w:rsid w:val="008D02DB"/>
    <w:rsid w:val="008D0497"/>
    <w:rsid w:val="008D087B"/>
    <w:rsid w:val="008D0BD5"/>
    <w:rsid w:val="008D0E47"/>
    <w:rsid w:val="008D0E7F"/>
    <w:rsid w:val="008D12B6"/>
    <w:rsid w:val="008D1482"/>
    <w:rsid w:val="008D15CA"/>
    <w:rsid w:val="008D186A"/>
    <w:rsid w:val="008D18AD"/>
    <w:rsid w:val="008D18B6"/>
    <w:rsid w:val="008D1DA6"/>
    <w:rsid w:val="008D1EC8"/>
    <w:rsid w:val="008D22E9"/>
    <w:rsid w:val="008D2409"/>
    <w:rsid w:val="008D28A4"/>
    <w:rsid w:val="008D294D"/>
    <w:rsid w:val="008D2A6F"/>
    <w:rsid w:val="008D2DF9"/>
    <w:rsid w:val="008D36EA"/>
    <w:rsid w:val="008D4003"/>
    <w:rsid w:val="008D404F"/>
    <w:rsid w:val="008D4451"/>
    <w:rsid w:val="008D4B11"/>
    <w:rsid w:val="008D4D7B"/>
    <w:rsid w:val="008D596D"/>
    <w:rsid w:val="008D5AEB"/>
    <w:rsid w:val="008D5ECB"/>
    <w:rsid w:val="008D5F95"/>
    <w:rsid w:val="008D60A1"/>
    <w:rsid w:val="008D60BA"/>
    <w:rsid w:val="008D642E"/>
    <w:rsid w:val="008D6AD4"/>
    <w:rsid w:val="008D6BA3"/>
    <w:rsid w:val="008D74B6"/>
    <w:rsid w:val="008D76B7"/>
    <w:rsid w:val="008D77E0"/>
    <w:rsid w:val="008E047C"/>
    <w:rsid w:val="008E05BF"/>
    <w:rsid w:val="008E0CD5"/>
    <w:rsid w:val="008E0DDC"/>
    <w:rsid w:val="008E0E63"/>
    <w:rsid w:val="008E10CA"/>
    <w:rsid w:val="008E11A5"/>
    <w:rsid w:val="008E13AA"/>
    <w:rsid w:val="008E1790"/>
    <w:rsid w:val="008E18FF"/>
    <w:rsid w:val="008E25DE"/>
    <w:rsid w:val="008E2698"/>
    <w:rsid w:val="008E2A09"/>
    <w:rsid w:val="008E2BD2"/>
    <w:rsid w:val="008E312A"/>
    <w:rsid w:val="008E3249"/>
    <w:rsid w:val="008E378F"/>
    <w:rsid w:val="008E382E"/>
    <w:rsid w:val="008E39FF"/>
    <w:rsid w:val="008E3E96"/>
    <w:rsid w:val="008E3F3B"/>
    <w:rsid w:val="008E4075"/>
    <w:rsid w:val="008E4A2F"/>
    <w:rsid w:val="008E4C09"/>
    <w:rsid w:val="008E55D4"/>
    <w:rsid w:val="008E5A48"/>
    <w:rsid w:val="008E5B81"/>
    <w:rsid w:val="008E5C78"/>
    <w:rsid w:val="008E5C86"/>
    <w:rsid w:val="008E6127"/>
    <w:rsid w:val="008E6457"/>
    <w:rsid w:val="008E683C"/>
    <w:rsid w:val="008E686A"/>
    <w:rsid w:val="008E69CB"/>
    <w:rsid w:val="008E6AC1"/>
    <w:rsid w:val="008E6DB4"/>
    <w:rsid w:val="008E6EDF"/>
    <w:rsid w:val="008E6F65"/>
    <w:rsid w:val="008E6F8E"/>
    <w:rsid w:val="008E721F"/>
    <w:rsid w:val="008E7A63"/>
    <w:rsid w:val="008E7A80"/>
    <w:rsid w:val="008E7B25"/>
    <w:rsid w:val="008E7B64"/>
    <w:rsid w:val="008E7BC3"/>
    <w:rsid w:val="008E7C45"/>
    <w:rsid w:val="008E7D41"/>
    <w:rsid w:val="008F072D"/>
    <w:rsid w:val="008F07E4"/>
    <w:rsid w:val="008F1077"/>
    <w:rsid w:val="008F1093"/>
    <w:rsid w:val="008F15F9"/>
    <w:rsid w:val="008F1BAB"/>
    <w:rsid w:val="008F2029"/>
    <w:rsid w:val="008F216C"/>
    <w:rsid w:val="008F28AC"/>
    <w:rsid w:val="008F2AAB"/>
    <w:rsid w:val="008F2D6C"/>
    <w:rsid w:val="008F2EA0"/>
    <w:rsid w:val="008F365C"/>
    <w:rsid w:val="008F3BD6"/>
    <w:rsid w:val="008F3BDA"/>
    <w:rsid w:val="008F3F20"/>
    <w:rsid w:val="008F4525"/>
    <w:rsid w:val="008F4779"/>
    <w:rsid w:val="008F48A4"/>
    <w:rsid w:val="008F4CF6"/>
    <w:rsid w:val="008F5210"/>
    <w:rsid w:val="008F52F5"/>
    <w:rsid w:val="008F58B4"/>
    <w:rsid w:val="008F5CC4"/>
    <w:rsid w:val="008F5E5F"/>
    <w:rsid w:val="008F6014"/>
    <w:rsid w:val="008F6383"/>
    <w:rsid w:val="008F6632"/>
    <w:rsid w:val="008F6F2A"/>
    <w:rsid w:val="008F7A4F"/>
    <w:rsid w:val="008F7ED5"/>
    <w:rsid w:val="008F7F3C"/>
    <w:rsid w:val="009002F2"/>
    <w:rsid w:val="00900E1C"/>
    <w:rsid w:val="00901159"/>
    <w:rsid w:val="00901486"/>
    <w:rsid w:val="009014CF"/>
    <w:rsid w:val="0090229D"/>
    <w:rsid w:val="00902316"/>
    <w:rsid w:val="009029E4"/>
    <w:rsid w:val="00902D2D"/>
    <w:rsid w:val="009035BD"/>
    <w:rsid w:val="0090369F"/>
    <w:rsid w:val="009036BE"/>
    <w:rsid w:val="009037FF"/>
    <w:rsid w:val="00903AFA"/>
    <w:rsid w:val="00903C47"/>
    <w:rsid w:val="00903F99"/>
    <w:rsid w:val="009041FC"/>
    <w:rsid w:val="00904CFD"/>
    <w:rsid w:val="00904D39"/>
    <w:rsid w:val="009051AD"/>
    <w:rsid w:val="009057D2"/>
    <w:rsid w:val="00905A60"/>
    <w:rsid w:val="00905E33"/>
    <w:rsid w:val="00905FF0"/>
    <w:rsid w:val="009060DF"/>
    <w:rsid w:val="0090620C"/>
    <w:rsid w:val="00906A37"/>
    <w:rsid w:val="00906EF7"/>
    <w:rsid w:val="0090711C"/>
    <w:rsid w:val="009071B0"/>
    <w:rsid w:val="0090721F"/>
    <w:rsid w:val="00907359"/>
    <w:rsid w:val="0090751E"/>
    <w:rsid w:val="009078C6"/>
    <w:rsid w:val="00907A99"/>
    <w:rsid w:val="00907FB5"/>
    <w:rsid w:val="00910326"/>
    <w:rsid w:val="0091049E"/>
    <w:rsid w:val="0091083D"/>
    <w:rsid w:val="00910AC8"/>
    <w:rsid w:val="00910AE2"/>
    <w:rsid w:val="00910DCC"/>
    <w:rsid w:val="009111A1"/>
    <w:rsid w:val="0091182D"/>
    <w:rsid w:val="009118D7"/>
    <w:rsid w:val="0091239E"/>
    <w:rsid w:val="00912492"/>
    <w:rsid w:val="00912603"/>
    <w:rsid w:val="00912941"/>
    <w:rsid w:val="00912EFD"/>
    <w:rsid w:val="00913100"/>
    <w:rsid w:val="009133FD"/>
    <w:rsid w:val="00913815"/>
    <w:rsid w:val="00913B50"/>
    <w:rsid w:val="00913CC8"/>
    <w:rsid w:val="009141EE"/>
    <w:rsid w:val="0091487A"/>
    <w:rsid w:val="00914D94"/>
    <w:rsid w:val="00914F3C"/>
    <w:rsid w:val="00915399"/>
    <w:rsid w:val="00915C62"/>
    <w:rsid w:val="00915DB2"/>
    <w:rsid w:val="00915F51"/>
    <w:rsid w:val="00916497"/>
    <w:rsid w:val="00916755"/>
    <w:rsid w:val="009167CC"/>
    <w:rsid w:val="00916C1C"/>
    <w:rsid w:val="00916F9A"/>
    <w:rsid w:val="0091722D"/>
    <w:rsid w:val="00917923"/>
    <w:rsid w:val="00917B90"/>
    <w:rsid w:val="00917CBA"/>
    <w:rsid w:val="00917E2D"/>
    <w:rsid w:val="00920091"/>
    <w:rsid w:val="009208D9"/>
    <w:rsid w:val="00920ACA"/>
    <w:rsid w:val="009215E7"/>
    <w:rsid w:val="00921E61"/>
    <w:rsid w:val="0092237D"/>
    <w:rsid w:val="009231AC"/>
    <w:rsid w:val="00923277"/>
    <w:rsid w:val="00923622"/>
    <w:rsid w:val="009236E5"/>
    <w:rsid w:val="00923859"/>
    <w:rsid w:val="00923906"/>
    <w:rsid w:val="00923A64"/>
    <w:rsid w:val="00923C06"/>
    <w:rsid w:val="00923D31"/>
    <w:rsid w:val="00923FD7"/>
    <w:rsid w:val="00923FE9"/>
    <w:rsid w:val="00924297"/>
    <w:rsid w:val="009242CB"/>
    <w:rsid w:val="0092436B"/>
    <w:rsid w:val="009244C7"/>
    <w:rsid w:val="009249E5"/>
    <w:rsid w:val="00924AC6"/>
    <w:rsid w:val="00924DFC"/>
    <w:rsid w:val="00925011"/>
    <w:rsid w:val="00925585"/>
    <w:rsid w:val="00925675"/>
    <w:rsid w:val="00925BDD"/>
    <w:rsid w:val="00925C89"/>
    <w:rsid w:val="00925DA7"/>
    <w:rsid w:val="00925F97"/>
    <w:rsid w:val="009261BC"/>
    <w:rsid w:val="00926365"/>
    <w:rsid w:val="00926659"/>
    <w:rsid w:val="00926859"/>
    <w:rsid w:val="009269C7"/>
    <w:rsid w:val="00926D17"/>
    <w:rsid w:val="00926F93"/>
    <w:rsid w:val="0092723A"/>
    <w:rsid w:val="00927516"/>
    <w:rsid w:val="00927813"/>
    <w:rsid w:val="00927BA1"/>
    <w:rsid w:val="00927E15"/>
    <w:rsid w:val="00927EC9"/>
    <w:rsid w:val="0093043B"/>
    <w:rsid w:val="009317F1"/>
    <w:rsid w:val="00931D33"/>
    <w:rsid w:val="00931F0E"/>
    <w:rsid w:val="009321DD"/>
    <w:rsid w:val="0093228B"/>
    <w:rsid w:val="009329B4"/>
    <w:rsid w:val="00933159"/>
    <w:rsid w:val="00933233"/>
    <w:rsid w:val="00933266"/>
    <w:rsid w:val="0093342F"/>
    <w:rsid w:val="00933564"/>
    <w:rsid w:val="00933698"/>
    <w:rsid w:val="009336BF"/>
    <w:rsid w:val="00933857"/>
    <w:rsid w:val="009338C0"/>
    <w:rsid w:val="00933B4D"/>
    <w:rsid w:val="00934497"/>
    <w:rsid w:val="009344F7"/>
    <w:rsid w:val="009349AA"/>
    <w:rsid w:val="00934B6E"/>
    <w:rsid w:val="0093523B"/>
    <w:rsid w:val="0093552A"/>
    <w:rsid w:val="00935915"/>
    <w:rsid w:val="00935C89"/>
    <w:rsid w:val="00935EAA"/>
    <w:rsid w:val="009364A6"/>
    <w:rsid w:val="0093676F"/>
    <w:rsid w:val="009367F8"/>
    <w:rsid w:val="0093685D"/>
    <w:rsid w:val="009369AC"/>
    <w:rsid w:val="009369C4"/>
    <w:rsid w:val="00936CC0"/>
    <w:rsid w:val="0093735E"/>
    <w:rsid w:val="00937AA5"/>
    <w:rsid w:val="00937CE7"/>
    <w:rsid w:val="00940435"/>
    <w:rsid w:val="00940547"/>
    <w:rsid w:val="0094060E"/>
    <w:rsid w:val="00940640"/>
    <w:rsid w:val="0094067E"/>
    <w:rsid w:val="00940E16"/>
    <w:rsid w:val="00940F12"/>
    <w:rsid w:val="00940FDD"/>
    <w:rsid w:val="00941103"/>
    <w:rsid w:val="009415D9"/>
    <w:rsid w:val="009416CA"/>
    <w:rsid w:val="0094255D"/>
    <w:rsid w:val="009429D3"/>
    <w:rsid w:val="00942B1C"/>
    <w:rsid w:val="00942DD8"/>
    <w:rsid w:val="00942E90"/>
    <w:rsid w:val="00943330"/>
    <w:rsid w:val="0094396C"/>
    <w:rsid w:val="00944142"/>
    <w:rsid w:val="00944475"/>
    <w:rsid w:val="00944659"/>
    <w:rsid w:val="009452F0"/>
    <w:rsid w:val="00945307"/>
    <w:rsid w:val="009455D4"/>
    <w:rsid w:val="00945755"/>
    <w:rsid w:val="00946445"/>
    <w:rsid w:val="009469C3"/>
    <w:rsid w:val="00946A93"/>
    <w:rsid w:val="00946F8F"/>
    <w:rsid w:val="009473BD"/>
    <w:rsid w:val="00947B36"/>
    <w:rsid w:val="00950012"/>
    <w:rsid w:val="0095018F"/>
    <w:rsid w:val="0095022A"/>
    <w:rsid w:val="0095048A"/>
    <w:rsid w:val="0095048C"/>
    <w:rsid w:val="00950628"/>
    <w:rsid w:val="00950A8B"/>
    <w:rsid w:val="00950AF2"/>
    <w:rsid w:val="0095113B"/>
    <w:rsid w:val="00951550"/>
    <w:rsid w:val="00951867"/>
    <w:rsid w:val="00951D7D"/>
    <w:rsid w:val="00951E44"/>
    <w:rsid w:val="00952630"/>
    <w:rsid w:val="009527A1"/>
    <w:rsid w:val="00953920"/>
    <w:rsid w:val="00953A0A"/>
    <w:rsid w:val="00953AC2"/>
    <w:rsid w:val="009540FB"/>
    <w:rsid w:val="0095470B"/>
    <w:rsid w:val="00954D33"/>
    <w:rsid w:val="00954E36"/>
    <w:rsid w:val="00954F70"/>
    <w:rsid w:val="0095534C"/>
    <w:rsid w:val="00955BF6"/>
    <w:rsid w:val="00955E74"/>
    <w:rsid w:val="0095686A"/>
    <w:rsid w:val="009569FC"/>
    <w:rsid w:val="00956A4D"/>
    <w:rsid w:val="00956B85"/>
    <w:rsid w:val="00956CE1"/>
    <w:rsid w:val="00957405"/>
    <w:rsid w:val="00957604"/>
    <w:rsid w:val="00957E81"/>
    <w:rsid w:val="00960065"/>
    <w:rsid w:val="0096026B"/>
    <w:rsid w:val="00960336"/>
    <w:rsid w:val="009605AB"/>
    <w:rsid w:val="00960AD8"/>
    <w:rsid w:val="00960BD0"/>
    <w:rsid w:val="00960E4B"/>
    <w:rsid w:val="00961027"/>
    <w:rsid w:val="0096126B"/>
    <w:rsid w:val="00961328"/>
    <w:rsid w:val="00961562"/>
    <w:rsid w:val="00961C89"/>
    <w:rsid w:val="00961E7F"/>
    <w:rsid w:val="0096221C"/>
    <w:rsid w:val="009622A2"/>
    <w:rsid w:val="00962580"/>
    <w:rsid w:val="009625E3"/>
    <w:rsid w:val="00962887"/>
    <w:rsid w:val="00962E96"/>
    <w:rsid w:val="00963660"/>
    <w:rsid w:val="00963921"/>
    <w:rsid w:val="00963967"/>
    <w:rsid w:val="00963E67"/>
    <w:rsid w:val="00964856"/>
    <w:rsid w:val="00964F5B"/>
    <w:rsid w:val="0096525D"/>
    <w:rsid w:val="009652D3"/>
    <w:rsid w:val="00965411"/>
    <w:rsid w:val="00965F7C"/>
    <w:rsid w:val="0096617B"/>
    <w:rsid w:val="00966218"/>
    <w:rsid w:val="0096677B"/>
    <w:rsid w:val="00966E65"/>
    <w:rsid w:val="00967125"/>
    <w:rsid w:val="00967784"/>
    <w:rsid w:val="009713D8"/>
    <w:rsid w:val="00971479"/>
    <w:rsid w:val="00971864"/>
    <w:rsid w:val="00971C59"/>
    <w:rsid w:val="00972106"/>
    <w:rsid w:val="00972156"/>
    <w:rsid w:val="00972206"/>
    <w:rsid w:val="00972319"/>
    <w:rsid w:val="00972495"/>
    <w:rsid w:val="009730A4"/>
    <w:rsid w:val="009731BE"/>
    <w:rsid w:val="00973240"/>
    <w:rsid w:val="009736AE"/>
    <w:rsid w:val="00973AC7"/>
    <w:rsid w:val="00973BB0"/>
    <w:rsid w:val="00973F2D"/>
    <w:rsid w:val="00973F99"/>
    <w:rsid w:val="00973FB0"/>
    <w:rsid w:val="009741C1"/>
    <w:rsid w:val="009745B3"/>
    <w:rsid w:val="0097486D"/>
    <w:rsid w:val="00974BE9"/>
    <w:rsid w:val="0097502D"/>
    <w:rsid w:val="00975317"/>
    <w:rsid w:val="009753BD"/>
    <w:rsid w:val="009754C3"/>
    <w:rsid w:val="00975882"/>
    <w:rsid w:val="00975B84"/>
    <w:rsid w:val="009768FC"/>
    <w:rsid w:val="00976AED"/>
    <w:rsid w:val="00976B35"/>
    <w:rsid w:val="00976C75"/>
    <w:rsid w:val="00976FD5"/>
    <w:rsid w:val="00977461"/>
    <w:rsid w:val="00980691"/>
    <w:rsid w:val="0098081C"/>
    <w:rsid w:val="0098090B"/>
    <w:rsid w:val="00980A12"/>
    <w:rsid w:val="00980C91"/>
    <w:rsid w:val="00981084"/>
    <w:rsid w:val="0098108D"/>
    <w:rsid w:val="00981282"/>
    <w:rsid w:val="009812FB"/>
    <w:rsid w:val="0098177B"/>
    <w:rsid w:val="009819CE"/>
    <w:rsid w:val="00981D25"/>
    <w:rsid w:val="00982490"/>
    <w:rsid w:val="009824CE"/>
    <w:rsid w:val="00982565"/>
    <w:rsid w:val="0098269E"/>
    <w:rsid w:val="00982950"/>
    <w:rsid w:val="00982A63"/>
    <w:rsid w:val="00982A98"/>
    <w:rsid w:val="00982C26"/>
    <w:rsid w:val="00982C84"/>
    <w:rsid w:val="00982CF8"/>
    <w:rsid w:val="00982E67"/>
    <w:rsid w:val="00983440"/>
    <w:rsid w:val="0098363C"/>
    <w:rsid w:val="00983750"/>
    <w:rsid w:val="00983F62"/>
    <w:rsid w:val="00983F66"/>
    <w:rsid w:val="00984125"/>
    <w:rsid w:val="00984A2A"/>
    <w:rsid w:val="00984AA0"/>
    <w:rsid w:val="00984EDA"/>
    <w:rsid w:val="00985457"/>
    <w:rsid w:val="009854F9"/>
    <w:rsid w:val="0098560A"/>
    <w:rsid w:val="00985803"/>
    <w:rsid w:val="00985DFB"/>
    <w:rsid w:val="009863DB"/>
    <w:rsid w:val="00986424"/>
    <w:rsid w:val="00986707"/>
    <w:rsid w:val="009869E4"/>
    <w:rsid w:val="00986D83"/>
    <w:rsid w:val="00987201"/>
    <w:rsid w:val="00987401"/>
    <w:rsid w:val="00987A7C"/>
    <w:rsid w:val="00987B57"/>
    <w:rsid w:val="009905F2"/>
    <w:rsid w:val="00990915"/>
    <w:rsid w:val="00991076"/>
    <w:rsid w:val="00991164"/>
    <w:rsid w:val="009917DA"/>
    <w:rsid w:val="00991912"/>
    <w:rsid w:val="00991C98"/>
    <w:rsid w:val="00991D15"/>
    <w:rsid w:val="009922B2"/>
    <w:rsid w:val="009927A9"/>
    <w:rsid w:val="00992842"/>
    <w:rsid w:val="00992ACE"/>
    <w:rsid w:val="00992D4E"/>
    <w:rsid w:val="00992D9A"/>
    <w:rsid w:val="0099342E"/>
    <w:rsid w:val="009935EC"/>
    <w:rsid w:val="00993768"/>
    <w:rsid w:val="009938D9"/>
    <w:rsid w:val="009940BC"/>
    <w:rsid w:val="0099416F"/>
    <w:rsid w:val="00994381"/>
    <w:rsid w:val="0099469A"/>
    <w:rsid w:val="0099478E"/>
    <w:rsid w:val="009949CB"/>
    <w:rsid w:val="0099572B"/>
    <w:rsid w:val="00995D99"/>
    <w:rsid w:val="00996C9B"/>
    <w:rsid w:val="00997493"/>
    <w:rsid w:val="00997884"/>
    <w:rsid w:val="00997AD6"/>
    <w:rsid w:val="00997BD6"/>
    <w:rsid w:val="00997C61"/>
    <w:rsid w:val="009A017C"/>
    <w:rsid w:val="009A072B"/>
    <w:rsid w:val="009A07F1"/>
    <w:rsid w:val="009A08B9"/>
    <w:rsid w:val="009A096E"/>
    <w:rsid w:val="009A0BA3"/>
    <w:rsid w:val="009A0CD2"/>
    <w:rsid w:val="009A1464"/>
    <w:rsid w:val="009A1779"/>
    <w:rsid w:val="009A1EC6"/>
    <w:rsid w:val="009A25D6"/>
    <w:rsid w:val="009A2CFA"/>
    <w:rsid w:val="009A2E0B"/>
    <w:rsid w:val="009A2F58"/>
    <w:rsid w:val="009A3020"/>
    <w:rsid w:val="009A3129"/>
    <w:rsid w:val="009A341A"/>
    <w:rsid w:val="009A383A"/>
    <w:rsid w:val="009A38FA"/>
    <w:rsid w:val="009A3AC0"/>
    <w:rsid w:val="009A3CCA"/>
    <w:rsid w:val="009A3F1C"/>
    <w:rsid w:val="009A41DF"/>
    <w:rsid w:val="009A466E"/>
    <w:rsid w:val="009A47C1"/>
    <w:rsid w:val="009A48C5"/>
    <w:rsid w:val="009A4AF0"/>
    <w:rsid w:val="009A4C0D"/>
    <w:rsid w:val="009A5036"/>
    <w:rsid w:val="009A56E8"/>
    <w:rsid w:val="009A58E1"/>
    <w:rsid w:val="009A5993"/>
    <w:rsid w:val="009A5CE5"/>
    <w:rsid w:val="009A5D19"/>
    <w:rsid w:val="009A60A4"/>
    <w:rsid w:val="009A61CE"/>
    <w:rsid w:val="009A676C"/>
    <w:rsid w:val="009A6ADD"/>
    <w:rsid w:val="009A6F21"/>
    <w:rsid w:val="009A6F53"/>
    <w:rsid w:val="009A74F2"/>
    <w:rsid w:val="009A7853"/>
    <w:rsid w:val="009A787E"/>
    <w:rsid w:val="009A7DDF"/>
    <w:rsid w:val="009B0336"/>
    <w:rsid w:val="009B048D"/>
    <w:rsid w:val="009B0715"/>
    <w:rsid w:val="009B0CBB"/>
    <w:rsid w:val="009B1019"/>
    <w:rsid w:val="009B111A"/>
    <w:rsid w:val="009B11D5"/>
    <w:rsid w:val="009B12B2"/>
    <w:rsid w:val="009B13F7"/>
    <w:rsid w:val="009B189D"/>
    <w:rsid w:val="009B1B91"/>
    <w:rsid w:val="009B1C22"/>
    <w:rsid w:val="009B2177"/>
    <w:rsid w:val="009B257C"/>
    <w:rsid w:val="009B2722"/>
    <w:rsid w:val="009B2B88"/>
    <w:rsid w:val="009B2F84"/>
    <w:rsid w:val="009B3326"/>
    <w:rsid w:val="009B3407"/>
    <w:rsid w:val="009B37F2"/>
    <w:rsid w:val="009B3800"/>
    <w:rsid w:val="009B420C"/>
    <w:rsid w:val="009B47C0"/>
    <w:rsid w:val="009B4B51"/>
    <w:rsid w:val="009B4B9D"/>
    <w:rsid w:val="009B4BF3"/>
    <w:rsid w:val="009B4CFA"/>
    <w:rsid w:val="009B4E3C"/>
    <w:rsid w:val="009B550D"/>
    <w:rsid w:val="009B5656"/>
    <w:rsid w:val="009B569B"/>
    <w:rsid w:val="009B56B4"/>
    <w:rsid w:val="009B57C0"/>
    <w:rsid w:val="009B62DA"/>
    <w:rsid w:val="009B6C70"/>
    <w:rsid w:val="009B6F79"/>
    <w:rsid w:val="009B738D"/>
    <w:rsid w:val="009B7EB5"/>
    <w:rsid w:val="009C05B7"/>
    <w:rsid w:val="009C076A"/>
    <w:rsid w:val="009C07F2"/>
    <w:rsid w:val="009C09C1"/>
    <w:rsid w:val="009C0B2D"/>
    <w:rsid w:val="009C0F5F"/>
    <w:rsid w:val="009C1782"/>
    <w:rsid w:val="009C1EE2"/>
    <w:rsid w:val="009C28DE"/>
    <w:rsid w:val="009C3135"/>
    <w:rsid w:val="009C338C"/>
    <w:rsid w:val="009C3420"/>
    <w:rsid w:val="009C3477"/>
    <w:rsid w:val="009C34D5"/>
    <w:rsid w:val="009C3A97"/>
    <w:rsid w:val="009C3E5A"/>
    <w:rsid w:val="009C3F4C"/>
    <w:rsid w:val="009C4135"/>
    <w:rsid w:val="009C5032"/>
    <w:rsid w:val="009C54BC"/>
    <w:rsid w:val="009C5930"/>
    <w:rsid w:val="009C5C79"/>
    <w:rsid w:val="009C6023"/>
    <w:rsid w:val="009C619F"/>
    <w:rsid w:val="009C64D2"/>
    <w:rsid w:val="009C65E6"/>
    <w:rsid w:val="009C6900"/>
    <w:rsid w:val="009C6987"/>
    <w:rsid w:val="009C7015"/>
    <w:rsid w:val="009C713F"/>
    <w:rsid w:val="009C7446"/>
    <w:rsid w:val="009C7579"/>
    <w:rsid w:val="009C7E26"/>
    <w:rsid w:val="009D029A"/>
    <w:rsid w:val="009D050C"/>
    <w:rsid w:val="009D05A5"/>
    <w:rsid w:val="009D0CF9"/>
    <w:rsid w:val="009D11F1"/>
    <w:rsid w:val="009D132C"/>
    <w:rsid w:val="009D1960"/>
    <w:rsid w:val="009D1C05"/>
    <w:rsid w:val="009D1CCB"/>
    <w:rsid w:val="009D1CFD"/>
    <w:rsid w:val="009D1EB1"/>
    <w:rsid w:val="009D21C9"/>
    <w:rsid w:val="009D2409"/>
    <w:rsid w:val="009D2523"/>
    <w:rsid w:val="009D29E3"/>
    <w:rsid w:val="009D3901"/>
    <w:rsid w:val="009D39BE"/>
    <w:rsid w:val="009D427E"/>
    <w:rsid w:val="009D440F"/>
    <w:rsid w:val="009D4865"/>
    <w:rsid w:val="009D4CF1"/>
    <w:rsid w:val="009D53B7"/>
    <w:rsid w:val="009D5522"/>
    <w:rsid w:val="009D5787"/>
    <w:rsid w:val="009D5DDB"/>
    <w:rsid w:val="009D62A1"/>
    <w:rsid w:val="009D64D7"/>
    <w:rsid w:val="009D6674"/>
    <w:rsid w:val="009D69D2"/>
    <w:rsid w:val="009D7941"/>
    <w:rsid w:val="009D7954"/>
    <w:rsid w:val="009D7CAC"/>
    <w:rsid w:val="009D7D6A"/>
    <w:rsid w:val="009D7DCC"/>
    <w:rsid w:val="009D7F0F"/>
    <w:rsid w:val="009E02F1"/>
    <w:rsid w:val="009E05EE"/>
    <w:rsid w:val="009E07BA"/>
    <w:rsid w:val="009E07F8"/>
    <w:rsid w:val="009E0ECA"/>
    <w:rsid w:val="009E0EEA"/>
    <w:rsid w:val="009E13F0"/>
    <w:rsid w:val="009E1971"/>
    <w:rsid w:val="009E1B59"/>
    <w:rsid w:val="009E1DE3"/>
    <w:rsid w:val="009E1FAA"/>
    <w:rsid w:val="009E1FF5"/>
    <w:rsid w:val="009E20C5"/>
    <w:rsid w:val="009E2266"/>
    <w:rsid w:val="009E24F8"/>
    <w:rsid w:val="009E2B2A"/>
    <w:rsid w:val="009E2B5A"/>
    <w:rsid w:val="009E2DB4"/>
    <w:rsid w:val="009E2DE6"/>
    <w:rsid w:val="009E34AF"/>
    <w:rsid w:val="009E468F"/>
    <w:rsid w:val="009E4783"/>
    <w:rsid w:val="009E4B12"/>
    <w:rsid w:val="009E4CAA"/>
    <w:rsid w:val="009E59AA"/>
    <w:rsid w:val="009E5AB0"/>
    <w:rsid w:val="009E5ACA"/>
    <w:rsid w:val="009E5C13"/>
    <w:rsid w:val="009E5C6D"/>
    <w:rsid w:val="009E5DA2"/>
    <w:rsid w:val="009E5F02"/>
    <w:rsid w:val="009E5F81"/>
    <w:rsid w:val="009E6697"/>
    <w:rsid w:val="009E682D"/>
    <w:rsid w:val="009E6B24"/>
    <w:rsid w:val="009E6DC2"/>
    <w:rsid w:val="009E7A00"/>
    <w:rsid w:val="009E7B0A"/>
    <w:rsid w:val="009E7B9D"/>
    <w:rsid w:val="009E7EE9"/>
    <w:rsid w:val="009E7FD5"/>
    <w:rsid w:val="009F01CD"/>
    <w:rsid w:val="009F0627"/>
    <w:rsid w:val="009F0C65"/>
    <w:rsid w:val="009F1569"/>
    <w:rsid w:val="009F1D3B"/>
    <w:rsid w:val="009F1FF8"/>
    <w:rsid w:val="009F2417"/>
    <w:rsid w:val="009F2864"/>
    <w:rsid w:val="009F2924"/>
    <w:rsid w:val="009F2981"/>
    <w:rsid w:val="009F3259"/>
    <w:rsid w:val="009F3263"/>
    <w:rsid w:val="009F3AC9"/>
    <w:rsid w:val="009F47A9"/>
    <w:rsid w:val="009F4819"/>
    <w:rsid w:val="009F4834"/>
    <w:rsid w:val="009F51FD"/>
    <w:rsid w:val="009F5245"/>
    <w:rsid w:val="009F5948"/>
    <w:rsid w:val="009F5967"/>
    <w:rsid w:val="009F5F8B"/>
    <w:rsid w:val="009F66DF"/>
    <w:rsid w:val="009F6786"/>
    <w:rsid w:val="009F688C"/>
    <w:rsid w:val="009F6ADF"/>
    <w:rsid w:val="009F6B72"/>
    <w:rsid w:val="009F6D2C"/>
    <w:rsid w:val="009F7290"/>
    <w:rsid w:val="009F7ABF"/>
    <w:rsid w:val="009F7E9B"/>
    <w:rsid w:val="009F7EFB"/>
    <w:rsid w:val="00A00086"/>
    <w:rsid w:val="00A0034C"/>
    <w:rsid w:val="00A00CED"/>
    <w:rsid w:val="00A00D03"/>
    <w:rsid w:val="00A00DFF"/>
    <w:rsid w:val="00A00F49"/>
    <w:rsid w:val="00A01502"/>
    <w:rsid w:val="00A01797"/>
    <w:rsid w:val="00A01943"/>
    <w:rsid w:val="00A0194E"/>
    <w:rsid w:val="00A02971"/>
    <w:rsid w:val="00A02A30"/>
    <w:rsid w:val="00A02A3B"/>
    <w:rsid w:val="00A02AE6"/>
    <w:rsid w:val="00A031FA"/>
    <w:rsid w:val="00A03386"/>
    <w:rsid w:val="00A03399"/>
    <w:rsid w:val="00A0357A"/>
    <w:rsid w:val="00A04011"/>
    <w:rsid w:val="00A040A1"/>
    <w:rsid w:val="00A041B5"/>
    <w:rsid w:val="00A04433"/>
    <w:rsid w:val="00A04776"/>
    <w:rsid w:val="00A048E7"/>
    <w:rsid w:val="00A04C58"/>
    <w:rsid w:val="00A04DCE"/>
    <w:rsid w:val="00A050E2"/>
    <w:rsid w:val="00A055F2"/>
    <w:rsid w:val="00A056A3"/>
    <w:rsid w:val="00A0577D"/>
    <w:rsid w:val="00A05CA3"/>
    <w:rsid w:val="00A05D92"/>
    <w:rsid w:val="00A06056"/>
    <w:rsid w:val="00A060C3"/>
    <w:rsid w:val="00A060FC"/>
    <w:rsid w:val="00A06554"/>
    <w:rsid w:val="00A0676C"/>
    <w:rsid w:val="00A0762C"/>
    <w:rsid w:val="00A0763A"/>
    <w:rsid w:val="00A07B3E"/>
    <w:rsid w:val="00A1004F"/>
    <w:rsid w:val="00A10050"/>
    <w:rsid w:val="00A1022A"/>
    <w:rsid w:val="00A10300"/>
    <w:rsid w:val="00A1093D"/>
    <w:rsid w:val="00A113E7"/>
    <w:rsid w:val="00A11520"/>
    <w:rsid w:val="00A12203"/>
    <w:rsid w:val="00A12A82"/>
    <w:rsid w:val="00A12B1D"/>
    <w:rsid w:val="00A13581"/>
    <w:rsid w:val="00A13C60"/>
    <w:rsid w:val="00A13C74"/>
    <w:rsid w:val="00A13E35"/>
    <w:rsid w:val="00A13FC8"/>
    <w:rsid w:val="00A144D4"/>
    <w:rsid w:val="00A14932"/>
    <w:rsid w:val="00A149DF"/>
    <w:rsid w:val="00A15368"/>
    <w:rsid w:val="00A154B1"/>
    <w:rsid w:val="00A159AA"/>
    <w:rsid w:val="00A15D45"/>
    <w:rsid w:val="00A15E36"/>
    <w:rsid w:val="00A16075"/>
    <w:rsid w:val="00A1667E"/>
    <w:rsid w:val="00A16964"/>
    <w:rsid w:val="00A16B5C"/>
    <w:rsid w:val="00A16E9D"/>
    <w:rsid w:val="00A170C5"/>
    <w:rsid w:val="00A1719D"/>
    <w:rsid w:val="00A1779B"/>
    <w:rsid w:val="00A177CA"/>
    <w:rsid w:val="00A17BD6"/>
    <w:rsid w:val="00A17C5B"/>
    <w:rsid w:val="00A17C7B"/>
    <w:rsid w:val="00A17FFB"/>
    <w:rsid w:val="00A2023B"/>
    <w:rsid w:val="00A205D1"/>
    <w:rsid w:val="00A20872"/>
    <w:rsid w:val="00A20A7F"/>
    <w:rsid w:val="00A20B63"/>
    <w:rsid w:val="00A20DB0"/>
    <w:rsid w:val="00A211AA"/>
    <w:rsid w:val="00A215E7"/>
    <w:rsid w:val="00A21898"/>
    <w:rsid w:val="00A21977"/>
    <w:rsid w:val="00A21DEA"/>
    <w:rsid w:val="00A21DF3"/>
    <w:rsid w:val="00A21F5F"/>
    <w:rsid w:val="00A220DD"/>
    <w:rsid w:val="00A22A7C"/>
    <w:rsid w:val="00A230A6"/>
    <w:rsid w:val="00A23807"/>
    <w:rsid w:val="00A24241"/>
    <w:rsid w:val="00A247AE"/>
    <w:rsid w:val="00A24A99"/>
    <w:rsid w:val="00A2524F"/>
    <w:rsid w:val="00A25932"/>
    <w:rsid w:val="00A25A91"/>
    <w:rsid w:val="00A25EDA"/>
    <w:rsid w:val="00A2623A"/>
    <w:rsid w:val="00A265CE"/>
    <w:rsid w:val="00A26B1B"/>
    <w:rsid w:val="00A26DF1"/>
    <w:rsid w:val="00A26F76"/>
    <w:rsid w:val="00A27298"/>
    <w:rsid w:val="00A279CA"/>
    <w:rsid w:val="00A27E0D"/>
    <w:rsid w:val="00A27EC0"/>
    <w:rsid w:val="00A27EED"/>
    <w:rsid w:val="00A3023A"/>
    <w:rsid w:val="00A30279"/>
    <w:rsid w:val="00A30D42"/>
    <w:rsid w:val="00A30DCB"/>
    <w:rsid w:val="00A30DEA"/>
    <w:rsid w:val="00A312BF"/>
    <w:rsid w:val="00A31353"/>
    <w:rsid w:val="00A31413"/>
    <w:rsid w:val="00A31662"/>
    <w:rsid w:val="00A3179D"/>
    <w:rsid w:val="00A31A54"/>
    <w:rsid w:val="00A31BB5"/>
    <w:rsid w:val="00A31DA9"/>
    <w:rsid w:val="00A322EC"/>
    <w:rsid w:val="00A3234C"/>
    <w:rsid w:val="00A32352"/>
    <w:rsid w:val="00A325E4"/>
    <w:rsid w:val="00A32CFB"/>
    <w:rsid w:val="00A32D71"/>
    <w:rsid w:val="00A333DA"/>
    <w:rsid w:val="00A33505"/>
    <w:rsid w:val="00A33DE3"/>
    <w:rsid w:val="00A34763"/>
    <w:rsid w:val="00A34D25"/>
    <w:rsid w:val="00A34F9A"/>
    <w:rsid w:val="00A35F02"/>
    <w:rsid w:val="00A35F7A"/>
    <w:rsid w:val="00A36203"/>
    <w:rsid w:val="00A362FA"/>
    <w:rsid w:val="00A36DA6"/>
    <w:rsid w:val="00A3700F"/>
    <w:rsid w:val="00A37673"/>
    <w:rsid w:val="00A37C34"/>
    <w:rsid w:val="00A37C63"/>
    <w:rsid w:val="00A4021B"/>
    <w:rsid w:val="00A40377"/>
    <w:rsid w:val="00A40559"/>
    <w:rsid w:val="00A40747"/>
    <w:rsid w:val="00A40B59"/>
    <w:rsid w:val="00A40C60"/>
    <w:rsid w:val="00A40D8E"/>
    <w:rsid w:val="00A40EDA"/>
    <w:rsid w:val="00A41166"/>
    <w:rsid w:val="00A411DD"/>
    <w:rsid w:val="00A417ED"/>
    <w:rsid w:val="00A42593"/>
    <w:rsid w:val="00A42AB8"/>
    <w:rsid w:val="00A42B70"/>
    <w:rsid w:val="00A42B82"/>
    <w:rsid w:val="00A42C57"/>
    <w:rsid w:val="00A42C7D"/>
    <w:rsid w:val="00A4328C"/>
    <w:rsid w:val="00A432F2"/>
    <w:rsid w:val="00A43724"/>
    <w:rsid w:val="00A437B2"/>
    <w:rsid w:val="00A43AA0"/>
    <w:rsid w:val="00A43AA2"/>
    <w:rsid w:val="00A43F41"/>
    <w:rsid w:val="00A442C3"/>
    <w:rsid w:val="00A4466C"/>
    <w:rsid w:val="00A446BE"/>
    <w:rsid w:val="00A44A5B"/>
    <w:rsid w:val="00A44C15"/>
    <w:rsid w:val="00A44F46"/>
    <w:rsid w:val="00A4547B"/>
    <w:rsid w:val="00A454E1"/>
    <w:rsid w:val="00A45928"/>
    <w:rsid w:val="00A463C1"/>
    <w:rsid w:val="00A46692"/>
    <w:rsid w:val="00A4672C"/>
    <w:rsid w:val="00A46CBC"/>
    <w:rsid w:val="00A471B8"/>
    <w:rsid w:val="00A47331"/>
    <w:rsid w:val="00A47597"/>
    <w:rsid w:val="00A47641"/>
    <w:rsid w:val="00A47C54"/>
    <w:rsid w:val="00A47DD8"/>
    <w:rsid w:val="00A47FB2"/>
    <w:rsid w:val="00A50181"/>
    <w:rsid w:val="00A5064A"/>
    <w:rsid w:val="00A50809"/>
    <w:rsid w:val="00A508AE"/>
    <w:rsid w:val="00A50A2F"/>
    <w:rsid w:val="00A50D22"/>
    <w:rsid w:val="00A51674"/>
    <w:rsid w:val="00A51A6A"/>
    <w:rsid w:val="00A51AF3"/>
    <w:rsid w:val="00A51E1B"/>
    <w:rsid w:val="00A52015"/>
    <w:rsid w:val="00A52149"/>
    <w:rsid w:val="00A521CB"/>
    <w:rsid w:val="00A528A1"/>
    <w:rsid w:val="00A52F8C"/>
    <w:rsid w:val="00A5346E"/>
    <w:rsid w:val="00A53523"/>
    <w:rsid w:val="00A53ADA"/>
    <w:rsid w:val="00A53F83"/>
    <w:rsid w:val="00A54285"/>
    <w:rsid w:val="00A542C5"/>
    <w:rsid w:val="00A543F0"/>
    <w:rsid w:val="00A54566"/>
    <w:rsid w:val="00A54732"/>
    <w:rsid w:val="00A549BF"/>
    <w:rsid w:val="00A54A02"/>
    <w:rsid w:val="00A54A52"/>
    <w:rsid w:val="00A54AB2"/>
    <w:rsid w:val="00A54F29"/>
    <w:rsid w:val="00A556AA"/>
    <w:rsid w:val="00A556B5"/>
    <w:rsid w:val="00A5582D"/>
    <w:rsid w:val="00A55BF3"/>
    <w:rsid w:val="00A560E0"/>
    <w:rsid w:val="00A56344"/>
    <w:rsid w:val="00A564B1"/>
    <w:rsid w:val="00A5682F"/>
    <w:rsid w:val="00A568D5"/>
    <w:rsid w:val="00A56F0D"/>
    <w:rsid w:val="00A5714B"/>
    <w:rsid w:val="00A57286"/>
    <w:rsid w:val="00A57B2C"/>
    <w:rsid w:val="00A57E63"/>
    <w:rsid w:val="00A60058"/>
    <w:rsid w:val="00A60450"/>
    <w:rsid w:val="00A60554"/>
    <w:rsid w:val="00A60775"/>
    <w:rsid w:val="00A6086E"/>
    <w:rsid w:val="00A60944"/>
    <w:rsid w:val="00A60E27"/>
    <w:rsid w:val="00A60FD9"/>
    <w:rsid w:val="00A61214"/>
    <w:rsid w:val="00A6136F"/>
    <w:rsid w:val="00A61743"/>
    <w:rsid w:val="00A6187C"/>
    <w:rsid w:val="00A619F7"/>
    <w:rsid w:val="00A626E8"/>
    <w:rsid w:val="00A6278C"/>
    <w:rsid w:val="00A629EF"/>
    <w:rsid w:val="00A62E4A"/>
    <w:rsid w:val="00A63392"/>
    <w:rsid w:val="00A6380A"/>
    <w:rsid w:val="00A638B4"/>
    <w:rsid w:val="00A63BCB"/>
    <w:rsid w:val="00A63C00"/>
    <w:rsid w:val="00A63DD0"/>
    <w:rsid w:val="00A63EDB"/>
    <w:rsid w:val="00A64C7C"/>
    <w:rsid w:val="00A650E6"/>
    <w:rsid w:val="00A65630"/>
    <w:rsid w:val="00A65902"/>
    <w:rsid w:val="00A65FD5"/>
    <w:rsid w:val="00A669BF"/>
    <w:rsid w:val="00A66B12"/>
    <w:rsid w:val="00A66B54"/>
    <w:rsid w:val="00A66E2D"/>
    <w:rsid w:val="00A6758F"/>
    <w:rsid w:val="00A67C2F"/>
    <w:rsid w:val="00A67D26"/>
    <w:rsid w:val="00A702B8"/>
    <w:rsid w:val="00A70327"/>
    <w:rsid w:val="00A70573"/>
    <w:rsid w:val="00A707AF"/>
    <w:rsid w:val="00A70D2A"/>
    <w:rsid w:val="00A70D53"/>
    <w:rsid w:val="00A71276"/>
    <w:rsid w:val="00A715F6"/>
    <w:rsid w:val="00A716BD"/>
    <w:rsid w:val="00A718C1"/>
    <w:rsid w:val="00A71974"/>
    <w:rsid w:val="00A72717"/>
    <w:rsid w:val="00A72746"/>
    <w:rsid w:val="00A72767"/>
    <w:rsid w:val="00A72829"/>
    <w:rsid w:val="00A72989"/>
    <w:rsid w:val="00A72A70"/>
    <w:rsid w:val="00A73529"/>
    <w:rsid w:val="00A73562"/>
    <w:rsid w:val="00A737A2"/>
    <w:rsid w:val="00A74386"/>
    <w:rsid w:val="00A743B4"/>
    <w:rsid w:val="00A7475E"/>
    <w:rsid w:val="00A74D86"/>
    <w:rsid w:val="00A74F4D"/>
    <w:rsid w:val="00A75761"/>
    <w:rsid w:val="00A75939"/>
    <w:rsid w:val="00A76093"/>
    <w:rsid w:val="00A76514"/>
    <w:rsid w:val="00A766C0"/>
    <w:rsid w:val="00A76768"/>
    <w:rsid w:val="00A76E83"/>
    <w:rsid w:val="00A77034"/>
    <w:rsid w:val="00A77436"/>
    <w:rsid w:val="00A77482"/>
    <w:rsid w:val="00A77892"/>
    <w:rsid w:val="00A77A32"/>
    <w:rsid w:val="00A77D68"/>
    <w:rsid w:val="00A80382"/>
    <w:rsid w:val="00A80424"/>
    <w:rsid w:val="00A8097C"/>
    <w:rsid w:val="00A811E0"/>
    <w:rsid w:val="00A81624"/>
    <w:rsid w:val="00A81791"/>
    <w:rsid w:val="00A818B6"/>
    <w:rsid w:val="00A818DC"/>
    <w:rsid w:val="00A81E8F"/>
    <w:rsid w:val="00A822A8"/>
    <w:rsid w:val="00A82458"/>
    <w:rsid w:val="00A82A58"/>
    <w:rsid w:val="00A82C2D"/>
    <w:rsid w:val="00A82D51"/>
    <w:rsid w:val="00A83030"/>
    <w:rsid w:val="00A8338A"/>
    <w:rsid w:val="00A83912"/>
    <w:rsid w:val="00A83965"/>
    <w:rsid w:val="00A83EC1"/>
    <w:rsid w:val="00A84EA6"/>
    <w:rsid w:val="00A8581C"/>
    <w:rsid w:val="00A8588B"/>
    <w:rsid w:val="00A858B1"/>
    <w:rsid w:val="00A8597C"/>
    <w:rsid w:val="00A85C35"/>
    <w:rsid w:val="00A863E1"/>
    <w:rsid w:val="00A86668"/>
    <w:rsid w:val="00A86A7E"/>
    <w:rsid w:val="00A86C24"/>
    <w:rsid w:val="00A86F8A"/>
    <w:rsid w:val="00A87A26"/>
    <w:rsid w:val="00A87AE1"/>
    <w:rsid w:val="00A9005B"/>
    <w:rsid w:val="00A90159"/>
    <w:rsid w:val="00A90193"/>
    <w:rsid w:val="00A906A2"/>
    <w:rsid w:val="00A90F48"/>
    <w:rsid w:val="00A910FE"/>
    <w:rsid w:val="00A914DA"/>
    <w:rsid w:val="00A91CBB"/>
    <w:rsid w:val="00A920C4"/>
    <w:rsid w:val="00A92152"/>
    <w:rsid w:val="00A921AB"/>
    <w:rsid w:val="00A921C3"/>
    <w:rsid w:val="00A9225D"/>
    <w:rsid w:val="00A9230B"/>
    <w:rsid w:val="00A927EB"/>
    <w:rsid w:val="00A9299F"/>
    <w:rsid w:val="00A92BCD"/>
    <w:rsid w:val="00A933B9"/>
    <w:rsid w:val="00A93435"/>
    <w:rsid w:val="00A934C2"/>
    <w:rsid w:val="00A93C27"/>
    <w:rsid w:val="00A93F3C"/>
    <w:rsid w:val="00A9497E"/>
    <w:rsid w:val="00A94CDF"/>
    <w:rsid w:val="00A94EA2"/>
    <w:rsid w:val="00A954A9"/>
    <w:rsid w:val="00A957D0"/>
    <w:rsid w:val="00A95A5E"/>
    <w:rsid w:val="00A95BCD"/>
    <w:rsid w:val="00A95BEB"/>
    <w:rsid w:val="00A95E4A"/>
    <w:rsid w:val="00A95F62"/>
    <w:rsid w:val="00A96048"/>
    <w:rsid w:val="00A96370"/>
    <w:rsid w:val="00A9642F"/>
    <w:rsid w:val="00A96701"/>
    <w:rsid w:val="00A96E83"/>
    <w:rsid w:val="00A974AF"/>
    <w:rsid w:val="00A97891"/>
    <w:rsid w:val="00A97999"/>
    <w:rsid w:val="00A97CCA"/>
    <w:rsid w:val="00A97EE1"/>
    <w:rsid w:val="00A97F21"/>
    <w:rsid w:val="00AA012C"/>
    <w:rsid w:val="00AA02CB"/>
    <w:rsid w:val="00AA06C9"/>
    <w:rsid w:val="00AA0DA6"/>
    <w:rsid w:val="00AA105A"/>
    <w:rsid w:val="00AA11F2"/>
    <w:rsid w:val="00AA1302"/>
    <w:rsid w:val="00AA17F9"/>
    <w:rsid w:val="00AA1810"/>
    <w:rsid w:val="00AA1945"/>
    <w:rsid w:val="00AA1CB7"/>
    <w:rsid w:val="00AA1E2C"/>
    <w:rsid w:val="00AA1E9C"/>
    <w:rsid w:val="00AA22A3"/>
    <w:rsid w:val="00AA23EC"/>
    <w:rsid w:val="00AA267E"/>
    <w:rsid w:val="00AA2B40"/>
    <w:rsid w:val="00AA36B9"/>
    <w:rsid w:val="00AA378E"/>
    <w:rsid w:val="00AA3970"/>
    <w:rsid w:val="00AA421F"/>
    <w:rsid w:val="00AA4284"/>
    <w:rsid w:val="00AA42BE"/>
    <w:rsid w:val="00AA4313"/>
    <w:rsid w:val="00AA4485"/>
    <w:rsid w:val="00AA45CE"/>
    <w:rsid w:val="00AA4B74"/>
    <w:rsid w:val="00AA4FB2"/>
    <w:rsid w:val="00AA52E4"/>
    <w:rsid w:val="00AA52F3"/>
    <w:rsid w:val="00AA539D"/>
    <w:rsid w:val="00AA576D"/>
    <w:rsid w:val="00AA5827"/>
    <w:rsid w:val="00AA5DC7"/>
    <w:rsid w:val="00AA5DC9"/>
    <w:rsid w:val="00AA633D"/>
    <w:rsid w:val="00AA6494"/>
    <w:rsid w:val="00AA6A6F"/>
    <w:rsid w:val="00AA6F35"/>
    <w:rsid w:val="00AA6F48"/>
    <w:rsid w:val="00AA70EC"/>
    <w:rsid w:val="00AA72B4"/>
    <w:rsid w:val="00AA779E"/>
    <w:rsid w:val="00AA7C45"/>
    <w:rsid w:val="00AB00C3"/>
    <w:rsid w:val="00AB0401"/>
    <w:rsid w:val="00AB0681"/>
    <w:rsid w:val="00AB08C9"/>
    <w:rsid w:val="00AB0A03"/>
    <w:rsid w:val="00AB0A5E"/>
    <w:rsid w:val="00AB0B15"/>
    <w:rsid w:val="00AB1192"/>
    <w:rsid w:val="00AB17ED"/>
    <w:rsid w:val="00AB1D1D"/>
    <w:rsid w:val="00AB1EC8"/>
    <w:rsid w:val="00AB1F2A"/>
    <w:rsid w:val="00AB26BD"/>
    <w:rsid w:val="00AB2765"/>
    <w:rsid w:val="00AB2CC5"/>
    <w:rsid w:val="00AB30E3"/>
    <w:rsid w:val="00AB3139"/>
    <w:rsid w:val="00AB365B"/>
    <w:rsid w:val="00AB4550"/>
    <w:rsid w:val="00AB4779"/>
    <w:rsid w:val="00AB4CF6"/>
    <w:rsid w:val="00AB5130"/>
    <w:rsid w:val="00AB5297"/>
    <w:rsid w:val="00AB53A1"/>
    <w:rsid w:val="00AB5513"/>
    <w:rsid w:val="00AB565B"/>
    <w:rsid w:val="00AB5733"/>
    <w:rsid w:val="00AB5905"/>
    <w:rsid w:val="00AB5EA4"/>
    <w:rsid w:val="00AB6196"/>
    <w:rsid w:val="00AB63BF"/>
    <w:rsid w:val="00AB6CAB"/>
    <w:rsid w:val="00AB7129"/>
    <w:rsid w:val="00AB7609"/>
    <w:rsid w:val="00AC01D6"/>
    <w:rsid w:val="00AC04AB"/>
    <w:rsid w:val="00AC06E9"/>
    <w:rsid w:val="00AC0BF3"/>
    <w:rsid w:val="00AC0EB0"/>
    <w:rsid w:val="00AC150E"/>
    <w:rsid w:val="00AC151A"/>
    <w:rsid w:val="00AC153C"/>
    <w:rsid w:val="00AC162D"/>
    <w:rsid w:val="00AC196C"/>
    <w:rsid w:val="00AC1AA8"/>
    <w:rsid w:val="00AC1B18"/>
    <w:rsid w:val="00AC1C00"/>
    <w:rsid w:val="00AC22B6"/>
    <w:rsid w:val="00AC27EB"/>
    <w:rsid w:val="00AC29B5"/>
    <w:rsid w:val="00AC2B6D"/>
    <w:rsid w:val="00AC2CD6"/>
    <w:rsid w:val="00AC31EF"/>
    <w:rsid w:val="00AC3602"/>
    <w:rsid w:val="00AC3790"/>
    <w:rsid w:val="00AC4324"/>
    <w:rsid w:val="00AC448A"/>
    <w:rsid w:val="00AC4501"/>
    <w:rsid w:val="00AC47A5"/>
    <w:rsid w:val="00AC47E1"/>
    <w:rsid w:val="00AC4B5A"/>
    <w:rsid w:val="00AC4BB9"/>
    <w:rsid w:val="00AC4D49"/>
    <w:rsid w:val="00AC4E5A"/>
    <w:rsid w:val="00AC4EFC"/>
    <w:rsid w:val="00AC51F9"/>
    <w:rsid w:val="00AC5328"/>
    <w:rsid w:val="00AC54A5"/>
    <w:rsid w:val="00AC5CD3"/>
    <w:rsid w:val="00AC5EB1"/>
    <w:rsid w:val="00AC6248"/>
    <w:rsid w:val="00AC6457"/>
    <w:rsid w:val="00AC6617"/>
    <w:rsid w:val="00AC6DAF"/>
    <w:rsid w:val="00AC7826"/>
    <w:rsid w:val="00AC789C"/>
    <w:rsid w:val="00AC7E25"/>
    <w:rsid w:val="00AD068E"/>
    <w:rsid w:val="00AD08C4"/>
    <w:rsid w:val="00AD08E9"/>
    <w:rsid w:val="00AD0992"/>
    <w:rsid w:val="00AD0A4B"/>
    <w:rsid w:val="00AD1015"/>
    <w:rsid w:val="00AD1087"/>
    <w:rsid w:val="00AD12D5"/>
    <w:rsid w:val="00AD17EC"/>
    <w:rsid w:val="00AD1A25"/>
    <w:rsid w:val="00AD1B94"/>
    <w:rsid w:val="00AD25C6"/>
    <w:rsid w:val="00AD2A32"/>
    <w:rsid w:val="00AD37BF"/>
    <w:rsid w:val="00AD384B"/>
    <w:rsid w:val="00AD38EC"/>
    <w:rsid w:val="00AD3B38"/>
    <w:rsid w:val="00AD3B5E"/>
    <w:rsid w:val="00AD44AA"/>
    <w:rsid w:val="00AD44D6"/>
    <w:rsid w:val="00AD461C"/>
    <w:rsid w:val="00AD4906"/>
    <w:rsid w:val="00AD495C"/>
    <w:rsid w:val="00AD4B2C"/>
    <w:rsid w:val="00AD4C22"/>
    <w:rsid w:val="00AD4DD6"/>
    <w:rsid w:val="00AD5546"/>
    <w:rsid w:val="00AD5714"/>
    <w:rsid w:val="00AD5826"/>
    <w:rsid w:val="00AD582C"/>
    <w:rsid w:val="00AD58D2"/>
    <w:rsid w:val="00AD59C2"/>
    <w:rsid w:val="00AD5DD6"/>
    <w:rsid w:val="00AD5F5B"/>
    <w:rsid w:val="00AD65E7"/>
    <w:rsid w:val="00AD685B"/>
    <w:rsid w:val="00AD69EF"/>
    <w:rsid w:val="00AD6A20"/>
    <w:rsid w:val="00AD77A1"/>
    <w:rsid w:val="00AD788F"/>
    <w:rsid w:val="00AD79C4"/>
    <w:rsid w:val="00AD7C8E"/>
    <w:rsid w:val="00AE0006"/>
    <w:rsid w:val="00AE023F"/>
    <w:rsid w:val="00AE0348"/>
    <w:rsid w:val="00AE04AB"/>
    <w:rsid w:val="00AE095C"/>
    <w:rsid w:val="00AE0961"/>
    <w:rsid w:val="00AE0C03"/>
    <w:rsid w:val="00AE0ED3"/>
    <w:rsid w:val="00AE0F9D"/>
    <w:rsid w:val="00AE14C6"/>
    <w:rsid w:val="00AE14D5"/>
    <w:rsid w:val="00AE15A6"/>
    <w:rsid w:val="00AE1A24"/>
    <w:rsid w:val="00AE1E27"/>
    <w:rsid w:val="00AE22EC"/>
    <w:rsid w:val="00AE2530"/>
    <w:rsid w:val="00AE2549"/>
    <w:rsid w:val="00AE2551"/>
    <w:rsid w:val="00AE2751"/>
    <w:rsid w:val="00AE291E"/>
    <w:rsid w:val="00AE2D8C"/>
    <w:rsid w:val="00AE3285"/>
    <w:rsid w:val="00AE32C0"/>
    <w:rsid w:val="00AE33B3"/>
    <w:rsid w:val="00AE349C"/>
    <w:rsid w:val="00AE34A8"/>
    <w:rsid w:val="00AE3E4D"/>
    <w:rsid w:val="00AE3EEB"/>
    <w:rsid w:val="00AE3F7B"/>
    <w:rsid w:val="00AE42A1"/>
    <w:rsid w:val="00AE4365"/>
    <w:rsid w:val="00AE44F2"/>
    <w:rsid w:val="00AE4AED"/>
    <w:rsid w:val="00AE4D38"/>
    <w:rsid w:val="00AE4EC8"/>
    <w:rsid w:val="00AE4F22"/>
    <w:rsid w:val="00AE5856"/>
    <w:rsid w:val="00AE5F06"/>
    <w:rsid w:val="00AE5FE2"/>
    <w:rsid w:val="00AE6032"/>
    <w:rsid w:val="00AE6743"/>
    <w:rsid w:val="00AE677E"/>
    <w:rsid w:val="00AE6950"/>
    <w:rsid w:val="00AE6B58"/>
    <w:rsid w:val="00AE6D93"/>
    <w:rsid w:val="00AE7653"/>
    <w:rsid w:val="00AE7815"/>
    <w:rsid w:val="00AE7823"/>
    <w:rsid w:val="00AE79EC"/>
    <w:rsid w:val="00AE7B56"/>
    <w:rsid w:val="00AE7E73"/>
    <w:rsid w:val="00AF00E6"/>
    <w:rsid w:val="00AF0164"/>
    <w:rsid w:val="00AF0307"/>
    <w:rsid w:val="00AF061B"/>
    <w:rsid w:val="00AF0DA8"/>
    <w:rsid w:val="00AF1264"/>
    <w:rsid w:val="00AF143C"/>
    <w:rsid w:val="00AF1A13"/>
    <w:rsid w:val="00AF1A83"/>
    <w:rsid w:val="00AF1B33"/>
    <w:rsid w:val="00AF1B48"/>
    <w:rsid w:val="00AF2384"/>
    <w:rsid w:val="00AF2599"/>
    <w:rsid w:val="00AF25A0"/>
    <w:rsid w:val="00AF2E9B"/>
    <w:rsid w:val="00AF320B"/>
    <w:rsid w:val="00AF33A4"/>
    <w:rsid w:val="00AF3457"/>
    <w:rsid w:val="00AF35EB"/>
    <w:rsid w:val="00AF3661"/>
    <w:rsid w:val="00AF3709"/>
    <w:rsid w:val="00AF3B08"/>
    <w:rsid w:val="00AF3B18"/>
    <w:rsid w:val="00AF3B49"/>
    <w:rsid w:val="00AF3C90"/>
    <w:rsid w:val="00AF3F38"/>
    <w:rsid w:val="00AF49BE"/>
    <w:rsid w:val="00AF4A6F"/>
    <w:rsid w:val="00AF4B99"/>
    <w:rsid w:val="00AF50CE"/>
    <w:rsid w:val="00AF5B23"/>
    <w:rsid w:val="00AF5DE7"/>
    <w:rsid w:val="00AF5E5B"/>
    <w:rsid w:val="00AF6083"/>
    <w:rsid w:val="00AF615A"/>
    <w:rsid w:val="00AF6200"/>
    <w:rsid w:val="00AF6250"/>
    <w:rsid w:val="00AF64F0"/>
    <w:rsid w:val="00AF66EB"/>
    <w:rsid w:val="00AF6746"/>
    <w:rsid w:val="00AF674C"/>
    <w:rsid w:val="00AF6CA0"/>
    <w:rsid w:val="00AF6E0A"/>
    <w:rsid w:val="00AF712D"/>
    <w:rsid w:val="00AF7369"/>
    <w:rsid w:val="00AF7911"/>
    <w:rsid w:val="00AF7DFA"/>
    <w:rsid w:val="00B002B8"/>
    <w:rsid w:val="00B0036A"/>
    <w:rsid w:val="00B00DF8"/>
    <w:rsid w:val="00B014DA"/>
    <w:rsid w:val="00B018C9"/>
    <w:rsid w:val="00B02154"/>
    <w:rsid w:val="00B02170"/>
    <w:rsid w:val="00B022FC"/>
    <w:rsid w:val="00B026AB"/>
    <w:rsid w:val="00B0274A"/>
    <w:rsid w:val="00B029E5"/>
    <w:rsid w:val="00B02BBD"/>
    <w:rsid w:val="00B0311C"/>
    <w:rsid w:val="00B0321A"/>
    <w:rsid w:val="00B03800"/>
    <w:rsid w:val="00B03CE3"/>
    <w:rsid w:val="00B03E3F"/>
    <w:rsid w:val="00B03F95"/>
    <w:rsid w:val="00B0441C"/>
    <w:rsid w:val="00B04562"/>
    <w:rsid w:val="00B04A52"/>
    <w:rsid w:val="00B04DAA"/>
    <w:rsid w:val="00B04E10"/>
    <w:rsid w:val="00B053C8"/>
    <w:rsid w:val="00B05B2F"/>
    <w:rsid w:val="00B061A0"/>
    <w:rsid w:val="00B067C0"/>
    <w:rsid w:val="00B06A4F"/>
    <w:rsid w:val="00B06F46"/>
    <w:rsid w:val="00B07000"/>
    <w:rsid w:val="00B0712E"/>
    <w:rsid w:val="00B0741D"/>
    <w:rsid w:val="00B07440"/>
    <w:rsid w:val="00B07635"/>
    <w:rsid w:val="00B07673"/>
    <w:rsid w:val="00B076BB"/>
    <w:rsid w:val="00B07730"/>
    <w:rsid w:val="00B07B85"/>
    <w:rsid w:val="00B07C3D"/>
    <w:rsid w:val="00B07D8C"/>
    <w:rsid w:val="00B10070"/>
    <w:rsid w:val="00B1017C"/>
    <w:rsid w:val="00B102A9"/>
    <w:rsid w:val="00B10523"/>
    <w:rsid w:val="00B10B6E"/>
    <w:rsid w:val="00B10D26"/>
    <w:rsid w:val="00B10F68"/>
    <w:rsid w:val="00B1118E"/>
    <w:rsid w:val="00B111E6"/>
    <w:rsid w:val="00B11476"/>
    <w:rsid w:val="00B115C8"/>
    <w:rsid w:val="00B1197F"/>
    <w:rsid w:val="00B1216A"/>
    <w:rsid w:val="00B12571"/>
    <w:rsid w:val="00B12A7D"/>
    <w:rsid w:val="00B12C59"/>
    <w:rsid w:val="00B12E91"/>
    <w:rsid w:val="00B13263"/>
    <w:rsid w:val="00B1347C"/>
    <w:rsid w:val="00B1390F"/>
    <w:rsid w:val="00B13AA5"/>
    <w:rsid w:val="00B13D59"/>
    <w:rsid w:val="00B141A2"/>
    <w:rsid w:val="00B141B2"/>
    <w:rsid w:val="00B145AE"/>
    <w:rsid w:val="00B148EE"/>
    <w:rsid w:val="00B1492C"/>
    <w:rsid w:val="00B14B9E"/>
    <w:rsid w:val="00B14D41"/>
    <w:rsid w:val="00B14F14"/>
    <w:rsid w:val="00B1524B"/>
    <w:rsid w:val="00B15791"/>
    <w:rsid w:val="00B15C81"/>
    <w:rsid w:val="00B16027"/>
    <w:rsid w:val="00B1646B"/>
    <w:rsid w:val="00B1698C"/>
    <w:rsid w:val="00B16CEE"/>
    <w:rsid w:val="00B16F6D"/>
    <w:rsid w:val="00B17485"/>
    <w:rsid w:val="00B17837"/>
    <w:rsid w:val="00B17AAC"/>
    <w:rsid w:val="00B20019"/>
    <w:rsid w:val="00B203D3"/>
    <w:rsid w:val="00B204FC"/>
    <w:rsid w:val="00B2067B"/>
    <w:rsid w:val="00B20B4A"/>
    <w:rsid w:val="00B20E83"/>
    <w:rsid w:val="00B21272"/>
    <w:rsid w:val="00B21E5B"/>
    <w:rsid w:val="00B22733"/>
    <w:rsid w:val="00B22740"/>
    <w:rsid w:val="00B2275B"/>
    <w:rsid w:val="00B22764"/>
    <w:rsid w:val="00B22C07"/>
    <w:rsid w:val="00B2307D"/>
    <w:rsid w:val="00B230F4"/>
    <w:rsid w:val="00B2327B"/>
    <w:rsid w:val="00B23578"/>
    <w:rsid w:val="00B23D75"/>
    <w:rsid w:val="00B23E8B"/>
    <w:rsid w:val="00B24117"/>
    <w:rsid w:val="00B24257"/>
    <w:rsid w:val="00B25605"/>
    <w:rsid w:val="00B259C8"/>
    <w:rsid w:val="00B25AB3"/>
    <w:rsid w:val="00B25BFF"/>
    <w:rsid w:val="00B25F45"/>
    <w:rsid w:val="00B279DC"/>
    <w:rsid w:val="00B27E18"/>
    <w:rsid w:val="00B27EE6"/>
    <w:rsid w:val="00B302BB"/>
    <w:rsid w:val="00B305A0"/>
    <w:rsid w:val="00B3062F"/>
    <w:rsid w:val="00B30694"/>
    <w:rsid w:val="00B30A77"/>
    <w:rsid w:val="00B30C44"/>
    <w:rsid w:val="00B30C67"/>
    <w:rsid w:val="00B30C68"/>
    <w:rsid w:val="00B30CFD"/>
    <w:rsid w:val="00B3142B"/>
    <w:rsid w:val="00B31BAE"/>
    <w:rsid w:val="00B31CE1"/>
    <w:rsid w:val="00B31EC4"/>
    <w:rsid w:val="00B323AF"/>
    <w:rsid w:val="00B324C9"/>
    <w:rsid w:val="00B326F9"/>
    <w:rsid w:val="00B32890"/>
    <w:rsid w:val="00B32A9F"/>
    <w:rsid w:val="00B32F51"/>
    <w:rsid w:val="00B336BC"/>
    <w:rsid w:val="00B3395E"/>
    <w:rsid w:val="00B33EC7"/>
    <w:rsid w:val="00B34A09"/>
    <w:rsid w:val="00B34A50"/>
    <w:rsid w:val="00B35604"/>
    <w:rsid w:val="00B35BE0"/>
    <w:rsid w:val="00B36309"/>
    <w:rsid w:val="00B3634F"/>
    <w:rsid w:val="00B3636D"/>
    <w:rsid w:val="00B36469"/>
    <w:rsid w:val="00B36771"/>
    <w:rsid w:val="00B36C69"/>
    <w:rsid w:val="00B36F8A"/>
    <w:rsid w:val="00B37290"/>
    <w:rsid w:val="00B3732B"/>
    <w:rsid w:val="00B376EC"/>
    <w:rsid w:val="00B37A82"/>
    <w:rsid w:val="00B409B9"/>
    <w:rsid w:val="00B40B20"/>
    <w:rsid w:val="00B414EB"/>
    <w:rsid w:val="00B4154F"/>
    <w:rsid w:val="00B416AC"/>
    <w:rsid w:val="00B41CBA"/>
    <w:rsid w:val="00B41E5B"/>
    <w:rsid w:val="00B41E87"/>
    <w:rsid w:val="00B41ECC"/>
    <w:rsid w:val="00B41FBF"/>
    <w:rsid w:val="00B4207C"/>
    <w:rsid w:val="00B422DD"/>
    <w:rsid w:val="00B427CB"/>
    <w:rsid w:val="00B42A1F"/>
    <w:rsid w:val="00B42B1D"/>
    <w:rsid w:val="00B42D9E"/>
    <w:rsid w:val="00B431DD"/>
    <w:rsid w:val="00B436DA"/>
    <w:rsid w:val="00B438B4"/>
    <w:rsid w:val="00B43B70"/>
    <w:rsid w:val="00B43FDB"/>
    <w:rsid w:val="00B44879"/>
    <w:rsid w:val="00B44F51"/>
    <w:rsid w:val="00B457B6"/>
    <w:rsid w:val="00B45AE0"/>
    <w:rsid w:val="00B45CAD"/>
    <w:rsid w:val="00B45DCC"/>
    <w:rsid w:val="00B45ED9"/>
    <w:rsid w:val="00B46168"/>
    <w:rsid w:val="00B46AF6"/>
    <w:rsid w:val="00B47067"/>
    <w:rsid w:val="00B470F8"/>
    <w:rsid w:val="00B47B8B"/>
    <w:rsid w:val="00B50299"/>
    <w:rsid w:val="00B5039B"/>
    <w:rsid w:val="00B50410"/>
    <w:rsid w:val="00B50A38"/>
    <w:rsid w:val="00B50CE2"/>
    <w:rsid w:val="00B50ECF"/>
    <w:rsid w:val="00B512E2"/>
    <w:rsid w:val="00B51722"/>
    <w:rsid w:val="00B51784"/>
    <w:rsid w:val="00B518D6"/>
    <w:rsid w:val="00B5194A"/>
    <w:rsid w:val="00B51C03"/>
    <w:rsid w:val="00B521C9"/>
    <w:rsid w:val="00B52437"/>
    <w:rsid w:val="00B528B6"/>
    <w:rsid w:val="00B5294E"/>
    <w:rsid w:val="00B5299D"/>
    <w:rsid w:val="00B52BFC"/>
    <w:rsid w:val="00B537C0"/>
    <w:rsid w:val="00B53C84"/>
    <w:rsid w:val="00B53DC6"/>
    <w:rsid w:val="00B53F22"/>
    <w:rsid w:val="00B54322"/>
    <w:rsid w:val="00B543E0"/>
    <w:rsid w:val="00B54441"/>
    <w:rsid w:val="00B552F5"/>
    <w:rsid w:val="00B5594A"/>
    <w:rsid w:val="00B55994"/>
    <w:rsid w:val="00B56052"/>
    <w:rsid w:val="00B563A2"/>
    <w:rsid w:val="00B56C97"/>
    <w:rsid w:val="00B574B6"/>
    <w:rsid w:val="00B575E0"/>
    <w:rsid w:val="00B5767D"/>
    <w:rsid w:val="00B57883"/>
    <w:rsid w:val="00B5798F"/>
    <w:rsid w:val="00B57A3A"/>
    <w:rsid w:val="00B57BB8"/>
    <w:rsid w:val="00B57E91"/>
    <w:rsid w:val="00B6008A"/>
    <w:rsid w:val="00B601DB"/>
    <w:rsid w:val="00B602A2"/>
    <w:rsid w:val="00B602CB"/>
    <w:rsid w:val="00B60C3E"/>
    <w:rsid w:val="00B612AC"/>
    <w:rsid w:val="00B61D7D"/>
    <w:rsid w:val="00B61EE3"/>
    <w:rsid w:val="00B62267"/>
    <w:rsid w:val="00B625F3"/>
    <w:rsid w:val="00B62EE9"/>
    <w:rsid w:val="00B62F09"/>
    <w:rsid w:val="00B6323B"/>
    <w:rsid w:val="00B63376"/>
    <w:rsid w:val="00B6342C"/>
    <w:rsid w:val="00B63628"/>
    <w:rsid w:val="00B63789"/>
    <w:rsid w:val="00B63D33"/>
    <w:rsid w:val="00B64101"/>
    <w:rsid w:val="00B645F1"/>
    <w:rsid w:val="00B64AE9"/>
    <w:rsid w:val="00B65340"/>
    <w:rsid w:val="00B65537"/>
    <w:rsid w:val="00B65E88"/>
    <w:rsid w:val="00B65F0F"/>
    <w:rsid w:val="00B661B7"/>
    <w:rsid w:val="00B6623A"/>
    <w:rsid w:val="00B667B6"/>
    <w:rsid w:val="00B66932"/>
    <w:rsid w:val="00B66C79"/>
    <w:rsid w:val="00B66F50"/>
    <w:rsid w:val="00B66F7F"/>
    <w:rsid w:val="00B66FBD"/>
    <w:rsid w:val="00B670EB"/>
    <w:rsid w:val="00B6784A"/>
    <w:rsid w:val="00B67B2B"/>
    <w:rsid w:val="00B67C64"/>
    <w:rsid w:val="00B70365"/>
    <w:rsid w:val="00B70419"/>
    <w:rsid w:val="00B705B5"/>
    <w:rsid w:val="00B7066E"/>
    <w:rsid w:val="00B70AE6"/>
    <w:rsid w:val="00B70F6D"/>
    <w:rsid w:val="00B71CD1"/>
    <w:rsid w:val="00B71CD4"/>
    <w:rsid w:val="00B71D41"/>
    <w:rsid w:val="00B71DF8"/>
    <w:rsid w:val="00B71F59"/>
    <w:rsid w:val="00B723B5"/>
    <w:rsid w:val="00B725DC"/>
    <w:rsid w:val="00B72A93"/>
    <w:rsid w:val="00B72BAB"/>
    <w:rsid w:val="00B72FAD"/>
    <w:rsid w:val="00B7312F"/>
    <w:rsid w:val="00B736E9"/>
    <w:rsid w:val="00B738D6"/>
    <w:rsid w:val="00B745AD"/>
    <w:rsid w:val="00B74CD4"/>
    <w:rsid w:val="00B75069"/>
    <w:rsid w:val="00B751DA"/>
    <w:rsid w:val="00B7522B"/>
    <w:rsid w:val="00B75854"/>
    <w:rsid w:val="00B758C5"/>
    <w:rsid w:val="00B764FE"/>
    <w:rsid w:val="00B76F55"/>
    <w:rsid w:val="00B77261"/>
    <w:rsid w:val="00B777ED"/>
    <w:rsid w:val="00B77B6B"/>
    <w:rsid w:val="00B77BA7"/>
    <w:rsid w:val="00B80944"/>
    <w:rsid w:val="00B809AC"/>
    <w:rsid w:val="00B80CDE"/>
    <w:rsid w:val="00B80CFA"/>
    <w:rsid w:val="00B80FA4"/>
    <w:rsid w:val="00B8103D"/>
    <w:rsid w:val="00B814DB"/>
    <w:rsid w:val="00B81858"/>
    <w:rsid w:val="00B8195F"/>
    <w:rsid w:val="00B81B26"/>
    <w:rsid w:val="00B81C78"/>
    <w:rsid w:val="00B81CB3"/>
    <w:rsid w:val="00B81D41"/>
    <w:rsid w:val="00B8222E"/>
    <w:rsid w:val="00B8239C"/>
    <w:rsid w:val="00B8278E"/>
    <w:rsid w:val="00B82D45"/>
    <w:rsid w:val="00B82F19"/>
    <w:rsid w:val="00B83B81"/>
    <w:rsid w:val="00B83B92"/>
    <w:rsid w:val="00B83CC0"/>
    <w:rsid w:val="00B8416D"/>
    <w:rsid w:val="00B84285"/>
    <w:rsid w:val="00B84319"/>
    <w:rsid w:val="00B8435C"/>
    <w:rsid w:val="00B843A0"/>
    <w:rsid w:val="00B8476F"/>
    <w:rsid w:val="00B849D9"/>
    <w:rsid w:val="00B84EA1"/>
    <w:rsid w:val="00B852AE"/>
    <w:rsid w:val="00B855C3"/>
    <w:rsid w:val="00B858B6"/>
    <w:rsid w:val="00B85912"/>
    <w:rsid w:val="00B85B63"/>
    <w:rsid w:val="00B85C8B"/>
    <w:rsid w:val="00B85E40"/>
    <w:rsid w:val="00B863C3"/>
    <w:rsid w:val="00B86409"/>
    <w:rsid w:val="00B8658A"/>
    <w:rsid w:val="00B86818"/>
    <w:rsid w:val="00B86F53"/>
    <w:rsid w:val="00B873D9"/>
    <w:rsid w:val="00B8760E"/>
    <w:rsid w:val="00B87650"/>
    <w:rsid w:val="00B877AA"/>
    <w:rsid w:val="00B87AFF"/>
    <w:rsid w:val="00B87C7C"/>
    <w:rsid w:val="00B87CEA"/>
    <w:rsid w:val="00B90122"/>
    <w:rsid w:val="00B9016B"/>
    <w:rsid w:val="00B90549"/>
    <w:rsid w:val="00B90578"/>
    <w:rsid w:val="00B906C9"/>
    <w:rsid w:val="00B9106B"/>
    <w:rsid w:val="00B91894"/>
    <w:rsid w:val="00B91B7D"/>
    <w:rsid w:val="00B91DD0"/>
    <w:rsid w:val="00B91EDF"/>
    <w:rsid w:val="00B922D0"/>
    <w:rsid w:val="00B92408"/>
    <w:rsid w:val="00B9241D"/>
    <w:rsid w:val="00B92843"/>
    <w:rsid w:val="00B92E16"/>
    <w:rsid w:val="00B92ECD"/>
    <w:rsid w:val="00B930ED"/>
    <w:rsid w:val="00B932AF"/>
    <w:rsid w:val="00B93385"/>
    <w:rsid w:val="00B93CB1"/>
    <w:rsid w:val="00B93FB6"/>
    <w:rsid w:val="00B947D5"/>
    <w:rsid w:val="00B94A42"/>
    <w:rsid w:val="00B94D11"/>
    <w:rsid w:val="00B951FA"/>
    <w:rsid w:val="00B95462"/>
    <w:rsid w:val="00B96626"/>
    <w:rsid w:val="00B96C62"/>
    <w:rsid w:val="00B97422"/>
    <w:rsid w:val="00B97A24"/>
    <w:rsid w:val="00B97A53"/>
    <w:rsid w:val="00BA0198"/>
    <w:rsid w:val="00BA02FF"/>
    <w:rsid w:val="00BA04EA"/>
    <w:rsid w:val="00BA075A"/>
    <w:rsid w:val="00BA0808"/>
    <w:rsid w:val="00BA1176"/>
    <w:rsid w:val="00BA12C1"/>
    <w:rsid w:val="00BA1414"/>
    <w:rsid w:val="00BA160C"/>
    <w:rsid w:val="00BA1C19"/>
    <w:rsid w:val="00BA1C60"/>
    <w:rsid w:val="00BA1CCB"/>
    <w:rsid w:val="00BA245A"/>
    <w:rsid w:val="00BA2DED"/>
    <w:rsid w:val="00BA326E"/>
    <w:rsid w:val="00BA33AC"/>
    <w:rsid w:val="00BA3B3C"/>
    <w:rsid w:val="00BA3E5F"/>
    <w:rsid w:val="00BA417C"/>
    <w:rsid w:val="00BA43C8"/>
    <w:rsid w:val="00BA4646"/>
    <w:rsid w:val="00BA47E1"/>
    <w:rsid w:val="00BA4AD2"/>
    <w:rsid w:val="00BA4B18"/>
    <w:rsid w:val="00BA4FE1"/>
    <w:rsid w:val="00BA5B4A"/>
    <w:rsid w:val="00BA5CA4"/>
    <w:rsid w:val="00BA5D5B"/>
    <w:rsid w:val="00BA6353"/>
    <w:rsid w:val="00BA6575"/>
    <w:rsid w:val="00BA6BC3"/>
    <w:rsid w:val="00BA6F9F"/>
    <w:rsid w:val="00BA7239"/>
    <w:rsid w:val="00BA74AA"/>
    <w:rsid w:val="00BA7601"/>
    <w:rsid w:val="00BA761E"/>
    <w:rsid w:val="00BA7BA0"/>
    <w:rsid w:val="00BA7FD5"/>
    <w:rsid w:val="00BB0359"/>
    <w:rsid w:val="00BB0604"/>
    <w:rsid w:val="00BB0661"/>
    <w:rsid w:val="00BB0666"/>
    <w:rsid w:val="00BB0B93"/>
    <w:rsid w:val="00BB0CA3"/>
    <w:rsid w:val="00BB0D58"/>
    <w:rsid w:val="00BB1068"/>
    <w:rsid w:val="00BB14B6"/>
    <w:rsid w:val="00BB17FF"/>
    <w:rsid w:val="00BB1E03"/>
    <w:rsid w:val="00BB2041"/>
    <w:rsid w:val="00BB21F5"/>
    <w:rsid w:val="00BB26C9"/>
    <w:rsid w:val="00BB28FD"/>
    <w:rsid w:val="00BB2ECB"/>
    <w:rsid w:val="00BB2F83"/>
    <w:rsid w:val="00BB3083"/>
    <w:rsid w:val="00BB34AC"/>
    <w:rsid w:val="00BB3642"/>
    <w:rsid w:val="00BB4606"/>
    <w:rsid w:val="00BB4B15"/>
    <w:rsid w:val="00BB4F94"/>
    <w:rsid w:val="00BB51B5"/>
    <w:rsid w:val="00BB5443"/>
    <w:rsid w:val="00BB55F3"/>
    <w:rsid w:val="00BB5CBE"/>
    <w:rsid w:val="00BB625A"/>
    <w:rsid w:val="00BB685A"/>
    <w:rsid w:val="00BB6992"/>
    <w:rsid w:val="00BB6C29"/>
    <w:rsid w:val="00BB730A"/>
    <w:rsid w:val="00BB7A2C"/>
    <w:rsid w:val="00BB7B68"/>
    <w:rsid w:val="00BB7F7E"/>
    <w:rsid w:val="00BC0181"/>
    <w:rsid w:val="00BC01DE"/>
    <w:rsid w:val="00BC0973"/>
    <w:rsid w:val="00BC0F23"/>
    <w:rsid w:val="00BC1107"/>
    <w:rsid w:val="00BC13CA"/>
    <w:rsid w:val="00BC146A"/>
    <w:rsid w:val="00BC1C05"/>
    <w:rsid w:val="00BC258D"/>
    <w:rsid w:val="00BC25AE"/>
    <w:rsid w:val="00BC25C6"/>
    <w:rsid w:val="00BC2E9D"/>
    <w:rsid w:val="00BC32D2"/>
    <w:rsid w:val="00BC3382"/>
    <w:rsid w:val="00BC347A"/>
    <w:rsid w:val="00BC39D5"/>
    <w:rsid w:val="00BC42B7"/>
    <w:rsid w:val="00BC4346"/>
    <w:rsid w:val="00BC4361"/>
    <w:rsid w:val="00BC4B46"/>
    <w:rsid w:val="00BC4C9E"/>
    <w:rsid w:val="00BC4F88"/>
    <w:rsid w:val="00BC519A"/>
    <w:rsid w:val="00BC53C1"/>
    <w:rsid w:val="00BC5727"/>
    <w:rsid w:val="00BC5A61"/>
    <w:rsid w:val="00BC5AD6"/>
    <w:rsid w:val="00BC5F32"/>
    <w:rsid w:val="00BC5F62"/>
    <w:rsid w:val="00BC607B"/>
    <w:rsid w:val="00BC61D0"/>
    <w:rsid w:val="00BC6382"/>
    <w:rsid w:val="00BC6723"/>
    <w:rsid w:val="00BC6777"/>
    <w:rsid w:val="00BC68B6"/>
    <w:rsid w:val="00BC69CE"/>
    <w:rsid w:val="00BC6DA0"/>
    <w:rsid w:val="00BC78E2"/>
    <w:rsid w:val="00BC7F70"/>
    <w:rsid w:val="00BD0599"/>
    <w:rsid w:val="00BD092B"/>
    <w:rsid w:val="00BD0A72"/>
    <w:rsid w:val="00BD0EEA"/>
    <w:rsid w:val="00BD1283"/>
    <w:rsid w:val="00BD129D"/>
    <w:rsid w:val="00BD12C0"/>
    <w:rsid w:val="00BD1481"/>
    <w:rsid w:val="00BD1809"/>
    <w:rsid w:val="00BD1AC3"/>
    <w:rsid w:val="00BD1AF3"/>
    <w:rsid w:val="00BD1B29"/>
    <w:rsid w:val="00BD1E40"/>
    <w:rsid w:val="00BD1FEE"/>
    <w:rsid w:val="00BD20B1"/>
    <w:rsid w:val="00BD20FB"/>
    <w:rsid w:val="00BD2437"/>
    <w:rsid w:val="00BD287C"/>
    <w:rsid w:val="00BD2EF1"/>
    <w:rsid w:val="00BD3619"/>
    <w:rsid w:val="00BD3C33"/>
    <w:rsid w:val="00BD3C9A"/>
    <w:rsid w:val="00BD438A"/>
    <w:rsid w:val="00BD45FD"/>
    <w:rsid w:val="00BD4F1B"/>
    <w:rsid w:val="00BD5437"/>
    <w:rsid w:val="00BD5482"/>
    <w:rsid w:val="00BD59C6"/>
    <w:rsid w:val="00BD5B91"/>
    <w:rsid w:val="00BD61EF"/>
    <w:rsid w:val="00BD64A4"/>
    <w:rsid w:val="00BD6FD6"/>
    <w:rsid w:val="00BD72B8"/>
    <w:rsid w:val="00BD7362"/>
    <w:rsid w:val="00BD74EC"/>
    <w:rsid w:val="00BD75E4"/>
    <w:rsid w:val="00BD75EE"/>
    <w:rsid w:val="00BD765E"/>
    <w:rsid w:val="00BD780A"/>
    <w:rsid w:val="00BD7BF5"/>
    <w:rsid w:val="00BD7FA8"/>
    <w:rsid w:val="00BE007F"/>
    <w:rsid w:val="00BE0B62"/>
    <w:rsid w:val="00BE0E1E"/>
    <w:rsid w:val="00BE0F81"/>
    <w:rsid w:val="00BE1060"/>
    <w:rsid w:val="00BE1775"/>
    <w:rsid w:val="00BE1927"/>
    <w:rsid w:val="00BE1CA7"/>
    <w:rsid w:val="00BE22CF"/>
    <w:rsid w:val="00BE2359"/>
    <w:rsid w:val="00BE250C"/>
    <w:rsid w:val="00BE2627"/>
    <w:rsid w:val="00BE296B"/>
    <w:rsid w:val="00BE2DEB"/>
    <w:rsid w:val="00BE2EB7"/>
    <w:rsid w:val="00BE3047"/>
    <w:rsid w:val="00BE3093"/>
    <w:rsid w:val="00BE32C3"/>
    <w:rsid w:val="00BE32D7"/>
    <w:rsid w:val="00BE32E1"/>
    <w:rsid w:val="00BE3BDA"/>
    <w:rsid w:val="00BE3D18"/>
    <w:rsid w:val="00BE401D"/>
    <w:rsid w:val="00BE4338"/>
    <w:rsid w:val="00BE444E"/>
    <w:rsid w:val="00BE44C4"/>
    <w:rsid w:val="00BE485C"/>
    <w:rsid w:val="00BE4AF5"/>
    <w:rsid w:val="00BE505A"/>
    <w:rsid w:val="00BE535F"/>
    <w:rsid w:val="00BE54BE"/>
    <w:rsid w:val="00BE56E1"/>
    <w:rsid w:val="00BE5889"/>
    <w:rsid w:val="00BE58A0"/>
    <w:rsid w:val="00BE65E7"/>
    <w:rsid w:val="00BE6926"/>
    <w:rsid w:val="00BE6CBF"/>
    <w:rsid w:val="00BE6D7B"/>
    <w:rsid w:val="00BE70CE"/>
    <w:rsid w:val="00BE78DA"/>
    <w:rsid w:val="00BE793B"/>
    <w:rsid w:val="00BF0139"/>
    <w:rsid w:val="00BF0184"/>
    <w:rsid w:val="00BF0283"/>
    <w:rsid w:val="00BF0492"/>
    <w:rsid w:val="00BF054F"/>
    <w:rsid w:val="00BF06EB"/>
    <w:rsid w:val="00BF0E2C"/>
    <w:rsid w:val="00BF10A3"/>
    <w:rsid w:val="00BF115E"/>
    <w:rsid w:val="00BF1679"/>
    <w:rsid w:val="00BF171A"/>
    <w:rsid w:val="00BF1979"/>
    <w:rsid w:val="00BF19B3"/>
    <w:rsid w:val="00BF1C5D"/>
    <w:rsid w:val="00BF1FE7"/>
    <w:rsid w:val="00BF29D6"/>
    <w:rsid w:val="00BF2D5D"/>
    <w:rsid w:val="00BF3CB8"/>
    <w:rsid w:val="00BF3D96"/>
    <w:rsid w:val="00BF3F4B"/>
    <w:rsid w:val="00BF3F87"/>
    <w:rsid w:val="00BF463A"/>
    <w:rsid w:val="00BF472C"/>
    <w:rsid w:val="00BF4B56"/>
    <w:rsid w:val="00BF4C5C"/>
    <w:rsid w:val="00BF5002"/>
    <w:rsid w:val="00BF557A"/>
    <w:rsid w:val="00BF5AA9"/>
    <w:rsid w:val="00BF5C8A"/>
    <w:rsid w:val="00BF5E36"/>
    <w:rsid w:val="00BF5EC6"/>
    <w:rsid w:val="00BF6527"/>
    <w:rsid w:val="00BF65E5"/>
    <w:rsid w:val="00BF66C1"/>
    <w:rsid w:val="00BF6888"/>
    <w:rsid w:val="00BF6EEA"/>
    <w:rsid w:val="00BF71DB"/>
    <w:rsid w:val="00BF735A"/>
    <w:rsid w:val="00BF76FC"/>
    <w:rsid w:val="00BF77B8"/>
    <w:rsid w:val="00BF77BC"/>
    <w:rsid w:val="00BF7E6D"/>
    <w:rsid w:val="00C0001B"/>
    <w:rsid w:val="00C0038C"/>
    <w:rsid w:val="00C003D3"/>
    <w:rsid w:val="00C0083B"/>
    <w:rsid w:val="00C00911"/>
    <w:rsid w:val="00C00A81"/>
    <w:rsid w:val="00C00B47"/>
    <w:rsid w:val="00C00CBF"/>
    <w:rsid w:val="00C00E5C"/>
    <w:rsid w:val="00C00E94"/>
    <w:rsid w:val="00C010E4"/>
    <w:rsid w:val="00C011ED"/>
    <w:rsid w:val="00C0127E"/>
    <w:rsid w:val="00C01DAA"/>
    <w:rsid w:val="00C01E50"/>
    <w:rsid w:val="00C01F2F"/>
    <w:rsid w:val="00C0210C"/>
    <w:rsid w:val="00C02477"/>
    <w:rsid w:val="00C024E2"/>
    <w:rsid w:val="00C02617"/>
    <w:rsid w:val="00C02713"/>
    <w:rsid w:val="00C02773"/>
    <w:rsid w:val="00C02A17"/>
    <w:rsid w:val="00C0369C"/>
    <w:rsid w:val="00C03719"/>
    <w:rsid w:val="00C03C30"/>
    <w:rsid w:val="00C04F58"/>
    <w:rsid w:val="00C04FA3"/>
    <w:rsid w:val="00C05074"/>
    <w:rsid w:val="00C056C2"/>
    <w:rsid w:val="00C0585A"/>
    <w:rsid w:val="00C06B7D"/>
    <w:rsid w:val="00C06B9E"/>
    <w:rsid w:val="00C07868"/>
    <w:rsid w:val="00C07F81"/>
    <w:rsid w:val="00C10076"/>
    <w:rsid w:val="00C103F8"/>
    <w:rsid w:val="00C10982"/>
    <w:rsid w:val="00C10ACF"/>
    <w:rsid w:val="00C10D0E"/>
    <w:rsid w:val="00C11F08"/>
    <w:rsid w:val="00C11F7B"/>
    <w:rsid w:val="00C124B9"/>
    <w:rsid w:val="00C1279B"/>
    <w:rsid w:val="00C12842"/>
    <w:rsid w:val="00C12AD7"/>
    <w:rsid w:val="00C12C40"/>
    <w:rsid w:val="00C12F0F"/>
    <w:rsid w:val="00C12F1A"/>
    <w:rsid w:val="00C1300D"/>
    <w:rsid w:val="00C1336F"/>
    <w:rsid w:val="00C13378"/>
    <w:rsid w:val="00C13D1A"/>
    <w:rsid w:val="00C145F6"/>
    <w:rsid w:val="00C14ECE"/>
    <w:rsid w:val="00C15024"/>
    <w:rsid w:val="00C15625"/>
    <w:rsid w:val="00C157BC"/>
    <w:rsid w:val="00C159ED"/>
    <w:rsid w:val="00C15BDD"/>
    <w:rsid w:val="00C15C86"/>
    <w:rsid w:val="00C15E14"/>
    <w:rsid w:val="00C16067"/>
    <w:rsid w:val="00C16271"/>
    <w:rsid w:val="00C16359"/>
    <w:rsid w:val="00C1646F"/>
    <w:rsid w:val="00C16B7C"/>
    <w:rsid w:val="00C16C06"/>
    <w:rsid w:val="00C16FE4"/>
    <w:rsid w:val="00C171A3"/>
    <w:rsid w:val="00C17914"/>
    <w:rsid w:val="00C17D05"/>
    <w:rsid w:val="00C17D87"/>
    <w:rsid w:val="00C204DD"/>
    <w:rsid w:val="00C205D5"/>
    <w:rsid w:val="00C21987"/>
    <w:rsid w:val="00C21C1B"/>
    <w:rsid w:val="00C2229E"/>
    <w:rsid w:val="00C2234F"/>
    <w:rsid w:val="00C22E05"/>
    <w:rsid w:val="00C2303E"/>
    <w:rsid w:val="00C231AA"/>
    <w:rsid w:val="00C240B9"/>
    <w:rsid w:val="00C24372"/>
    <w:rsid w:val="00C245E6"/>
    <w:rsid w:val="00C25753"/>
    <w:rsid w:val="00C25D86"/>
    <w:rsid w:val="00C260A9"/>
    <w:rsid w:val="00C2628E"/>
    <w:rsid w:val="00C268FE"/>
    <w:rsid w:val="00C26999"/>
    <w:rsid w:val="00C269A4"/>
    <w:rsid w:val="00C26A02"/>
    <w:rsid w:val="00C26C10"/>
    <w:rsid w:val="00C26E0D"/>
    <w:rsid w:val="00C26F05"/>
    <w:rsid w:val="00C270F2"/>
    <w:rsid w:val="00C27379"/>
    <w:rsid w:val="00C278D6"/>
    <w:rsid w:val="00C27C2E"/>
    <w:rsid w:val="00C27EA5"/>
    <w:rsid w:val="00C27FFD"/>
    <w:rsid w:val="00C30088"/>
    <w:rsid w:val="00C30B64"/>
    <w:rsid w:val="00C30BDE"/>
    <w:rsid w:val="00C30D44"/>
    <w:rsid w:val="00C30D7E"/>
    <w:rsid w:val="00C316D8"/>
    <w:rsid w:val="00C316F5"/>
    <w:rsid w:val="00C318D7"/>
    <w:rsid w:val="00C31CA9"/>
    <w:rsid w:val="00C31D38"/>
    <w:rsid w:val="00C321B7"/>
    <w:rsid w:val="00C326D4"/>
    <w:rsid w:val="00C32B2A"/>
    <w:rsid w:val="00C32C5F"/>
    <w:rsid w:val="00C3319D"/>
    <w:rsid w:val="00C331FC"/>
    <w:rsid w:val="00C332AD"/>
    <w:rsid w:val="00C337E0"/>
    <w:rsid w:val="00C3387C"/>
    <w:rsid w:val="00C33C6E"/>
    <w:rsid w:val="00C33FC6"/>
    <w:rsid w:val="00C33FE8"/>
    <w:rsid w:val="00C34242"/>
    <w:rsid w:val="00C3448C"/>
    <w:rsid w:val="00C344CB"/>
    <w:rsid w:val="00C34C09"/>
    <w:rsid w:val="00C34DB9"/>
    <w:rsid w:val="00C35303"/>
    <w:rsid w:val="00C3562E"/>
    <w:rsid w:val="00C3577E"/>
    <w:rsid w:val="00C35B95"/>
    <w:rsid w:val="00C35F14"/>
    <w:rsid w:val="00C36069"/>
    <w:rsid w:val="00C361CC"/>
    <w:rsid w:val="00C361F2"/>
    <w:rsid w:val="00C3674F"/>
    <w:rsid w:val="00C376CC"/>
    <w:rsid w:val="00C37D74"/>
    <w:rsid w:val="00C402AD"/>
    <w:rsid w:val="00C4036B"/>
    <w:rsid w:val="00C4069B"/>
    <w:rsid w:val="00C4074C"/>
    <w:rsid w:val="00C40A47"/>
    <w:rsid w:val="00C41033"/>
    <w:rsid w:val="00C410CD"/>
    <w:rsid w:val="00C4189E"/>
    <w:rsid w:val="00C424E9"/>
    <w:rsid w:val="00C42696"/>
    <w:rsid w:val="00C429A0"/>
    <w:rsid w:val="00C4338E"/>
    <w:rsid w:val="00C43564"/>
    <w:rsid w:val="00C44354"/>
    <w:rsid w:val="00C44A85"/>
    <w:rsid w:val="00C44A9B"/>
    <w:rsid w:val="00C44BA4"/>
    <w:rsid w:val="00C45895"/>
    <w:rsid w:val="00C45E8D"/>
    <w:rsid w:val="00C45FEF"/>
    <w:rsid w:val="00C46A83"/>
    <w:rsid w:val="00C46B58"/>
    <w:rsid w:val="00C46CF4"/>
    <w:rsid w:val="00C46FDC"/>
    <w:rsid w:val="00C47467"/>
    <w:rsid w:val="00C47EB5"/>
    <w:rsid w:val="00C505D7"/>
    <w:rsid w:val="00C5066B"/>
    <w:rsid w:val="00C51472"/>
    <w:rsid w:val="00C514A6"/>
    <w:rsid w:val="00C51902"/>
    <w:rsid w:val="00C522BD"/>
    <w:rsid w:val="00C526CA"/>
    <w:rsid w:val="00C52B10"/>
    <w:rsid w:val="00C53743"/>
    <w:rsid w:val="00C5381C"/>
    <w:rsid w:val="00C538AA"/>
    <w:rsid w:val="00C53A6B"/>
    <w:rsid w:val="00C53B77"/>
    <w:rsid w:val="00C53DE3"/>
    <w:rsid w:val="00C5417C"/>
    <w:rsid w:val="00C542B7"/>
    <w:rsid w:val="00C54C27"/>
    <w:rsid w:val="00C54F4E"/>
    <w:rsid w:val="00C551AA"/>
    <w:rsid w:val="00C55A87"/>
    <w:rsid w:val="00C55BB9"/>
    <w:rsid w:val="00C55DC3"/>
    <w:rsid w:val="00C55E6B"/>
    <w:rsid w:val="00C55EA8"/>
    <w:rsid w:val="00C56060"/>
    <w:rsid w:val="00C5617A"/>
    <w:rsid w:val="00C56193"/>
    <w:rsid w:val="00C56256"/>
    <w:rsid w:val="00C564B3"/>
    <w:rsid w:val="00C569B2"/>
    <w:rsid w:val="00C56A26"/>
    <w:rsid w:val="00C56AB7"/>
    <w:rsid w:val="00C56D08"/>
    <w:rsid w:val="00C56F02"/>
    <w:rsid w:val="00C57273"/>
    <w:rsid w:val="00C57584"/>
    <w:rsid w:val="00C57592"/>
    <w:rsid w:val="00C57800"/>
    <w:rsid w:val="00C5797B"/>
    <w:rsid w:val="00C57B4D"/>
    <w:rsid w:val="00C6009B"/>
    <w:rsid w:val="00C60494"/>
    <w:rsid w:val="00C60504"/>
    <w:rsid w:val="00C60A69"/>
    <w:rsid w:val="00C60AAA"/>
    <w:rsid w:val="00C60D06"/>
    <w:rsid w:val="00C60E3B"/>
    <w:rsid w:val="00C61791"/>
    <w:rsid w:val="00C617BC"/>
    <w:rsid w:val="00C61AC4"/>
    <w:rsid w:val="00C61BCB"/>
    <w:rsid w:val="00C61E13"/>
    <w:rsid w:val="00C61F36"/>
    <w:rsid w:val="00C61FBB"/>
    <w:rsid w:val="00C62070"/>
    <w:rsid w:val="00C6208D"/>
    <w:rsid w:val="00C6220F"/>
    <w:rsid w:val="00C629F9"/>
    <w:rsid w:val="00C62A72"/>
    <w:rsid w:val="00C62C71"/>
    <w:rsid w:val="00C62F13"/>
    <w:rsid w:val="00C63047"/>
    <w:rsid w:val="00C63102"/>
    <w:rsid w:val="00C63124"/>
    <w:rsid w:val="00C63502"/>
    <w:rsid w:val="00C63569"/>
    <w:rsid w:val="00C639C2"/>
    <w:rsid w:val="00C63B31"/>
    <w:rsid w:val="00C63C1C"/>
    <w:rsid w:val="00C63E94"/>
    <w:rsid w:val="00C6447D"/>
    <w:rsid w:val="00C645BC"/>
    <w:rsid w:val="00C64632"/>
    <w:rsid w:val="00C64683"/>
    <w:rsid w:val="00C64B97"/>
    <w:rsid w:val="00C64DD2"/>
    <w:rsid w:val="00C64F25"/>
    <w:rsid w:val="00C65452"/>
    <w:rsid w:val="00C65629"/>
    <w:rsid w:val="00C659D5"/>
    <w:rsid w:val="00C65C63"/>
    <w:rsid w:val="00C65CCD"/>
    <w:rsid w:val="00C65F68"/>
    <w:rsid w:val="00C66169"/>
    <w:rsid w:val="00C6639C"/>
    <w:rsid w:val="00C6643C"/>
    <w:rsid w:val="00C66568"/>
    <w:rsid w:val="00C665AE"/>
    <w:rsid w:val="00C66E98"/>
    <w:rsid w:val="00C67114"/>
    <w:rsid w:val="00C675E8"/>
    <w:rsid w:val="00C67AD1"/>
    <w:rsid w:val="00C67D6D"/>
    <w:rsid w:val="00C67FEF"/>
    <w:rsid w:val="00C703E0"/>
    <w:rsid w:val="00C7078E"/>
    <w:rsid w:val="00C70B77"/>
    <w:rsid w:val="00C71A29"/>
    <w:rsid w:val="00C71E11"/>
    <w:rsid w:val="00C71EF6"/>
    <w:rsid w:val="00C721EE"/>
    <w:rsid w:val="00C728FF"/>
    <w:rsid w:val="00C72A8B"/>
    <w:rsid w:val="00C73298"/>
    <w:rsid w:val="00C73458"/>
    <w:rsid w:val="00C73FC0"/>
    <w:rsid w:val="00C740CE"/>
    <w:rsid w:val="00C74200"/>
    <w:rsid w:val="00C7423E"/>
    <w:rsid w:val="00C752CF"/>
    <w:rsid w:val="00C754E9"/>
    <w:rsid w:val="00C759B5"/>
    <w:rsid w:val="00C76C4D"/>
    <w:rsid w:val="00C76DDC"/>
    <w:rsid w:val="00C76EC4"/>
    <w:rsid w:val="00C7723F"/>
    <w:rsid w:val="00C7742A"/>
    <w:rsid w:val="00C7774A"/>
    <w:rsid w:val="00C77BC5"/>
    <w:rsid w:val="00C77EEF"/>
    <w:rsid w:val="00C77F04"/>
    <w:rsid w:val="00C800CA"/>
    <w:rsid w:val="00C80A4D"/>
    <w:rsid w:val="00C80A73"/>
    <w:rsid w:val="00C80E8C"/>
    <w:rsid w:val="00C81ACA"/>
    <w:rsid w:val="00C81AFF"/>
    <w:rsid w:val="00C81EB1"/>
    <w:rsid w:val="00C8213E"/>
    <w:rsid w:val="00C82153"/>
    <w:rsid w:val="00C823B2"/>
    <w:rsid w:val="00C82586"/>
    <w:rsid w:val="00C829E6"/>
    <w:rsid w:val="00C82B58"/>
    <w:rsid w:val="00C8363B"/>
    <w:rsid w:val="00C839D4"/>
    <w:rsid w:val="00C83A87"/>
    <w:rsid w:val="00C83C0D"/>
    <w:rsid w:val="00C8448E"/>
    <w:rsid w:val="00C8464C"/>
    <w:rsid w:val="00C84B48"/>
    <w:rsid w:val="00C85400"/>
    <w:rsid w:val="00C85E0B"/>
    <w:rsid w:val="00C86171"/>
    <w:rsid w:val="00C86556"/>
    <w:rsid w:val="00C865FD"/>
    <w:rsid w:val="00C86770"/>
    <w:rsid w:val="00C869C6"/>
    <w:rsid w:val="00C86A0B"/>
    <w:rsid w:val="00C86E6D"/>
    <w:rsid w:val="00C8769E"/>
    <w:rsid w:val="00C87712"/>
    <w:rsid w:val="00C8780F"/>
    <w:rsid w:val="00C8786B"/>
    <w:rsid w:val="00C9025C"/>
    <w:rsid w:val="00C9028C"/>
    <w:rsid w:val="00C909F3"/>
    <w:rsid w:val="00C90D90"/>
    <w:rsid w:val="00C9121C"/>
    <w:rsid w:val="00C918A1"/>
    <w:rsid w:val="00C919C6"/>
    <w:rsid w:val="00C91AD0"/>
    <w:rsid w:val="00C921DA"/>
    <w:rsid w:val="00C926EC"/>
    <w:rsid w:val="00C9279C"/>
    <w:rsid w:val="00C92813"/>
    <w:rsid w:val="00C92A63"/>
    <w:rsid w:val="00C92F2A"/>
    <w:rsid w:val="00C9398C"/>
    <w:rsid w:val="00C93B8C"/>
    <w:rsid w:val="00C9414C"/>
    <w:rsid w:val="00C94263"/>
    <w:rsid w:val="00C94329"/>
    <w:rsid w:val="00C944D2"/>
    <w:rsid w:val="00C94C24"/>
    <w:rsid w:val="00C94D00"/>
    <w:rsid w:val="00C94D18"/>
    <w:rsid w:val="00C95151"/>
    <w:rsid w:val="00C956D0"/>
    <w:rsid w:val="00C9596E"/>
    <w:rsid w:val="00C95E9B"/>
    <w:rsid w:val="00C965E7"/>
    <w:rsid w:val="00C9661E"/>
    <w:rsid w:val="00C967E4"/>
    <w:rsid w:val="00C96B81"/>
    <w:rsid w:val="00C96DF5"/>
    <w:rsid w:val="00C96EA6"/>
    <w:rsid w:val="00C97336"/>
    <w:rsid w:val="00C97441"/>
    <w:rsid w:val="00C97A0C"/>
    <w:rsid w:val="00C97EEA"/>
    <w:rsid w:val="00C97FCA"/>
    <w:rsid w:val="00CA01BA"/>
    <w:rsid w:val="00CA01D8"/>
    <w:rsid w:val="00CA02CC"/>
    <w:rsid w:val="00CA0337"/>
    <w:rsid w:val="00CA0346"/>
    <w:rsid w:val="00CA04D9"/>
    <w:rsid w:val="00CA0D56"/>
    <w:rsid w:val="00CA1315"/>
    <w:rsid w:val="00CA1B64"/>
    <w:rsid w:val="00CA1EF5"/>
    <w:rsid w:val="00CA1FF5"/>
    <w:rsid w:val="00CA2064"/>
    <w:rsid w:val="00CA2289"/>
    <w:rsid w:val="00CA2A15"/>
    <w:rsid w:val="00CA2B32"/>
    <w:rsid w:val="00CA3444"/>
    <w:rsid w:val="00CA3C2A"/>
    <w:rsid w:val="00CA3DAB"/>
    <w:rsid w:val="00CA3DE1"/>
    <w:rsid w:val="00CA3E29"/>
    <w:rsid w:val="00CA3E53"/>
    <w:rsid w:val="00CA4514"/>
    <w:rsid w:val="00CA451F"/>
    <w:rsid w:val="00CA4707"/>
    <w:rsid w:val="00CA4AF4"/>
    <w:rsid w:val="00CA5314"/>
    <w:rsid w:val="00CA5643"/>
    <w:rsid w:val="00CA6003"/>
    <w:rsid w:val="00CA60CB"/>
    <w:rsid w:val="00CA65F6"/>
    <w:rsid w:val="00CA6AE3"/>
    <w:rsid w:val="00CA6B7A"/>
    <w:rsid w:val="00CA6C9D"/>
    <w:rsid w:val="00CA6CDD"/>
    <w:rsid w:val="00CA7046"/>
    <w:rsid w:val="00CA7755"/>
    <w:rsid w:val="00CA78C7"/>
    <w:rsid w:val="00CA7BD5"/>
    <w:rsid w:val="00CB04C3"/>
    <w:rsid w:val="00CB0588"/>
    <w:rsid w:val="00CB064E"/>
    <w:rsid w:val="00CB066E"/>
    <w:rsid w:val="00CB0A50"/>
    <w:rsid w:val="00CB0B48"/>
    <w:rsid w:val="00CB0BC7"/>
    <w:rsid w:val="00CB0CC9"/>
    <w:rsid w:val="00CB0D59"/>
    <w:rsid w:val="00CB1C1B"/>
    <w:rsid w:val="00CB1C54"/>
    <w:rsid w:val="00CB1F9C"/>
    <w:rsid w:val="00CB22AC"/>
    <w:rsid w:val="00CB2726"/>
    <w:rsid w:val="00CB2A15"/>
    <w:rsid w:val="00CB2C75"/>
    <w:rsid w:val="00CB2CDD"/>
    <w:rsid w:val="00CB3838"/>
    <w:rsid w:val="00CB38C8"/>
    <w:rsid w:val="00CB38E2"/>
    <w:rsid w:val="00CB3C55"/>
    <w:rsid w:val="00CB3F5C"/>
    <w:rsid w:val="00CB4483"/>
    <w:rsid w:val="00CB4636"/>
    <w:rsid w:val="00CB477D"/>
    <w:rsid w:val="00CB4921"/>
    <w:rsid w:val="00CB4C20"/>
    <w:rsid w:val="00CB4D7E"/>
    <w:rsid w:val="00CB52D8"/>
    <w:rsid w:val="00CB5415"/>
    <w:rsid w:val="00CB57A3"/>
    <w:rsid w:val="00CB5897"/>
    <w:rsid w:val="00CB60AE"/>
    <w:rsid w:val="00CB6105"/>
    <w:rsid w:val="00CB63EC"/>
    <w:rsid w:val="00CB6441"/>
    <w:rsid w:val="00CB650B"/>
    <w:rsid w:val="00CB658B"/>
    <w:rsid w:val="00CB66D1"/>
    <w:rsid w:val="00CB683A"/>
    <w:rsid w:val="00CB68D3"/>
    <w:rsid w:val="00CB708B"/>
    <w:rsid w:val="00CB7A4F"/>
    <w:rsid w:val="00CC0768"/>
    <w:rsid w:val="00CC0BBC"/>
    <w:rsid w:val="00CC0EC4"/>
    <w:rsid w:val="00CC1338"/>
    <w:rsid w:val="00CC1435"/>
    <w:rsid w:val="00CC22A3"/>
    <w:rsid w:val="00CC2A9B"/>
    <w:rsid w:val="00CC2AA0"/>
    <w:rsid w:val="00CC35A5"/>
    <w:rsid w:val="00CC3C40"/>
    <w:rsid w:val="00CC401A"/>
    <w:rsid w:val="00CC424E"/>
    <w:rsid w:val="00CC431C"/>
    <w:rsid w:val="00CC43CC"/>
    <w:rsid w:val="00CC44AF"/>
    <w:rsid w:val="00CC4613"/>
    <w:rsid w:val="00CC4DC4"/>
    <w:rsid w:val="00CC4FAA"/>
    <w:rsid w:val="00CC5057"/>
    <w:rsid w:val="00CC54F4"/>
    <w:rsid w:val="00CC55C2"/>
    <w:rsid w:val="00CC6B8D"/>
    <w:rsid w:val="00CC707E"/>
    <w:rsid w:val="00CC7A70"/>
    <w:rsid w:val="00CD0031"/>
    <w:rsid w:val="00CD072B"/>
    <w:rsid w:val="00CD0AA5"/>
    <w:rsid w:val="00CD0AAF"/>
    <w:rsid w:val="00CD0E80"/>
    <w:rsid w:val="00CD11E5"/>
    <w:rsid w:val="00CD176E"/>
    <w:rsid w:val="00CD2084"/>
    <w:rsid w:val="00CD2A65"/>
    <w:rsid w:val="00CD2ABB"/>
    <w:rsid w:val="00CD2D53"/>
    <w:rsid w:val="00CD2F3A"/>
    <w:rsid w:val="00CD2F4C"/>
    <w:rsid w:val="00CD3589"/>
    <w:rsid w:val="00CD4250"/>
    <w:rsid w:val="00CD476A"/>
    <w:rsid w:val="00CD4852"/>
    <w:rsid w:val="00CD49A3"/>
    <w:rsid w:val="00CD4B67"/>
    <w:rsid w:val="00CD4B71"/>
    <w:rsid w:val="00CD5057"/>
    <w:rsid w:val="00CD50B9"/>
    <w:rsid w:val="00CD5284"/>
    <w:rsid w:val="00CD56EE"/>
    <w:rsid w:val="00CD598B"/>
    <w:rsid w:val="00CD5C47"/>
    <w:rsid w:val="00CD5D60"/>
    <w:rsid w:val="00CD5F1E"/>
    <w:rsid w:val="00CD61B0"/>
    <w:rsid w:val="00CD6863"/>
    <w:rsid w:val="00CD6DFC"/>
    <w:rsid w:val="00CD75F7"/>
    <w:rsid w:val="00CD7BAC"/>
    <w:rsid w:val="00CD7C73"/>
    <w:rsid w:val="00CE015D"/>
    <w:rsid w:val="00CE059A"/>
    <w:rsid w:val="00CE07B9"/>
    <w:rsid w:val="00CE07EC"/>
    <w:rsid w:val="00CE08C7"/>
    <w:rsid w:val="00CE0E52"/>
    <w:rsid w:val="00CE0EDD"/>
    <w:rsid w:val="00CE1447"/>
    <w:rsid w:val="00CE17B0"/>
    <w:rsid w:val="00CE1A3B"/>
    <w:rsid w:val="00CE2828"/>
    <w:rsid w:val="00CE2AF3"/>
    <w:rsid w:val="00CE2B21"/>
    <w:rsid w:val="00CE3366"/>
    <w:rsid w:val="00CE3933"/>
    <w:rsid w:val="00CE3F75"/>
    <w:rsid w:val="00CE3F82"/>
    <w:rsid w:val="00CE3FAF"/>
    <w:rsid w:val="00CE4229"/>
    <w:rsid w:val="00CE4F90"/>
    <w:rsid w:val="00CE5133"/>
    <w:rsid w:val="00CE5172"/>
    <w:rsid w:val="00CE5807"/>
    <w:rsid w:val="00CE5A56"/>
    <w:rsid w:val="00CE5BE2"/>
    <w:rsid w:val="00CE5D83"/>
    <w:rsid w:val="00CE5DA0"/>
    <w:rsid w:val="00CE5E5D"/>
    <w:rsid w:val="00CE6BB4"/>
    <w:rsid w:val="00CE6CF6"/>
    <w:rsid w:val="00CE6F61"/>
    <w:rsid w:val="00CE7461"/>
    <w:rsid w:val="00CF0335"/>
    <w:rsid w:val="00CF06F7"/>
    <w:rsid w:val="00CF09A9"/>
    <w:rsid w:val="00CF0A46"/>
    <w:rsid w:val="00CF0AF3"/>
    <w:rsid w:val="00CF0CE6"/>
    <w:rsid w:val="00CF0DEF"/>
    <w:rsid w:val="00CF0EBE"/>
    <w:rsid w:val="00CF10B0"/>
    <w:rsid w:val="00CF1A29"/>
    <w:rsid w:val="00CF1B79"/>
    <w:rsid w:val="00CF1F84"/>
    <w:rsid w:val="00CF202C"/>
    <w:rsid w:val="00CF2447"/>
    <w:rsid w:val="00CF286F"/>
    <w:rsid w:val="00CF2F30"/>
    <w:rsid w:val="00CF2F44"/>
    <w:rsid w:val="00CF303B"/>
    <w:rsid w:val="00CF32F3"/>
    <w:rsid w:val="00CF3362"/>
    <w:rsid w:val="00CF3821"/>
    <w:rsid w:val="00CF3E7D"/>
    <w:rsid w:val="00CF45B4"/>
    <w:rsid w:val="00CF4641"/>
    <w:rsid w:val="00CF4E06"/>
    <w:rsid w:val="00CF52B3"/>
    <w:rsid w:val="00CF5ACD"/>
    <w:rsid w:val="00CF5BE6"/>
    <w:rsid w:val="00CF5D3B"/>
    <w:rsid w:val="00CF5E5F"/>
    <w:rsid w:val="00CF5FE2"/>
    <w:rsid w:val="00CF662F"/>
    <w:rsid w:val="00CF6B4E"/>
    <w:rsid w:val="00CF731B"/>
    <w:rsid w:val="00CF7351"/>
    <w:rsid w:val="00CF751E"/>
    <w:rsid w:val="00CF7A97"/>
    <w:rsid w:val="00CF7E40"/>
    <w:rsid w:val="00D00380"/>
    <w:rsid w:val="00D00437"/>
    <w:rsid w:val="00D0068E"/>
    <w:rsid w:val="00D00895"/>
    <w:rsid w:val="00D00A44"/>
    <w:rsid w:val="00D00A75"/>
    <w:rsid w:val="00D00C72"/>
    <w:rsid w:val="00D0112D"/>
    <w:rsid w:val="00D01609"/>
    <w:rsid w:val="00D01755"/>
    <w:rsid w:val="00D01A48"/>
    <w:rsid w:val="00D0212D"/>
    <w:rsid w:val="00D02295"/>
    <w:rsid w:val="00D024C2"/>
    <w:rsid w:val="00D0298E"/>
    <w:rsid w:val="00D03142"/>
    <w:rsid w:val="00D03460"/>
    <w:rsid w:val="00D037BD"/>
    <w:rsid w:val="00D045F3"/>
    <w:rsid w:val="00D045FB"/>
    <w:rsid w:val="00D04649"/>
    <w:rsid w:val="00D05095"/>
    <w:rsid w:val="00D050F5"/>
    <w:rsid w:val="00D0590A"/>
    <w:rsid w:val="00D05964"/>
    <w:rsid w:val="00D059B3"/>
    <w:rsid w:val="00D05A0F"/>
    <w:rsid w:val="00D066AF"/>
    <w:rsid w:val="00D0698F"/>
    <w:rsid w:val="00D06A6D"/>
    <w:rsid w:val="00D06E9F"/>
    <w:rsid w:val="00D07005"/>
    <w:rsid w:val="00D07008"/>
    <w:rsid w:val="00D071B6"/>
    <w:rsid w:val="00D071D9"/>
    <w:rsid w:val="00D076C5"/>
    <w:rsid w:val="00D078FF"/>
    <w:rsid w:val="00D07AE9"/>
    <w:rsid w:val="00D10407"/>
    <w:rsid w:val="00D10598"/>
    <w:rsid w:val="00D1079B"/>
    <w:rsid w:val="00D1095B"/>
    <w:rsid w:val="00D11542"/>
    <w:rsid w:val="00D117FE"/>
    <w:rsid w:val="00D11A8E"/>
    <w:rsid w:val="00D1242A"/>
    <w:rsid w:val="00D12516"/>
    <w:rsid w:val="00D12682"/>
    <w:rsid w:val="00D12BFC"/>
    <w:rsid w:val="00D1341E"/>
    <w:rsid w:val="00D134BB"/>
    <w:rsid w:val="00D1372A"/>
    <w:rsid w:val="00D13D7C"/>
    <w:rsid w:val="00D13E1E"/>
    <w:rsid w:val="00D13F08"/>
    <w:rsid w:val="00D13FDD"/>
    <w:rsid w:val="00D145F9"/>
    <w:rsid w:val="00D1476B"/>
    <w:rsid w:val="00D147FC"/>
    <w:rsid w:val="00D14C12"/>
    <w:rsid w:val="00D152E1"/>
    <w:rsid w:val="00D153AC"/>
    <w:rsid w:val="00D1597F"/>
    <w:rsid w:val="00D15C9A"/>
    <w:rsid w:val="00D16213"/>
    <w:rsid w:val="00D16A32"/>
    <w:rsid w:val="00D16E1F"/>
    <w:rsid w:val="00D17644"/>
    <w:rsid w:val="00D17BE9"/>
    <w:rsid w:val="00D17E5D"/>
    <w:rsid w:val="00D200D7"/>
    <w:rsid w:val="00D2051D"/>
    <w:rsid w:val="00D20936"/>
    <w:rsid w:val="00D20987"/>
    <w:rsid w:val="00D21056"/>
    <w:rsid w:val="00D21191"/>
    <w:rsid w:val="00D21483"/>
    <w:rsid w:val="00D21D7E"/>
    <w:rsid w:val="00D21E5B"/>
    <w:rsid w:val="00D22119"/>
    <w:rsid w:val="00D22351"/>
    <w:rsid w:val="00D22467"/>
    <w:rsid w:val="00D22684"/>
    <w:rsid w:val="00D22763"/>
    <w:rsid w:val="00D2331F"/>
    <w:rsid w:val="00D233EC"/>
    <w:rsid w:val="00D2358A"/>
    <w:rsid w:val="00D23610"/>
    <w:rsid w:val="00D23BA2"/>
    <w:rsid w:val="00D240A0"/>
    <w:rsid w:val="00D24677"/>
    <w:rsid w:val="00D2497C"/>
    <w:rsid w:val="00D24E88"/>
    <w:rsid w:val="00D24F34"/>
    <w:rsid w:val="00D25632"/>
    <w:rsid w:val="00D258D0"/>
    <w:rsid w:val="00D258E1"/>
    <w:rsid w:val="00D258EC"/>
    <w:rsid w:val="00D259FE"/>
    <w:rsid w:val="00D25A52"/>
    <w:rsid w:val="00D25AFE"/>
    <w:rsid w:val="00D26193"/>
    <w:rsid w:val="00D26692"/>
    <w:rsid w:val="00D266A4"/>
    <w:rsid w:val="00D267C7"/>
    <w:rsid w:val="00D26E6F"/>
    <w:rsid w:val="00D26F09"/>
    <w:rsid w:val="00D26FAC"/>
    <w:rsid w:val="00D27112"/>
    <w:rsid w:val="00D275FA"/>
    <w:rsid w:val="00D277B2"/>
    <w:rsid w:val="00D27BB0"/>
    <w:rsid w:val="00D30005"/>
    <w:rsid w:val="00D300E7"/>
    <w:rsid w:val="00D30872"/>
    <w:rsid w:val="00D3112F"/>
    <w:rsid w:val="00D3125C"/>
    <w:rsid w:val="00D3127F"/>
    <w:rsid w:val="00D317B9"/>
    <w:rsid w:val="00D318CE"/>
    <w:rsid w:val="00D31AA0"/>
    <w:rsid w:val="00D31E44"/>
    <w:rsid w:val="00D325E6"/>
    <w:rsid w:val="00D3274C"/>
    <w:rsid w:val="00D33236"/>
    <w:rsid w:val="00D33435"/>
    <w:rsid w:val="00D337E6"/>
    <w:rsid w:val="00D33AD9"/>
    <w:rsid w:val="00D33C0E"/>
    <w:rsid w:val="00D33C5A"/>
    <w:rsid w:val="00D33DF3"/>
    <w:rsid w:val="00D34254"/>
    <w:rsid w:val="00D34357"/>
    <w:rsid w:val="00D3583F"/>
    <w:rsid w:val="00D359FF"/>
    <w:rsid w:val="00D35F50"/>
    <w:rsid w:val="00D35F5E"/>
    <w:rsid w:val="00D36334"/>
    <w:rsid w:val="00D364EA"/>
    <w:rsid w:val="00D36621"/>
    <w:rsid w:val="00D3669F"/>
    <w:rsid w:val="00D36B26"/>
    <w:rsid w:val="00D36CCE"/>
    <w:rsid w:val="00D371CF"/>
    <w:rsid w:val="00D3747F"/>
    <w:rsid w:val="00D37802"/>
    <w:rsid w:val="00D37DF3"/>
    <w:rsid w:val="00D401ED"/>
    <w:rsid w:val="00D404A2"/>
    <w:rsid w:val="00D4050B"/>
    <w:rsid w:val="00D406A0"/>
    <w:rsid w:val="00D4080A"/>
    <w:rsid w:val="00D408D4"/>
    <w:rsid w:val="00D40AB8"/>
    <w:rsid w:val="00D410FC"/>
    <w:rsid w:val="00D41975"/>
    <w:rsid w:val="00D41B80"/>
    <w:rsid w:val="00D41E19"/>
    <w:rsid w:val="00D420C3"/>
    <w:rsid w:val="00D42238"/>
    <w:rsid w:val="00D424D0"/>
    <w:rsid w:val="00D42655"/>
    <w:rsid w:val="00D427C6"/>
    <w:rsid w:val="00D42B96"/>
    <w:rsid w:val="00D43017"/>
    <w:rsid w:val="00D4328C"/>
    <w:rsid w:val="00D434B7"/>
    <w:rsid w:val="00D43A9D"/>
    <w:rsid w:val="00D43C91"/>
    <w:rsid w:val="00D43FB4"/>
    <w:rsid w:val="00D44075"/>
    <w:rsid w:val="00D441C5"/>
    <w:rsid w:val="00D442D0"/>
    <w:rsid w:val="00D44516"/>
    <w:rsid w:val="00D44590"/>
    <w:rsid w:val="00D44B3F"/>
    <w:rsid w:val="00D44B51"/>
    <w:rsid w:val="00D44E7A"/>
    <w:rsid w:val="00D450C8"/>
    <w:rsid w:val="00D45276"/>
    <w:rsid w:val="00D4546F"/>
    <w:rsid w:val="00D45A34"/>
    <w:rsid w:val="00D462AC"/>
    <w:rsid w:val="00D463AA"/>
    <w:rsid w:val="00D46427"/>
    <w:rsid w:val="00D469D7"/>
    <w:rsid w:val="00D46D2B"/>
    <w:rsid w:val="00D4756E"/>
    <w:rsid w:val="00D47677"/>
    <w:rsid w:val="00D47DA0"/>
    <w:rsid w:val="00D47EDE"/>
    <w:rsid w:val="00D50214"/>
    <w:rsid w:val="00D50580"/>
    <w:rsid w:val="00D50B28"/>
    <w:rsid w:val="00D50B7A"/>
    <w:rsid w:val="00D50BB1"/>
    <w:rsid w:val="00D51277"/>
    <w:rsid w:val="00D515F4"/>
    <w:rsid w:val="00D517C7"/>
    <w:rsid w:val="00D517CC"/>
    <w:rsid w:val="00D5199F"/>
    <w:rsid w:val="00D51C8B"/>
    <w:rsid w:val="00D51D96"/>
    <w:rsid w:val="00D51F1E"/>
    <w:rsid w:val="00D51F4C"/>
    <w:rsid w:val="00D51F56"/>
    <w:rsid w:val="00D51F94"/>
    <w:rsid w:val="00D520FB"/>
    <w:rsid w:val="00D5240F"/>
    <w:rsid w:val="00D525BA"/>
    <w:rsid w:val="00D526D2"/>
    <w:rsid w:val="00D52E90"/>
    <w:rsid w:val="00D52F4C"/>
    <w:rsid w:val="00D530D8"/>
    <w:rsid w:val="00D53535"/>
    <w:rsid w:val="00D53656"/>
    <w:rsid w:val="00D537D2"/>
    <w:rsid w:val="00D538D3"/>
    <w:rsid w:val="00D5390F"/>
    <w:rsid w:val="00D53E28"/>
    <w:rsid w:val="00D5453B"/>
    <w:rsid w:val="00D54642"/>
    <w:rsid w:val="00D547F5"/>
    <w:rsid w:val="00D54C74"/>
    <w:rsid w:val="00D54F15"/>
    <w:rsid w:val="00D54F1D"/>
    <w:rsid w:val="00D55181"/>
    <w:rsid w:val="00D5520E"/>
    <w:rsid w:val="00D55273"/>
    <w:rsid w:val="00D553D7"/>
    <w:rsid w:val="00D556DF"/>
    <w:rsid w:val="00D5572A"/>
    <w:rsid w:val="00D55809"/>
    <w:rsid w:val="00D5588B"/>
    <w:rsid w:val="00D55AC1"/>
    <w:rsid w:val="00D562A4"/>
    <w:rsid w:val="00D5643F"/>
    <w:rsid w:val="00D56712"/>
    <w:rsid w:val="00D56A15"/>
    <w:rsid w:val="00D56ED4"/>
    <w:rsid w:val="00D57058"/>
    <w:rsid w:val="00D570DC"/>
    <w:rsid w:val="00D5730E"/>
    <w:rsid w:val="00D5756F"/>
    <w:rsid w:val="00D57ED4"/>
    <w:rsid w:val="00D605A2"/>
    <w:rsid w:val="00D60772"/>
    <w:rsid w:val="00D607BF"/>
    <w:rsid w:val="00D607DD"/>
    <w:rsid w:val="00D6085D"/>
    <w:rsid w:val="00D60A3F"/>
    <w:rsid w:val="00D60DD5"/>
    <w:rsid w:val="00D60FFB"/>
    <w:rsid w:val="00D60FFD"/>
    <w:rsid w:val="00D611F8"/>
    <w:rsid w:val="00D61306"/>
    <w:rsid w:val="00D615B5"/>
    <w:rsid w:val="00D61682"/>
    <w:rsid w:val="00D61707"/>
    <w:rsid w:val="00D61931"/>
    <w:rsid w:val="00D61DBC"/>
    <w:rsid w:val="00D62117"/>
    <w:rsid w:val="00D62E45"/>
    <w:rsid w:val="00D6304C"/>
    <w:rsid w:val="00D631EB"/>
    <w:rsid w:val="00D63258"/>
    <w:rsid w:val="00D63B32"/>
    <w:rsid w:val="00D640B1"/>
    <w:rsid w:val="00D64202"/>
    <w:rsid w:val="00D64241"/>
    <w:rsid w:val="00D6451C"/>
    <w:rsid w:val="00D646F8"/>
    <w:rsid w:val="00D64854"/>
    <w:rsid w:val="00D65455"/>
    <w:rsid w:val="00D65559"/>
    <w:rsid w:val="00D65801"/>
    <w:rsid w:val="00D658C7"/>
    <w:rsid w:val="00D65FD7"/>
    <w:rsid w:val="00D66469"/>
    <w:rsid w:val="00D664E3"/>
    <w:rsid w:val="00D665BB"/>
    <w:rsid w:val="00D66BC7"/>
    <w:rsid w:val="00D6751B"/>
    <w:rsid w:val="00D67A8F"/>
    <w:rsid w:val="00D67BA6"/>
    <w:rsid w:val="00D70811"/>
    <w:rsid w:val="00D708C7"/>
    <w:rsid w:val="00D70ADF"/>
    <w:rsid w:val="00D70B28"/>
    <w:rsid w:val="00D71CE6"/>
    <w:rsid w:val="00D71F4B"/>
    <w:rsid w:val="00D7234E"/>
    <w:rsid w:val="00D724FF"/>
    <w:rsid w:val="00D725B7"/>
    <w:rsid w:val="00D7285C"/>
    <w:rsid w:val="00D7395C"/>
    <w:rsid w:val="00D73A8A"/>
    <w:rsid w:val="00D73B82"/>
    <w:rsid w:val="00D73E2C"/>
    <w:rsid w:val="00D7402A"/>
    <w:rsid w:val="00D74463"/>
    <w:rsid w:val="00D7496C"/>
    <w:rsid w:val="00D74A5F"/>
    <w:rsid w:val="00D74EDD"/>
    <w:rsid w:val="00D757F3"/>
    <w:rsid w:val="00D75AAA"/>
    <w:rsid w:val="00D75AB8"/>
    <w:rsid w:val="00D75B0D"/>
    <w:rsid w:val="00D75B5D"/>
    <w:rsid w:val="00D75C8F"/>
    <w:rsid w:val="00D75E0D"/>
    <w:rsid w:val="00D75EE7"/>
    <w:rsid w:val="00D76132"/>
    <w:rsid w:val="00D762C5"/>
    <w:rsid w:val="00D766C3"/>
    <w:rsid w:val="00D76B7A"/>
    <w:rsid w:val="00D76BE4"/>
    <w:rsid w:val="00D76ECE"/>
    <w:rsid w:val="00D76F69"/>
    <w:rsid w:val="00D7706F"/>
    <w:rsid w:val="00D77095"/>
    <w:rsid w:val="00D77E47"/>
    <w:rsid w:val="00D77F6A"/>
    <w:rsid w:val="00D80175"/>
    <w:rsid w:val="00D8019B"/>
    <w:rsid w:val="00D80273"/>
    <w:rsid w:val="00D808EE"/>
    <w:rsid w:val="00D809DA"/>
    <w:rsid w:val="00D81262"/>
    <w:rsid w:val="00D813C2"/>
    <w:rsid w:val="00D81475"/>
    <w:rsid w:val="00D815E1"/>
    <w:rsid w:val="00D824C0"/>
    <w:rsid w:val="00D828B2"/>
    <w:rsid w:val="00D8308F"/>
    <w:rsid w:val="00D83335"/>
    <w:rsid w:val="00D833E3"/>
    <w:rsid w:val="00D835E6"/>
    <w:rsid w:val="00D83FD3"/>
    <w:rsid w:val="00D84C0E"/>
    <w:rsid w:val="00D84DFC"/>
    <w:rsid w:val="00D84E92"/>
    <w:rsid w:val="00D85266"/>
    <w:rsid w:val="00D85E5D"/>
    <w:rsid w:val="00D860B3"/>
    <w:rsid w:val="00D86263"/>
    <w:rsid w:val="00D8632F"/>
    <w:rsid w:val="00D869B1"/>
    <w:rsid w:val="00D869D7"/>
    <w:rsid w:val="00D86E50"/>
    <w:rsid w:val="00D86FFC"/>
    <w:rsid w:val="00D874AF"/>
    <w:rsid w:val="00D875CE"/>
    <w:rsid w:val="00D878ED"/>
    <w:rsid w:val="00D87A21"/>
    <w:rsid w:val="00D87D38"/>
    <w:rsid w:val="00D902BD"/>
    <w:rsid w:val="00D913F1"/>
    <w:rsid w:val="00D9152A"/>
    <w:rsid w:val="00D91549"/>
    <w:rsid w:val="00D91A21"/>
    <w:rsid w:val="00D91D12"/>
    <w:rsid w:val="00D91EAB"/>
    <w:rsid w:val="00D91F91"/>
    <w:rsid w:val="00D92260"/>
    <w:rsid w:val="00D922D1"/>
    <w:rsid w:val="00D9260E"/>
    <w:rsid w:val="00D92B9F"/>
    <w:rsid w:val="00D92DAC"/>
    <w:rsid w:val="00D92EB2"/>
    <w:rsid w:val="00D9300C"/>
    <w:rsid w:val="00D93011"/>
    <w:rsid w:val="00D930D9"/>
    <w:rsid w:val="00D934EB"/>
    <w:rsid w:val="00D936FC"/>
    <w:rsid w:val="00D93DE9"/>
    <w:rsid w:val="00D93ED4"/>
    <w:rsid w:val="00D9411F"/>
    <w:rsid w:val="00D944C5"/>
    <w:rsid w:val="00D9451B"/>
    <w:rsid w:val="00D94587"/>
    <w:rsid w:val="00D9497F"/>
    <w:rsid w:val="00D94984"/>
    <w:rsid w:val="00D949E1"/>
    <w:rsid w:val="00D94F9B"/>
    <w:rsid w:val="00D95191"/>
    <w:rsid w:val="00D9557D"/>
    <w:rsid w:val="00D95BE4"/>
    <w:rsid w:val="00D95EDA"/>
    <w:rsid w:val="00D9604D"/>
    <w:rsid w:val="00D960EB"/>
    <w:rsid w:val="00D96406"/>
    <w:rsid w:val="00D969E1"/>
    <w:rsid w:val="00D96BBF"/>
    <w:rsid w:val="00D96CBC"/>
    <w:rsid w:val="00D96E1A"/>
    <w:rsid w:val="00D96E80"/>
    <w:rsid w:val="00D96F1C"/>
    <w:rsid w:val="00D970A6"/>
    <w:rsid w:val="00D972EB"/>
    <w:rsid w:val="00D97FE9"/>
    <w:rsid w:val="00DA01E1"/>
    <w:rsid w:val="00DA0266"/>
    <w:rsid w:val="00DA03D5"/>
    <w:rsid w:val="00DA0449"/>
    <w:rsid w:val="00DA06E7"/>
    <w:rsid w:val="00DA07C4"/>
    <w:rsid w:val="00DA0A3F"/>
    <w:rsid w:val="00DA0B24"/>
    <w:rsid w:val="00DA0C61"/>
    <w:rsid w:val="00DA0D30"/>
    <w:rsid w:val="00DA2046"/>
    <w:rsid w:val="00DA2054"/>
    <w:rsid w:val="00DA20FE"/>
    <w:rsid w:val="00DA217E"/>
    <w:rsid w:val="00DA2A6C"/>
    <w:rsid w:val="00DA2DCA"/>
    <w:rsid w:val="00DA31FD"/>
    <w:rsid w:val="00DA36A0"/>
    <w:rsid w:val="00DA386D"/>
    <w:rsid w:val="00DA3E1B"/>
    <w:rsid w:val="00DA402E"/>
    <w:rsid w:val="00DA4540"/>
    <w:rsid w:val="00DA457E"/>
    <w:rsid w:val="00DA47FF"/>
    <w:rsid w:val="00DA4D8C"/>
    <w:rsid w:val="00DA5015"/>
    <w:rsid w:val="00DA5736"/>
    <w:rsid w:val="00DA5B76"/>
    <w:rsid w:val="00DA5C47"/>
    <w:rsid w:val="00DA612D"/>
    <w:rsid w:val="00DA61CC"/>
    <w:rsid w:val="00DA61E1"/>
    <w:rsid w:val="00DA6597"/>
    <w:rsid w:val="00DA670F"/>
    <w:rsid w:val="00DA688B"/>
    <w:rsid w:val="00DA6915"/>
    <w:rsid w:val="00DA7134"/>
    <w:rsid w:val="00DA74C2"/>
    <w:rsid w:val="00DA7684"/>
    <w:rsid w:val="00DB0411"/>
    <w:rsid w:val="00DB0416"/>
    <w:rsid w:val="00DB063C"/>
    <w:rsid w:val="00DB0A7F"/>
    <w:rsid w:val="00DB0BC0"/>
    <w:rsid w:val="00DB0E22"/>
    <w:rsid w:val="00DB1084"/>
    <w:rsid w:val="00DB1500"/>
    <w:rsid w:val="00DB1AC6"/>
    <w:rsid w:val="00DB1B53"/>
    <w:rsid w:val="00DB1BC6"/>
    <w:rsid w:val="00DB1C4B"/>
    <w:rsid w:val="00DB1C71"/>
    <w:rsid w:val="00DB20D2"/>
    <w:rsid w:val="00DB2647"/>
    <w:rsid w:val="00DB282E"/>
    <w:rsid w:val="00DB2B04"/>
    <w:rsid w:val="00DB2B41"/>
    <w:rsid w:val="00DB2F8C"/>
    <w:rsid w:val="00DB2FFD"/>
    <w:rsid w:val="00DB309C"/>
    <w:rsid w:val="00DB336B"/>
    <w:rsid w:val="00DB3491"/>
    <w:rsid w:val="00DB3670"/>
    <w:rsid w:val="00DB3C44"/>
    <w:rsid w:val="00DB3D8B"/>
    <w:rsid w:val="00DB4672"/>
    <w:rsid w:val="00DB49C3"/>
    <w:rsid w:val="00DB4BB4"/>
    <w:rsid w:val="00DB4BDF"/>
    <w:rsid w:val="00DB4DDC"/>
    <w:rsid w:val="00DB4E3F"/>
    <w:rsid w:val="00DB5030"/>
    <w:rsid w:val="00DB5073"/>
    <w:rsid w:val="00DB540F"/>
    <w:rsid w:val="00DB565C"/>
    <w:rsid w:val="00DB56BF"/>
    <w:rsid w:val="00DB5767"/>
    <w:rsid w:val="00DB57AC"/>
    <w:rsid w:val="00DB5AC9"/>
    <w:rsid w:val="00DB5B05"/>
    <w:rsid w:val="00DB5BA7"/>
    <w:rsid w:val="00DB5CB0"/>
    <w:rsid w:val="00DB5F6A"/>
    <w:rsid w:val="00DB614F"/>
    <w:rsid w:val="00DB6266"/>
    <w:rsid w:val="00DB661B"/>
    <w:rsid w:val="00DB6CE8"/>
    <w:rsid w:val="00DB7142"/>
    <w:rsid w:val="00DB718C"/>
    <w:rsid w:val="00DB7853"/>
    <w:rsid w:val="00DB7856"/>
    <w:rsid w:val="00DB7917"/>
    <w:rsid w:val="00DB79F7"/>
    <w:rsid w:val="00DB7A9A"/>
    <w:rsid w:val="00DB7C88"/>
    <w:rsid w:val="00DB7D67"/>
    <w:rsid w:val="00DC04E1"/>
    <w:rsid w:val="00DC0844"/>
    <w:rsid w:val="00DC0921"/>
    <w:rsid w:val="00DC0F0D"/>
    <w:rsid w:val="00DC0F79"/>
    <w:rsid w:val="00DC1511"/>
    <w:rsid w:val="00DC168C"/>
    <w:rsid w:val="00DC18C6"/>
    <w:rsid w:val="00DC1A8E"/>
    <w:rsid w:val="00DC1B96"/>
    <w:rsid w:val="00DC1DA8"/>
    <w:rsid w:val="00DC1E2C"/>
    <w:rsid w:val="00DC1ED7"/>
    <w:rsid w:val="00DC2193"/>
    <w:rsid w:val="00DC2387"/>
    <w:rsid w:val="00DC24D6"/>
    <w:rsid w:val="00DC276D"/>
    <w:rsid w:val="00DC2998"/>
    <w:rsid w:val="00DC3BAC"/>
    <w:rsid w:val="00DC3E74"/>
    <w:rsid w:val="00DC455F"/>
    <w:rsid w:val="00DC45F6"/>
    <w:rsid w:val="00DC5100"/>
    <w:rsid w:val="00DC5C9E"/>
    <w:rsid w:val="00DC5E3C"/>
    <w:rsid w:val="00DC6225"/>
    <w:rsid w:val="00DC6330"/>
    <w:rsid w:val="00DC6585"/>
    <w:rsid w:val="00DC680D"/>
    <w:rsid w:val="00DC6B42"/>
    <w:rsid w:val="00DC6C70"/>
    <w:rsid w:val="00DC6DEB"/>
    <w:rsid w:val="00DC6F5D"/>
    <w:rsid w:val="00DC72D4"/>
    <w:rsid w:val="00DC76F5"/>
    <w:rsid w:val="00DC7AFC"/>
    <w:rsid w:val="00DC7B10"/>
    <w:rsid w:val="00DC7B40"/>
    <w:rsid w:val="00DC7CFB"/>
    <w:rsid w:val="00DC7ED5"/>
    <w:rsid w:val="00DD046D"/>
    <w:rsid w:val="00DD058C"/>
    <w:rsid w:val="00DD0B41"/>
    <w:rsid w:val="00DD0D93"/>
    <w:rsid w:val="00DD1212"/>
    <w:rsid w:val="00DD141E"/>
    <w:rsid w:val="00DD15CB"/>
    <w:rsid w:val="00DD1B1B"/>
    <w:rsid w:val="00DD1C8C"/>
    <w:rsid w:val="00DD1E66"/>
    <w:rsid w:val="00DD2052"/>
    <w:rsid w:val="00DD2411"/>
    <w:rsid w:val="00DD2421"/>
    <w:rsid w:val="00DD25BC"/>
    <w:rsid w:val="00DD2962"/>
    <w:rsid w:val="00DD2B55"/>
    <w:rsid w:val="00DD2EA8"/>
    <w:rsid w:val="00DD3125"/>
    <w:rsid w:val="00DD3947"/>
    <w:rsid w:val="00DD3D7E"/>
    <w:rsid w:val="00DD3FF3"/>
    <w:rsid w:val="00DD4458"/>
    <w:rsid w:val="00DD4CA3"/>
    <w:rsid w:val="00DD5108"/>
    <w:rsid w:val="00DD5778"/>
    <w:rsid w:val="00DD57EE"/>
    <w:rsid w:val="00DD5A05"/>
    <w:rsid w:val="00DD5B72"/>
    <w:rsid w:val="00DD5E9E"/>
    <w:rsid w:val="00DD614D"/>
    <w:rsid w:val="00DD63CA"/>
    <w:rsid w:val="00DD64CB"/>
    <w:rsid w:val="00DD65C2"/>
    <w:rsid w:val="00DD662C"/>
    <w:rsid w:val="00DD69A0"/>
    <w:rsid w:val="00DD69DA"/>
    <w:rsid w:val="00DD6DB4"/>
    <w:rsid w:val="00DD6F35"/>
    <w:rsid w:val="00DD7E11"/>
    <w:rsid w:val="00DE0664"/>
    <w:rsid w:val="00DE07AF"/>
    <w:rsid w:val="00DE089E"/>
    <w:rsid w:val="00DE09D7"/>
    <w:rsid w:val="00DE0A22"/>
    <w:rsid w:val="00DE0A23"/>
    <w:rsid w:val="00DE109E"/>
    <w:rsid w:val="00DE1483"/>
    <w:rsid w:val="00DE14C7"/>
    <w:rsid w:val="00DE1D55"/>
    <w:rsid w:val="00DE1DE8"/>
    <w:rsid w:val="00DE200F"/>
    <w:rsid w:val="00DE21B2"/>
    <w:rsid w:val="00DE2CFA"/>
    <w:rsid w:val="00DE2D44"/>
    <w:rsid w:val="00DE3655"/>
    <w:rsid w:val="00DE3B64"/>
    <w:rsid w:val="00DE3E0B"/>
    <w:rsid w:val="00DE3E16"/>
    <w:rsid w:val="00DE4279"/>
    <w:rsid w:val="00DE447D"/>
    <w:rsid w:val="00DE4693"/>
    <w:rsid w:val="00DE46ED"/>
    <w:rsid w:val="00DE49CA"/>
    <w:rsid w:val="00DE4C79"/>
    <w:rsid w:val="00DE5173"/>
    <w:rsid w:val="00DE5632"/>
    <w:rsid w:val="00DE5922"/>
    <w:rsid w:val="00DE5D7B"/>
    <w:rsid w:val="00DE6550"/>
    <w:rsid w:val="00DE674B"/>
    <w:rsid w:val="00DE6A04"/>
    <w:rsid w:val="00DE6DFD"/>
    <w:rsid w:val="00DE7EAA"/>
    <w:rsid w:val="00DF0127"/>
    <w:rsid w:val="00DF04EE"/>
    <w:rsid w:val="00DF0972"/>
    <w:rsid w:val="00DF1652"/>
    <w:rsid w:val="00DF21DD"/>
    <w:rsid w:val="00DF27CB"/>
    <w:rsid w:val="00DF29EE"/>
    <w:rsid w:val="00DF2C43"/>
    <w:rsid w:val="00DF2D8C"/>
    <w:rsid w:val="00DF2E17"/>
    <w:rsid w:val="00DF38FD"/>
    <w:rsid w:val="00DF3AEA"/>
    <w:rsid w:val="00DF3CE3"/>
    <w:rsid w:val="00DF4045"/>
    <w:rsid w:val="00DF4681"/>
    <w:rsid w:val="00DF48DF"/>
    <w:rsid w:val="00DF49BF"/>
    <w:rsid w:val="00DF4D4E"/>
    <w:rsid w:val="00DF50AE"/>
    <w:rsid w:val="00DF530F"/>
    <w:rsid w:val="00DF55A9"/>
    <w:rsid w:val="00DF5903"/>
    <w:rsid w:val="00DF5DB9"/>
    <w:rsid w:val="00DF5FCC"/>
    <w:rsid w:val="00DF6AA8"/>
    <w:rsid w:val="00DF6DCE"/>
    <w:rsid w:val="00DF6F20"/>
    <w:rsid w:val="00DF7059"/>
    <w:rsid w:val="00DF7284"/>
    <w:rsid w:val="00DF72F6"/>
    <w:rsid w:val="00DF7545"/>
    <w:rsid w:val="00DF7725"/>
    <w:rsid w:val="00DF7AAE"/>
    <w:rsid w:val="00DF7CEB"/>
    <w:rsid w:val="00DF7D5B"/>
    <w:rsid w:val="00DF7D91"/>
    <w:rsid w:val="00DF7E11"/>
    <w:rsid w:val="00DF7FFC"/>
    <w:rsid w:val="00E00124"/>
    <w:rsid w:val="00E0047B"/>
    <w:rsid w:val="00E004BF"/>
    <w:rsid w:val="00E0092E"/>
    <w:rsid w:val="00E00AED"/>
    <w:rsid w:val="00E00F54"/>
    <w:rsid w:val="00E01174"/>
    <w:rsid w:val="00E0118A"/>
    <w:rsid w:val="00E0142D"/>
    <w:rsid w:val="00E01B35"/>
    <w:rsid w:val="00E01B5F"/>
    <w:rsid w:val="00E01D34"/>
    <w:rsid w:val="00E01D54"/>
    <w:rsid w:val="00E01E28"/>
    <w:rsid w:val="00E01E43"/>
    <w:rsid w:val="00E0279A"/>
    <w:rsid w:val="00E027E3"/>
    <w:rsid w:val="00E02BCA"/>
    <w:rsid w:val="00E031F0"/>
    <w:rsid w:val="00E03485"/>
    <w:rsid w:val="00E03A62"/>
    <w:rsid w:val="00E03BA2"/>
    <w:rsid w:val="00E0444F"/>
    <w:rsid w:val="00E046E0"/>
    <w:rsid w:val="00E04BB4"/>
    <w:rsid w:val="00E04D14"/>
    <w:rsid w:val="00E04D66"/>
    <w:rsid w:val="00E04FBC"/>
    <w:rsid w:val="00E05116"/>
    <w:rsid w:val="00E05B46"/>
    <w:rsid w:val="00E05CFA"/>
    <w:rsid w:val="00E06742"/>
    <w:rsid w:val="00E06A4B"/>
    <w:rsid w:val="00E06B09"/>
    <w:rsid w:val="00E06D30"/>
    <w:rsid w:val="00E0742E"/>
    <w:rsid w:val="00E074DD"/>
    <w:rsid w:val="00E076F5"/>
    <w:rsid w:val="00E07B18"/>
    <w:rsid w:val="00E07B85"/>
    <w:rsid w:val="00E07BD5"/>
    <w:rsid w:val="00E10433"/>
    <w:rsid w:val="00E115AF"/>
    <w:rsid w:val="00E1184C"/>
    <w:rsid w:val="00E118B4"/>
    <w:rsid w:val="00E11AD5"/>
    <w:rsid w:val="00E11B6F"/>
    <w:rsid w:val="00E11F81"/>
    <w:rsid w:val="00E11FD9"/>
    <w:rsid w:val="00E12166"/>
    <w:rsid w:val="00E125E3"/>
    <w:rsid w:val="00E12836"/>
    <w:rsid w:val="00E128D1"/>
    <w:rsid w:val="00E12D86"/>
    <w:rsid w:val="00E130DB"/>
    <w:rsid w:val="00E13250"/>
    <w:rsid w:val="00E1349A"/>
    <w:rsid w:val="00E1368C"/>
    <w:rsid w:val="00E136A1"/>
    <w:rsid w:val="00E13868"/>
    <w:rsid w:val="00E13F1A"/>
    <w:rsid w:val="00E13F9D"/>
    <w:rsid w:val="00E14118"/>
    <w:rsid w:val="00E1422B"/>
    <w:rsid w:val="00E1426B"/>
    <w:rsid w:val="00E147C5"/>
    <w:rsid w:val="00E14966"/>
    <w:rsid w:val="00E14B22"/>
    <w:rsid w:val="00E156EE"/>
    <w:rsid w:val="00E1596D"/>
    <w:rsid w:val="00E15E2D"/>
    <w:rsid w:val="00E15EBE"/>
    <w:rsid w:val="00E15F52"/>
    <w:rsid w:val="00E16160"/>
    <w:rsid w:val="00E1643D"/>
    <w:rsid w:val="00E16487"/>
    <w:rsid w:val="00E16530"/>
    <w:rsid w:val="00E16546"/>
    <w:rsid w:val="00E16A9B"/>
    <w:rsid w:val="00E16BC9"/>
    <w:rsid w:val="00E1777F"/>
    <w:rsid w:val="00E17907"/>
    <w:rsid w:val="00E17DE7"/>
    <w:rsid w:val="00E17F2D"/>
    <w:rsid w:val="00E20123"/>
    <w:rsid w:val="00E204C2"/>
    <w:rsid w:val="00E20866"/>
    <w:rsid w:val="00E208E1"/>
    <w:rsid w:val="00E20BED"/>
    <w:rsid w:val="00E20F9F"/>
    <w:rsid w:val="00E21498"/>
    <w:rsid w:val="00E218A3"/>
    <w:rsid w:val="00E218EB"/>
    <w:rsid w:val="00E21A89"/>
    <w:rsid w:val="00E221A9"/>
    <w:rsid w:val="00E221DD"/>
    <w:rsid w:val="00E22912"/>
    <w:rsid w:val="00E22945"/>
    <w:rsid w:val="00E22DAA"/>
    <w:rsid w:val="00E22E87"/>
    <w:rsid w:val="00E230BF"/>
    <w:rsid w:val="00E23150"/>
    <w:rsid w:val="00E233B5"/>
    <w:rsid w:val="00E2354B"/>
    <w:rsid w:val="00E23862"/>
    <w:rsid w:val="00E23D79"/>
    <w:rsid w:val="00E2415E"/>
    <w:rsid w:val="00E24182"/>
    <w:rsid w:val="00E2452B"/>
    <w:rsid w:val="00E245EB"/>
    <w:rsid w:val="00E2468F"/>
    <w:rsid w:val="00E246F8"/>
    <w:rsid w:val="00E24F4F"/>
    <w:rsid w:val="00E26247"/>
    <w:rsid w:val="00E265C1"/>
    <w:rsid w:val="00E272E0"/>
    <w:rsid w:val="00E2741A"/>
    <w:rsid w:val="00E27C33"/>
    <w:rsid w:val="00E30395"/>
    <w:rsid w:val="00E3054B"/>
    <w:rsid w:val="00E30551"/>
    <w:rsid w:val="00E30D3E"/>
    <w:rsid w:val="00E30DFA"/>
    <w:rsid w:val="00E30EB2"/>
    <w:rsid w:val="00E3162D"/>
    <w:rsid w:val="00E31AA0"/>
    <w:rsid w:val="00E31B1B"/>
    <w:rsid w:val="00E31B93"/>
    <w:rsid w:val="00E31CE9"/>
    <w:rsid w:val="00E31FA8"/>
    <w:rsid w:val="00E32126"/>
    <w:rsid w:val="00E32132"/>
    <w:rsid w:val="00E3227D"/>
    <w:rsid w:val="00E32489"/>
    <w:rsid w:val="00E32513"/>
    <w:rsid w:val="00E32D54"/>
    <w:rsid w:val="00E3307B"/>
    <w:rsid w:val="00E330AD"/>
    <w:rsid w:val="00E33828"/>
    <w:rsid w:val="00E33A4A"/>
    <w:rsid w:val="00E33C3F"/>
    <w:rsid w:val="00E33C80"/>
    <w:rsid w:val="00E34359"/>
    <w:rsid w:val="00E34733"/>
    <w:rsid w:val="00E351DC"/>
    <w:rsid w:val="00E35A2F"/>
    <w:rsid w:val="00E35B2A"/>
    <w:rsid w:val="00E35BEB"/>
    <w:rsid w:val="00E35E67"/>
    <w:rsid w:val="00E36204"/>
    <w:rsid w:val="00E3683F"/>
    <w:rsid w:val="00E37894"/>
    <w:rsid w:val="00E37BA1"/>
    <w:rsid w:val="00E37C0A"/>
    <w:rsid w:val="00E40298"/>
    <w:rsid w:val="00E402B4"/>
    <w:rsid w:val="00E40661"/>
    <w:rsid w:val="00E40690"/>
    <w:rsid w:val="00E40807"/>
    <w:rsid w:val="00E40A48"/>
    <w:rsid w:val="00E41064"/>
    <w:rsid w:val="00E41133"/>
    <w:rsid w:val="00E41809"/>
    <w:rsid w:val="00E41B34"/>
    <w:rsid w:val="00E42330"/>
    <w:rsid w:val="00E42442"/>
    <w:rsid w:val="00E42667"/>
    <w:rsid w:val="00E426E7"/>
    <w:rsid w:val="00E42B53"/>
    <w:rsid w:val="00E42CE2"/>
    <w:rsid w:val="00E42F48"/>
    <w:rsid w:val="00E431D9"/>
    <w:rsid w:val="00E43488"/>
    <w:rsid w:val="00E4367A"/>
    <w:rsid w:val="00E436DF"/>
    <w:rsid w:val="00E43754"/>
    <w:rsid w:val="00E43887"/>
    <w:rsid w:val="00E43D83"/>
    <w:rsid w:val="00E44420"/>
    <w:rsid w:val="00E44455"/>
    <w:rsid w:val="00E44601"/>
    <w:rsid w:val="00E4470D"/>
    <w:rsid w:val="00E4495E"/>
    <w:rsid w:val="00E4525D"/>
    <w:rsid w:val="00E45319"/>
    <w:rsid w:val="00E4533E"/>
    <w:rsid w:val="00E45A5E"/>
    <w:rsid w:val="00E45D1E"/>
    <w:rsid w:val="00E4689A"/>
    <w:rsid w:val="00E468F4"/>
    <w:rsid w:val="00E4698A"/>
    <w:rsid w:val="00E470C0"/>
    <w:rsid w:val="00E4723B"/>
    <w:rsid w:val="00E475EF"/>
    <w:rsid w:val="00E475F3"/>
    <w:rsid w:val="00E47642"/>
    <w:rsid w:val="00E47C39"/>
    <w:rsid w:val="00E507AC"/>
    <w:rsid w:val="00E508DB"/>
    <w:rsid w:val="00E50A5E"/>
    <w:rsid w:val="00E50CCA"/>
    <w:rsid w:val="00E50E40"/>
    <w:rsid w:val="00E50F13"/>
    <w:rsid w:val="00E51256"/>
    <w:rsid w:val="00E518AC"/>
    <w:rsid w:val="00E51A1B"/>
    <w:rsid w:val="00E51E12"/>
    <w:rsid w:val="00E51E1C"/>
    <w:rsid w:val="00E51ED4"/>
    <w:rsid w:val="00E5232C"/>
    <w:rsid w:val="00E52D28"/>
    <w:rsid w:val="00E53131"/>
    <w:rsid w:val="00E531EB"/>
    <w:rsid w:val="00E533F0"/>
    <w:rsid w:val="00E5346A"/>
    <w:rsid w:val="00E537B4"/>
    <w:rsid w:val="00E53A62"/>
    <w:rsid w:val="00E53C97"/>
    <w:rsid w:val="00E53F40"/>
    <w:rsid w:val="00E5422F"/>
    <w:rsid w:val="00E54D1D"/>
    <w:rsid w:val="00E54E90"/>
    <w:rsid w:val="00E54EC5"/>
    <w:rsid w:val="00E5543C"/>
    <w:rsid w:val="00E555E6"/>
    <w:rsid w:val="00E555F7"/>
    <w:rsid w:val="00E557A5"/>
    <w:rsid w:val="00E55CBC"/>
    <w:rsid w:val="00E5617B"/>
    <w:rsid w:val="00E561E5"/>
    <w:rsid w:val="00E5635B"/>
    <w:rsid w:val="00E563D8"/>
    <w:rsid w:val="00E5668E"/>
    <w:rsid w:val="00E56878"/>
    <w:rsid w:val="00E56D91"/>
    <w:rsid w:val="00E57716"/>
    <w:rsid w:val="00E57AE9"/>
    <w:rsid w:val="00E57D4F"/>
    <w:rsid w:val="00E57D8E"/>
    <w:rsid w:val="00E57FF9"/>
    <w:rsid w:val="00E600DD"/>
    <w:rsid w:val="00E603D9"/>
    <w:rsid w:val="00E6056F"/>
    <w:rsid w:val="00E606FB"/>
    <w:rsid w:val="00E60842"/>
    <w:rsid w:val="00E6127C"/>
    <w:rsid w:val="00E613B9"/>
    <w:rsid w:val="00E615AF"/>
    <w:rsid w:val="00E61A78"/>
    <w:rsid w:val="00E61D4F"/>
    <w:rsid w:val="00E6232D"/>
    <w:rsid w:val="00E6247D"/>
    <w:rsid w:val="00E626BC"/>
    <w:rsid w:val="00E6277C"/>
    <w:rsid w:val="00E62F44"/>
    <w:rsid w:val="00E631B2"/>
    <w:rsid w:val="00E6348E"/>
    <w:rsid w:val="00E63536"/>
    <w:rsid w:val="00E639EC"/>
    <w:rsid w:val="00E63F8C"/>
    <w:rsid w:val="00E640A0"/>
    <w:rsid w:val="00E6465A"/>
    <w:rsid w:val="00E6472A"/>
    <w:rsid w:val="00E64769"/>
    <w:rsid w:val="00E64912"/>
    <w:rsid w:val="00E649B9"/>
    <w:rsid w:val="00E64B98"/>
    <w:rsid w:val="00E64CED"/>
    <w:rsid w:val="00E65275"/>
    <w:rsid w:val="00E65583"/>
    <w:rsid w:val="00E657EF"/>
    <w:rsid w:val="00E657F5"/>
    <w:rsid w:val="00E659C6"/>
    <w:rsid w:val="00E65EF8"/>
    <w:rsid w:val="00E6667E"/>
    <w:rsid w:val="00E66A04"/>
    <w:rsid w:val="00E66A71"/>
    <w:rsid w:val="00E66F3C"/>
    <w:rsid w:val="00E66FEE"/>
    <w:rsid w:val="00E6708E"/>
    <w:rsid w:val="00E67380"/>
    <w:rsid w:val="00E67741"/>
    <w:rsid w:val="00E67825"/>
    <w:rsid w:val="00E67B4D"/>
    <w:rsid w:val="00E67C24"/>
    <w:rsid w:val="00E70138"/>
    <w:rsid w:val="00E70277"/>
    <w:rsid w:val="00E70432"/>
    <w:rsid w:val="00E7044A"/>
    <w:rsid w:val="00E705B9"/>
    <w:rsid w:val="00E70839"/>
    <w:rsid w:val="00E708A9"/>
    <w:rsid w:val="00E70E2A"/>
    <w:rsid w:val="00E71392"/>
    <w:rsid w:val="00E713CB"/>
    <w:rsid w:val="00E7150B"/>
    <w:rsid w:val="00E71545"/>
    <w:rsid w:val="00E717E7"/>
    <w:rsid w:val="00E71CAF"/>
    <w:rsid w:val="00E71DF7"/>
    <w:rsid w:val="00E71E1F"/>
    <w:rsid w:val="00E71EFC"/>
    <w:rsid w:val="00E72487"/>
    <w:rsid w:val="00E724E8"/>
    <w:rsid w:val="00E72A13"/>
    <w:rsid w:val="00E72AEC"/>
    <w:rsid w:val="00E72B2C"/>
    <w:rsid w:val="00E72E0E"/>
    <w:rsid w:val="00E733BE"/>
    <w:rsid w:val="00E734BA"/>
    <w:rsid w:val="00E7357C"/>
    <w:rsid w:val="00E73754"/>
    <w:rsid w:val="00E7388B"/>
    <w:rsid w:val="00E73D5C"/>
    <w:rsid w:val="00E73E9C"/>
    <w:rsid w:val="00E74000"/>
    <w:rsid w:val="00E7412F"/>
    <w:rsid w:val="00E742BA"/>
    <w:rsid w:val="00E747DB"/>
    <w:rsid w:val="00E74B94"/>
    <w:rsid w:val="00E74CBB"/>
    <w:rsid w:val="00E74D10"/>
    <w:rsid w:val="00E74E51"/>
    <w:rsid w:val="00E74F67"/>
    <w:rsid w:val="00E750BB"/>
    <w:rsid w:val="00E75404"/>
    <w:rsid w:val="00E75A60"/>
    <w:rsid w:val="00E7651D"/>
    <w:rsid w:val="00E767CC"/>
    <w:rsid w:val="00E77166"/>
    <w:rsid w:val="00E7794D"/>
    <w:rsid w:val="00E7798B"/>
    <w:rsid w:val="00E77A2A"/>
    <w:rsid w:val="00E77A41"/>
    <w:rsid w:val="00E77B51"/>
    <w:rsid w:val="00E77C08"/>
    <w:rsid w:val="00E800CB"/>
    <w:rsid w:val="00E80779"/>
    <w:rsid w:val="00E80780"/>
    <w:rsid w:val="00E807F8"/>
    <w:rsid w:val="00E808AC"/>
    <w:rsid w:val="00E80A21"/>
    <w:rsid w:val="00E80CA5"/>
    <w:rsid w:val="00E80D15"/>
    <w:rsid w:val="00E81066"/>
    <w:rsid w:val="00E8108D"/>
    <w:rsid w:val="00E815C1"/>
    <w:rsid w:val="00E81681"/>
    <w:rsid w:val="00E81700"/>
    <w:rsid w:val="00E81927"/>
    <w:rsid w:val="00E81A85"/>
    <w:rsid w:val="00E81D1D"/>
    <w:rsid w:val="00E81D71"/>
    <w:rsid w:val="00E823D0"/>
    <w:rsid w:val="00E824CD"/>
    <w:rsid w:val="00E8252B"/>
    <w:rsid w:val="00E828A9"/>
    <w:rsid w:val="00E82A84"/>
    <w:rsid w:val="00E82C2A"/>
    <w:rsid w:val="00E8301F"/>
    <w:rsid w:val="00E83205"/>
    <w:rsid w:val="00E8321D"/>
    <w:rsid w:val="00E83489"/>
    <w:rsid w:val="00E8380C"/>
    <w:rsid w:val="00E83912"/>
    <w:rsid w:val="00E83C99"/>
    <w:rsid w:val="00E84490"/>
    <w:rsid w:val="00E847FE"/>
    <w:rsid w:val="00E84D0A"/>
    <w:rsid w:val="00E855F6"/>
    <w:rsid w:val="00E856B9"/>
    <w:rsid w:val="00E8598D"/>
    <w:rsid w:val="00E85AF1"/>
    <w:rsid w:val="00E85EB8"/>
    <w:rsid w:val="00E860B5"/>
    <w:rsid w:val="00E861E2"/>
    <w:rsid w:val="00E86283"/>
    <w:rsid w:val="00E865AC"/>
    <w:rsid w:val="00E869A1"/>
    <w:rsid w:val="00E86AF1"/>
    <w:rsid w:val="00E86C7E"/>
    <w:rsid w:val="00E86E66"/>
    <w:rsid w:val="00E8715C"/>
    <w:rsid w:val="00E872AF"/>
    <w:rsid w:val="00E87567"/>
    <w:rsid w:val="00E8779E"/>
    <w:rsid w:val="00E8792D"/>
    <w:rsid w:val="00E8793C"/>
    <w:rsid w:val="00E87AB5"/>
    <w:rsid w:val="00E9042E"/>
    <w:rsid w:val="00E905DD"/>
    <w:rsid w:val="00E907AC"/>
    <w:rsid w:val="00E9149A"/>
    <w:rsid w:val="00E914FF"/>
    <w:rsid w:val="00E91798"/>
    <w:rsid w:val="00E91FB9"/>
    <w:rsid w:val="00E921C8"/>
    <w:rsid w:val="00E9294A"/>
    <w:rsid w:val="00E92D3C"/>
    <w:rsid w:val="00E92D51"/>
    <w:rsid w:val="00E92EE7"/>
    <w:rsid w:val="00E93303"/>
    <w:rsid w:val="00E93671"/>
    <w:rsid w:val="00E936CB"/>
    <w:rsid w:val="00E93C21"/>
    <w:rsid w:val="00E93C34"/>
    <w:rsid w:val="00E93DF3"/>
    <w:rsid w:val="00E93FF3"/>
    <w:rsid w:val="00E94236"/>
    <w:rsid w:val="00E94A00"/>
    <w:rsid w:val="00E94D87"/>
    <w:rsid w:val="00E950EC"/>
    <w:rsid w:val="00E951DB"/>
    <w:rsid w:val="00E9531F"/>
    <w:rsid w:val="00E95507"/>
    <w:rsid w:val="00E9557A"/>
    <w:rsid w:val="00E96515"/>
    <w:rsid w:val="00E966E7"/>
    <w:rsid w:val="00E96AB3"/>
    <w:rsid w:val="00E96D43"/>
    <w:rsid w:val="00E97217"/>
    <w:rsid w:val="00E97367"/>
    <w:rsid w:val="00E97494"/>
    <w:rsid w:val="00E97593"/>
    <w:rsid w:val="00E977C2"/>
    <w:rsid w:val="00E97D38"/>
    <w:rsid w:val="00E97F7C"/>
    <w:rsid w:val="00EA08A9"/>
    <w:rsid w:val="00EA0B83"/>
    <w:rsid w:val="00EA0C23"/>
    <w:rsid w:val="00EA0C37"/>
    <w:rsid w:val="00EA0FC9"/>
    <w:rsid w:val="00EA12EB"/>
    <w:rsid w:val="00EA1400"/>
    <w:rsid w:val="00EA14D5"/>
    <w:rsid w:val="00EA15D4"/>
    <w:rsid w:val="00EA1878"/>
    <w:rsid w:val="00EA1C67"/>
    <w:rsid w:val="00EA2072"/>
    <w:rsid w:val="00EA2CCD"/>
    <w:rsid w:val="00EA3401"/>
    <w:rsid w:val="00EA386F"/>
    <w:rsid w:val="00EA38FC"/>
    <w:rsid w:val="00EA3C50"/>
    <w:rsid w:val="00EA3E0A"/>
    <w:rsid w:val="00EA47C6"/>
    <w:rsid w:val="00EA481B"/>
    <w:rsid w:val="00EA485A"/>
    <w:rsid w:val="00EA4CC3"/>
    <w:rsid w:val="00EA539A"/>
    <w:rsid w:val="00EA5CD1"/>
    <w:rsid w:val="00EA5D15"/>
    <w:rsid w:val="00EA6686"/>
    <w:rsid w:val="00EA69A6"/>
    <w:rsid w:val="00EA6CF6"/>
    <w:rsid w:val="00EA74CE"/>
    <w:rsid w:val="00EA7733"/>
    <w:rsid w:val="00EA7B71"/>
    <w:rsid w:val="00EA7CD9"/>
    <w:rsid w:val="00EA7CFF"/>
    <w:rsid w:val="00EB02DC"/>
    <w:rsid w:val="00EB075C"/>
    <w:rsid w:val="00EB077F"/>
    <w:rsid w:val="00EB0875"/>
    <w:rsid w:val="00EB0BD3"/>
    <w:rsid w:val="00EB0DCD"/>
    <w:rsid w:val="00EB0FC9"/>
    <w:rsid w:val="00EB173D"/>
    <w:rsid w:val="00EB19BB"/>
    <w:rsid w:val="00EB1B2A"/>
    <w:rsid w:val="00EB27F6"/>
    <w:rsid w:val="00EB33A6"/>
    <w:rsid w:val="00EB3D73"/>
    <w:rsid w:val="00EB3FEA"/>
    <w:rsid w:val="00EB41B1"/>
    <w:rsid w:val="00EB4280"/>
    <w:rsid w:val="00EB468D"/>
    <w:rsid w:val="00EB49E0"/>
    <w:rsid w:val="00EB4ADC"/>
    <w:rsid w:val="00EB4EFB"/>
    <w:rsid w:val="00EB538B"/>
    <w:rsid w:val="00EB54D8"/>
    <w:rsid w:val="00EB55DB"/>
    <w:rsid w:val="00EB56FA"/>
    <w:rsid w:val="00EB5DEC"/>
    <w:rsid w:val="00EB5E34"/>
    <w:rsid w:val="00EB5FA1"/>
    <w:rsid w:val="00EB66AE"/>
    <w:rsid w:val="00EB6710"/>
    <w:rsid w:val="00EB6A03"/>
    <w:rsid w:val="00EB6B95"/>
    <w:rsid w:val="00EB6D4D"/>
    <w:rsid w:val="00EB6D59"/>
    <w:rsid w:val="00EB71F8"/>
    <w:rsid w:val="00EB72D6"/>
    <w:rsid w:val="00EB7400"/>
    <w:rsid w:val="00EC026F"/>
    <w:rsid w:val="00EC0CA5"/>
    <w:rsid w:val="00EC0E17"/>
    <w:rsid w:val="00EC117D"/>
    <w:rsid w:val="00EC14E2"/>
    <w:rsid w:val="00EC181B"/>
    <w:rsid w:val="00EC19A3"/>
    <w:rsid w:val="00EC19B6"/>
    <w:rsid w:val="00EC1E3B"/>
    <w:rsid w:val="00EC1F60"/>
    <w:rsid w:val="00EC222A"/>
    <w:rsid w:val="00EC230F"/>
    <w:rsid w:val="00EC2B03"/>
    <w:rsid w:val="00EC2C5E"/>
    <w:rsid w:val="00EC2D45"/>
    <w:rsid w:val="00EC318E"/>
    <w:rsid w:val="00EC3207"/>
    <w:rsid w:val="00EC3661"/>
    <w:rsid w:val="00EC36D0"/>
    <w:rsid w:val="00EC3742"/>
    <w:rsid w:val="00EC3AD8"/>
    <w:rsid w:val="00EC43C4"/>
    <w:rsid w:val="00EC4AAC"/>
    <w:rsid w:val="00EC4BDE"/>
    <w:rsid w:val="00EC4C6C"/>
    <w:rsid w:val="00EC4D5E"/>
    <w:rsid w:val="00EC5353"/>
    <w:rsid w:val="00EC5441"/>
    <w:rsid w:val="00EC5727"/>
    <w:rsid w:val="00EC57E4"/>
    <w:rsid w:val="00EC57ED"/>
    <w:rsid w:val="00EC5AD9"/>
    <w:rsid w:val="00EC5ADB"/>
    <w:rsid w:val="00EC5DF2"/>
    <w:rsid w:val="00EC5EDF"/>
    <w:rsid w:val="00EC5F59"/>
    <w:rsid w:val="00EC67C1"/>
    <w:rsid w:val="00EC681B"/>
    <w:rsid w:val="00EC71E6"/>
    <w:rsid w:val="00EC7201"/>
    <w:rsid w:val="00EC747A"/>
    <w:rsid w:val="00EC784A"/>
    <w:rsid w:val="00EC7CDA"/>
    <w:rsid w:val="00ED06A9"/>
    <w:rsid w:val="00ED1423"/>
    <w:rsid w:val="00ED1495"/>
    <w:rsid w:val="00ED1548"/>
    <w:rsid w:val="00ED18BD"/>
    <w:rsid w:val="00ED19BF"/>
    <w:rsid w:val="00ED1A75"/>
    <w:rsid w:val="00ED1BB9"/>
    <w:rsid w:val="00ED1C9D"/>
    <w:rsid w:val="00ED1E1A"/>
    <w:rsid w:val="00ED26E3"/>
    <w:rsid w:val="00ED28B8"/>
    <w:rsid w:val="00ED299C"/>
    <w:rsid w:val="00ED2AEA"/>
    <w:rsid w:val="00ED2D2D"/>
    <w:rsid w:val="00ED2DC0"/>
    <w:rsid w:val="00ED35C1"/>
    <w:rsid w:val="00ED375C"/>
    <w:rsid w:val="00ED3808"/>
    <w:rsid w:val="00ED3BA6"/>
    <w:rsid w:val="00ED411C"/>
    <w:rsid w:val="00ED412B"/>
    <w:rsid w:val="00ED4509"/>
    <w:rsid w:val="00ED4916"/>
    <w:rsid w:val="00ED4AF9"/>
    <w:rsid w:val="00ED4B63"/>
    <w:rsid w:val="00ED4F89"/>
    <w:rsid w:val="00ED5222"/>
    <w:rsid w:val="00ED5A22"/>
    <w:rsid w:val="00ED6097"/>
    <w:rsid w:val="00ED64AF"/>
    <w:rsid w:val="00ED64CD"/>
    <w:rsid w:val="00ED66CA"/>
    <w:rsid w:val="00ED69CC"/>
    <w:rsid w:val="00ED6A09"/>
    <w:rsid w:val="00ED6BF7"/>
    <w:rsid w:val="00ED6D69"/>
    <w:rsid w:val="00ED7026"/>
    <w:rsid w:val="00ED70FB"/>
    <w:rsid w:val="00ED777D"/>
    <w:rsid w:val="00ED78EC"/>
    <w:rsid w:val="00EE0553"/>
    <w:rsid w:val="00EE0E6F"/>
    <w:rsid w:val="00EE0EB8"/>
    <w:rsid w:val="00EE0F94"/>
    <w:rsid w:val="00EE0FF4"/>
    <w:rsid w:val="00EE1411"/>
    <w:rsid w:val="00EE1BBC"/>
    <w:rsid w:val="00EE1CF1"/>
    <w:rsid w:val="00EE219A"/>
    <w:rsid w:val="00EE2B44"/>
    <w:rsid w:val="00EE2D72"/>
    <w:rsid w:val="00EE2DB5"/>
    <w:rsid w:val="00EE2F5F"/>
    <w:rsid w:val="00EE305A"/>
    <w:rsid w:val="00EE30C4"/>
    <w:rsid w:val="00EE3181"/>
    <w:rsid w:val="00EE3443"/>
    <w:rsid w:val="00EE3703"/>
    <w:rsid w:val="00EE3BDC"/>
    <w:rsid w:val="00EE40C6"/>
    <w:rsid w:val="00EE41F0"/>
    <w:rsid w:val="00EE42A2"/>
    <w:rsid w:val="00EE42E2"/>
    <w:rsid w:val="00EE467A"/>
    <w:rsid w:val="00EE50D7"/>
    <w:rsid w:val="00EE535A"/>
    <w:rsid w:val="00EE5BAE"/>
    <w:rsid w:val="00EE5D4B"/>
    <w:rsid w:val="00EE5E44"/>
    <w:rsid w:val="00EE6007"/>
    <w:rsid w:val="00EE62CA"/>
    <w:rsid w:val="00EE66EE"/>
    <w:rsid w:val="00EE713F"/>
    <w:rsid w:val="00EE780C"/>
    <w:rsid w:val="00EE786D"/>
    <w:rsid w:val="00EE79EB"/>
    <w:rsid w:val="00EE7A1A"/>
    <w:rsid w:val="00EF05A9"/>
    <w:rsid w:val="00EF05F2"/>
    <w:rsid w:val="00EF0F1B"/>
    <w:rsid w:val="00EF149F"/>
    <w:rsid w:val="00EF14B6"/>
    <w:rsid w:val="00EF1AA9"/>
    <w:rsid w:val="00EF1CCC"/>
    <w:rsid w:val="00EF1FBE"/>
    <w:rsid w:val="00EF2221"/>
    <w:rsid w:val="00EF246A"/>
    <w:rsid w:val="00EF25E3"/>
    <w:rsid w:val="00EF2831"/>
    <w:rsid w:val="00EF2AF0"/>
    <w:rsid w:val="00EF2E65"/>
    <w:rsid w:val="00EF3013"/>
    <w:rsid w:val="00EF33FE"/>
    <w:rsid w:val="00EF36A2"/>
    <w:rsid w:val="00EF4039"/>
    <w:rsid w:val="00EF4173"/>
    <w:rsid w:val="00EF47A5"/>
    <w:rsid w:val="00EF49BD"/>
    <w:rsid w:val="00EF4E60"/>
    <w:rsid w:val="00EF5D3E"/>
    <w:rsid w:val="00EF5F9E"/>
    <w:rsid w:val="00EF626C"/>
    <w:rsid w:val="00EF659F"/>
    <w:rsid w:val="00EF65B0"/>
    <w:rsid w:val="00EF678A"/>
    <w:rsid w:val="00EF6A15"/>
    <w:rsid w:val="00EF6C02"/>
    <w:rsid w:val="00EF6C98"/>
    <w:rsid w:val="00EF6DCC"/>
    <w:rsid w:val="00EF6E46"/>
    <w:rsid w:val="00EF6F72"/>
    <w:rsid w:val="00EF7059"/>
    <w:rsid w:val="00EF7216"/>
    <w:rsid w:val="00EF7CC7"/>
    <w:rsid w:val="00F001B6"/>
    <w:rsid w:val="00F002AE"/>
    <w:rsid w:val="00F00558"/>
    <w:rsid w:val="00F00933"/>
    <w:rsid w:val="00F00B43"/>
    <w:rsid w:val="00F00CDF"/>
    <w:rsid w:val="00F0142C"/>
    <w:rsid w:val="00F0147E"/>
    <w:rsid w:val="00F014E6"/>
    <w:rsid w:val="00F01BA7"/>
    <w:rsid w:val="00F01E38"/>
    <w:rsid w:val="00F01EE7"/>
    <w:rsid w:val="00F021C2"/>
    <w:rsid w:val="00F02302"/>
    <w:rsid w:val="00F02414"/>
    <w:rsid w:val="00F024CD"/>
    <w:rsid w:val="00F027BF"/>
    <w:rsid w:val="00F02A0A"/>
    <w:rsid w:val="00F02F47"/>
    <w:rsid w:val="00F0371F"/>
    <w:rsid w:val="00F03C7C"/>
    <w:rsid w:val="00F03DF8"/>
    <w:rsid w:val="00F04A39"/>
    <w:rsid w:val="00F04D5C"/>
    <w:rsid w:val="00F058C2"/>
    <w:rsid w:val="00F05F9D"/>
    <w:rsid w:val="00F05FE5"/>
    <w:rsid w:val="00F0686D"/>
    <w:rsid w:val="00F06E4E"/>
    <w:rsid w:val="00F0704D"/>
    <w:rsid w:val="00F070F2"/>
    <w:rsid w:val="00F073DE"/>
    <w:rsid w:val="00F079B5"/>
    <w:rsid w:val="00F07C14"/>
    <w:rsid w:val="00F10B77"/>
    <w:rsid w:val="00F10CB5"/>
    <w:rsid w:val="00F10CBC"/>
    <w:rsid w:val="00F10E0D"/>
    <w:rsid w:val="00F1111B"/>
    <w:rsid w:val="00F115F5"/>
    <w:rsid w:val="00F117AF"/>
    <w:rsid w:val="00F118FE"/>
    <w:rsid w:val="00F11BDC"/>
    <w:rsid w:val="00F11BFF"/>
    <w:rsid w:val="00F12074"/>
    <w:rsid w:val="00F120A5"/>
    <w:rsid w:val="00F12244"/>
    <w:rsid w:val="00F122CA"/>
    <w:rsid w:val="00F12478"/>
    <w:rsid w:val="00F12EA0"/>
    <w:rsid w:val="00F12EDA"/>
    <w:rsid w:val="00F1312E"/>
    <w:rsid w:val="00F13395"/>
    <w:rsid w:val="00F13642"/>
    <w:rsid w:val="00F1378B"/>
    <w:rsid w:val="00F13839"/>
    <w:rsid w:val="00F13D28"/>
    <w:rsid w:val="00F1421E"/>
    <w:rsid w:val="00F14A6F"/>
    <w:rsid w:val="00F14C0E"/>
    <w:rsid w:val="00F14CF3"/>
    <w:rsid w:val="00F14F06"/>
    <w:rsid w:val="00F14F53"/>
    <w:rsid w:val="00F153CC"/>
    <w:rsid w:val="00F153EF"/>
    <w:rsid w:val="00F154A0"/>
    <w:rsid w:val="00F154F6"/>
    <w:rsid w:val="00F15856"/>
    <w:rsid w:val="00F15934"/>
    <w:rsid w:val="00F1598A"/>
    <w:rsid w:val="00F15A6A"/>
    <w:rsid w:val="00F15DCA"/>
    <w:rsid w:val="00F15ECB"/>
    <w:rsid w:val="00F1612A"/>
    <w:rsid w:val="00F16417"/>
    <w:rsid w:val="00F169F4"/>
    <w:rsid w:val="00F16FCE"/>
    <w:rsid w:val="00F17EB3"/>
    <w:rsid w:val="00F20156"/>
    <w:rsid w:val="00F2074E"/>
    <w:rsid w:val="00F2096E"/>
    <w:rsid w:val="00F21702"/>
    <w:rsid w:val="00F21C84"/>
    <w:rsid w:val="00F21CD4"/>
    <w:rsid w:val="00F220F0"/>
    <w:rsid w:val="00F22238"/>
    <w:rsid w:val="00F2227C"/>
    <w:rsid w:val="00F2228F"/>
    <w:rsid w:val="00F22588"/>
    <w:rsid w:val="00F22752"/>
    <w:rsid w:val="00F22AE7"/>
    <w:rsid w:val="00F22E30"/>
    <w:rsid w:val="00F234C0"/>
    <w:rsid w:val="00F23912"/>
    <w:rsid w:val="00F24981"/>
    <w:rsid w:val="00F25138"/>
    <w:rsid w:val="00F25938"/>
    <w:rsid w:val="00F2598A"/>
    <w:rsid w:val="00F25B72"/>
    <w:rsid w:val="00F25D05"/>
    <w:rsid w:val="00F2611C"/>
    <w:rsid w:val="00F26224"/>
    <w:rsid w:val="00F2668E"/>
    <w:rsid w:val="00F267A5"/>
    <w:rsid w:val="00F268E3"/>
    <w:rsid w:val="00F26B69"/>
    <w:rsid w:val="00F26CC0"/>
    <w:rsid w:val="00F27485"/>
    <w:rsid w:val="00F2763A"/>
    <w:rsid w:val="00F279B4"/>
    <w:rsid w:val="00F27A73"/>
    <w:rsid w:val="00F27BBF"/>
    <w:rsid w:val="00F27E4F"/>
    <w:rsid w:val="00F27F55"/>
    <w:rsid w:val="00F305E8"/>
    <w:rsid w:val="00F30728"/>
    <w:rsid w:val="00F31335"/>
    <w:rsid w:val="00F31B75"/>
    <w:rsid w:val="00F31C58"/>
    <w:rsid w:val="00F31C8D"/>
    <w:rsid w:val="00F31EF3"/>
    <w:rsid w:val="00F3224E"/>
    <w:rsid w:val="00F326CB"/>
    <w:rsid w:val="00F32B61"/>
    <w:rsid w:val="00F32EA5"/>
    <w:rsid w:val="00F3337A"/>
    <w:rsid w:val="00F3338B"/>
    <w:rsid w:val="00F33483"/>
    <w:rsid w:val="00F336C4"/>
    <w:rsid w:val="00F33795"/>
    <w:rsid w:val="00F33D1E"/>
    <w:rsid w:val="00F342EE"/>
    <w:rsid w:val="00F347F2"/>
    <w:rsid w:val="00F34955"/>
    <w:rsid w:val="00F3499C"/>
    <w:rsid w:val="00F34BC5"/>
    <w:rsid w:val="00F3520D"/>
    <w:rsid w:val="00F35E6B"/>
    <w:rsid w:val="00F35E8B"/>
    <w:rsid w:val="00F360F8"/>
    <w:rsid w:val="00F361A3"/>
    <w:rsid w:val="00F362E6"/>
    <w:rsid w:val="00F369B1"/>
    <w:rsid w:val="00F36B28"/>
    <w:rsid w:val="00F36F5A"/>
    <w:rsid w:val="00F373E4"/>
    <w:rsid w:val="00F376AF"/>
    <w:rsid w:val="00F37710"/>
    <w:rsid w:val="00F377F5"/>
    <w:rsid w:val="00F3782C"/>
    <w:rsid w:val="00F37FD9"/>
    <w:rsid w:val="00F404DE"/>
    <w:rsid w:val="00F40592"/>
    <w:rsid w:val="00F406A1"/>
    <w:rsid w:val="00F407EE"/>
    <w:rsid w:val="00F40973"/>
    <w:rsid w:val="00F40A6B"/>
    <w:rsid w:val="00F40A9B"/>
    <w:rsid w:val="00F40CA9"/>
    <w:rsid w:val="00F40E1B"/>
    <w:rsid w:val="00F40E3D"/>
    <w:rsid w:val="00F4137C"/>
    <w:rsid w:val="00F4165B"/>
    <w:rsid w:val="00F4175F"/>
    <w:rsid w:val="00F420AA"/>
    <w:rsid w:val="00F422C8"/>
    <w:rsid w:val="00F42324"/>
    <w:rsid w:val="00F4232B"/>
    <w:rsid w:val="00F42790"/>
    <w:rsid w:val="00F42941"/>
    <w:rsid w:val="00F430AC"/>
    <w:rsid w:val="00F430E6"/>
    <w:rsid w:val="00F4314B"/>
    <w:rsid w:val="00F431DD"/>
    <w:rsid w:val="00F4344D"/>
    <w:rsid w:val="00F43618"/>
    <w:rsid w:val="00F43BC3"/>
    <w:rsid w:val="00F43D07"/>
    <w:rsid w:val="00F43EFD"/>
    <w:rsid w:val="00F443CE"/>
    <w:rsid w:val="00F443DB"/>
    <w:rsid w:val="00F44727"/>
    <w:rsid w:val="00F44DAE"/>
    <w:rsid w:val="00F45432"/>
    <w:rsid w:val="00F45914"/>
    <w:rsid w:val="00F45983"/>
    <w:rsid w:val="00F45AA2"/>
    <w:rsid w:val="00F45D2C"/>
    <w:rsid w:val="00F45DA5"/>
    <w:rsid w:val="00F45E80"/>
    <w:rsid w:val="00F4634E"/>
    <w:rsid w:val="00F466D6"/>
    <w:rsid w:val="00F467DC"/>
    <w:rsid w:val="00F46ACB"/>
    <w:rsid w:val="00F46B8D"/>
    <w:rsid w:val="00F46E85"/>
    <w:rsid w:val="00F46FA1"/>
    <w:rsid w:val="00F471C2"/>
    <w:rsid w:val="00F47378"/>
    <w:rsid w:val="00F4758D"/>
    <w:rsid w:val="00F477DA"/>
    <w:rsid w:val="00F47AAB"/>
    <w:rsid w:val="00F503CA"/>
    <w:rsid w:val="00F50A39"/>
    <w:rsid w:val="00F50A8D"/>
    <w:rsid w:val="00F50BE5"/>
    <w:rsid w:val="00F50C89"/>
    <w:rsid w:val="00F50CB3"/>
    <w:rsid w:val="00F50D4A"/>
    <w:rsid w:val="00F512D0"/>
    <w:rsid w:val="00F51329"/>
    <w:rsid w:val="00F519FD"/>
    <w:rsid w:val="00F51BF4"/>
    <w:rsid w:val="00F52267"/>
    <w:rsid w:val="00F52ADF"/>
    <w:rsid w:val="00F52E0F"/>
    <w:rsid w:val="00F53402"/>
    <w:rsid w:val="00F53500"/>
    <w:rsid w:val="00F5376E"/>
    <w:rsid w:val="00F53BF9"/>
    <w:rsid w:val="00F53CA7"/>
    <w:rsid w:val="00F53DD2"/>
    <w:rsid w:val="00F53F0E"/>
    <w:rsid w:val="00F53FF0"/>
    <w:rsid w:val="00F54136"/>
    <w:rsid w:val="00F54781"/>
    <w:rsid w:val="00F548C6"/>
    <w:rsid w:val="00F54AB6"/>
    <w:rsid w:val="00F54C4E"/>
    <w:rsid w:val="00F55223"/>
    <w:rsid w:val="00F553A3"/>
    <w:rsid w:val="00F5592E"/>
    <w:rsid w:val="00F55D0A"/>
    <w:rsid w:val="00F55EAB"/>
    <w:rsid w:val="00F56049"/>
    <w:rsid w:val="00F561F0"/>
    <w:rsid w:val="00F56A94"/>
    <w:rsid w:val="00F56AC8"/>
    <w:rsid w:val="00F56E1A"/>
    <w:rsid w:val="00F56E41"/>
    <w:rsid w:val="00F56EFF"/>
    <w:rsid w:val="00F573A3"/>
    <w:rsid w:val="00F57614"/>
    <w:rsid w:val="00F5792F"/>
    <w:rsid w:val="00F57FD1"/>
    <w:rsid w:val="00F57FDA"/>
    <w:rsid w:val="00F60122"/>
    <w:rsid w:val="00F602A7"/>
    <w:rsid w:val="00F603BA"/>
    <w:rsid w:val="00F6055D"/>
    <w:rsid w:val="00F609F1"/>
    <w:rsid w:val="00F60A1A"/>
    <w:rsid w:val="00F60CBF"/>
    <w:rsid w:val="00F60D14"/>
    <w:rsid w:val="00F60DF7"/>
    <w:rsid w:val="00F61628"/>
    <w:rsid w:val="00F61936"/>
    <w:rsid w:val="00F61A7F"/>
    <w:rsid w:val="00F61D8F"/>
    <w:rsid w:val="00F61E96"/>
    <w:rsid w:val="00F61F2E"/>
    <w:rsid w:val="00F62C1F"/>
    <w:rsid w:val="00F63219"/>
    <w:rsid w:val="00F63376"/>
    <w:rsid w:val="00F63505"/>
    <w:rsid w:val="00F6380E"/>
    <w:rsid w:val="00F63C2E"/>
    <w:rsid w:val="00F63D76"/>
    <w:rsid w:val="00F63E5D"/>
    <w:rsid w:val="00F6453F"/>
    <w:rsid w:val="00F6467F"/>
    <w:rsid w:val="00F6489E"/>
    <w:rsid w:val="00F64B48"/>
    <w:rsid w:val="00F64B55"/>
    <w:rsid w:val="00F64D47"/>
    <w:rsid w:val="00F65334"/>
    <w:rsid w:val="00F653C0"/>
    <w:rsid w:val="00F65966"/>
    <w:rsid w:val="00F65967"/>
    <w:rsid w:val="00F66702"/>
    <w:rsid w:val="00F66877"/>
    <w:rsid w:val="00F66F87"/>
    <w:rsid w:val="00F6713D"/>
    <w:rsid w:val="00F672C7"/>
    <w:rsid w:val="00F673DE"/>
    <w:rsid w:val="00F676C7"/>
    <w:rsid w:val="00F67949"/>
    <w:rsid w:val="00F67992"/>
    <w:rsid w:val="00F67A0C"/>
    <w:rsid w:val="00F7003D"/>
    <w:rsid w:val="00F70434"/>
    <w:rsid w:val="00F707AA"/>
    <w:rsid w:val="00F707C1"/>
    <w:rsid w:val="00F7094C"/>
    <w:rsid w:val="00F711C4"/>
    <w:rsid w:val="00F715F7"/>
    <w:rsid w:val="00F71614"/>
    <w:rsid w:val="00F71839"/>
    <w:rsid w:val="00F71917"/>
    <w:rsid w:val="00F71C5C"/>
    <w:rsid w:val="00F71D44"/>
    <w:rsid w:val="00F72596"/>
    <w:rsid w:val="00F727AA"/>
    <w:rsid w:val="00F72A75"/>
    <w:rsid w:val="00F72CBF"/>
    <w:rsid w:val="00F735FF"/>
    <w:rsid w:val="00F73804"/>
    <w:rsid w:val="00F73830"/>
    <w:rsid w:val="00F7385B"/>
    <w:rsid w:val="00F73EEF"/>
    <w:rsid w:val="00F73F34"/>
    <w:rsid w:val="00F74289"/>
    <w:rsid w:val="00F7439A"/>
    <w:rsid w:val="00F747B3"/>
    <w:rsid w:val="00F748B3"/>
    <w:rsid w:val="00F7493A"/>
    <w:rsid w:val="00F749B8"/>
    <w:rsid w:val="00F74C67"/>
    <w:rsid w:val="00F75411"/>
    <w:rsid w:val="00F754B2"/>
    <w:rsid w:val="00F7584A"/>
    <w:rsid w:val="00F758F6"/>
    <w:rsid w:val="00F75C45"/>
    <w:rsid w:val="00F75CDE"/>
    <w:rsid w:val="00F76B96"/>
    <w:rsid w:val="00F7716F"/>
    <w:rsid w:val="00F771B5"/>
    <w:rsid w:val="00F77F34"/>
    <w:rsid w:val="00F77F6F"/>
    <w:rsid w:val="00F80686"/>
    <w:rsid w:val="00F80A2F"/>
    <w:rsid w:val="00F813A7"/>
    <w:rsid w:val="00F817CE"/>
    <w:rsid w:val="00F81898"/>
    <w:rsid w:val="00F81C83"/>
    <w:rsid w:val="00F81F1A"/>
    <w:rsid w:val="00F820F8"/>
    <w:rsid w:val="00F82258"/>
    <w:rsid w:val="00F8287E"/>
    <w:rsid w:val="00F828D3"/>
    <w:rsid w:val="00F82BBA"/>
    <w:rsid w:val="00F830B2"/>
    <w:rsid w:val="00F832DE"/>
    <w:rsid w:val="00F83611"/>
    <w:rsid w:val="00F8365C"/>
    <w:rsid w:val="00F83714"/>
    <w:rsid w:val="00F83BA0"/>
    <w:rsid w:val="00F83BC7"/>
    <w:rsid w:val="00F83FA5"/>
    <w:rsid w:val="00F8406B"/>
    <w:rsid w:val="00F841B7"/>
    <w:rsid w:val="00F841F6"/>
    <w:rsid w:val="00F84400"/>
    <w:rsid w:val="00F8478F"/>
    <w:rsid w:val="00F84807"/>
    <w:rsid w:val="00F8483D"/>
    <w:rsid w:val="00F84F67"/>
    <w:rsid w:val="00F85AA1"/>
    <w:rsid w:val="00F85B15"/>
    <w:rsid w:val="00F85B7E"/>
    <w:rsid w:val="00F85EC5"/>
    <w:rsid w:val="00F8610E"/>
    <w:rsid w:val="00F861A6"/>
    <w:rsid w:val="00F861B4"/>
    <w:rsid w:val="00F8625D"/>
    <w:rsid w:val="00F86904"/>
    <w:rsid w:val="00F86B3C"/>
    <w:rsid w:val="00F86C8C"/>
    <w:rsid w:val="00F870A8"/>
    <w:rsid w:val="00F870C9"/>
    <w:rsid w:val="00F87239"/>
    <w:rsid w:val="00F87418"/>
    <w:rsid w:val="00F877B3"/>
    <w:rsid w:val="00F87CD1"/>
    <w:rsid w:val="00F9031E"/>
    <w:rsid w:val="00F90635"/>
    <w:rsid w:val="00F90D49"/>
    <w:rsid w:val="00F90E7F"/>
    <w:rsid w:val="00F90F03"/>
    <w:rsid w:val="00F91A36"/>
    <w:rsid w:val="00F91B1D"/>
    <w:rsid w:val="00F91B96"/>
    <w:rsid w:val="00F92064"/>
    <w:rsid w:val="00F92F02"/>
    <w:rsid w:val="00F934B2"/>
    <w:rsid w:val="00F941D3"/>
    <w:rsid w:val="00F943AF"/>
    <w:rsid w:val="00F943F1"/>
    <w:rsid w:val="00F948A2"/>
    <w:rsid w:val="00F94EC2"/>
    <w:rsid w:val="00F94F9F"/>
    <w:rsid w:val="00F9527A"/>
    <w:rsid w:val="00F95B7A"/>
    <w:rsid w:val="00F95D19"/>
    <w:rsid w:val="00F95DDC"/>
    <w:rsid w:val="00F9607D"/>
    <w:rsid w:val="00F96382"/>
    <w:rsid w:val="00F96D51"/>
    <w:rsid w:val="00F97499"/>
    <w:rsid w:val="00F97A85"/>
    <w:rsid w:val="00F97D1C"/>
    <w:rsid w:val="00F97D24"/>
    <w:rsid w:val="00F97DDA"/>
    <w:rsid w:val="00FA044C"/>
    <w:rsid w:val="00FA0903"/>
    <w:rsid w:val="00FA0B1F"/>
    <w:rsid w:val="00FA14B2"/>
    <w:rsid w:val="00FA15D1"/>
    <w:rsid w:val="00FA1734"/>
    <w:rsid w:val="00FA174C"/>
    <w:rsid w:val="00FA1BF4"/>
    <w:rsid w:val="00FA1DD4"/>
    <w:rsid w:val="00FA1E28"/>
    <w:rsid w:val="00FA1F7B"/>
    <w:rsid w:val="00FA1FB2"/>
    <w:rsid w:val="00FA238B"/>
    <w:rsid w:val="00FA24D1"/>
    <w:rsid w:val="00FA27BA"/>
    <w:rsid w:val="00FA28E4"/>
    <w:rsid w:val="00FA29EA"/>
    <w:rsid w:val="00FA326D"/>
    <w:rsid w:val="00FA3957"/>
    <w:rsid w:val="00FA3A92"/>
    <w:rsid w:val="00FA3B71"/>
    <w:rsid w:val="00FA3F48"/>
    <w:rsid w:val="00FA44E5"/>
    <w:rsid w:val="00FA508F"/>
    <w:rsid w:val="00FA5283"/>
    <w:rsid w:val="00FA5760"/>
    <w:rsid w:val="00FA59ED"/>
    <w:rsid w:val="00FA5F7A"/>
    <w:rsid w:val="00FA62F3"/>
    <w:rsid w:val="00FA65B2"/>
    <w:rsid w:val="00FA65C3"/>
    <w:rsid w:val="00FA6885"/>
    <w:rsid w:val="00FA6BB4"/>
    <w:rsid w:val="00FA6CA2"/>
    <w:rsid w:val="00FA6F72"/>
    <w:rsid w:val="00FA6F77"/>
    <w:rsid w:val="00FA7136"/>
    <w:rsid w:val="00FA7680"/>
    <w:rsid w:val="00FA795A"/>
    <w:rsid w:val="00FA7AB5"/>
    <w:rsid w:val="00FA7C81"/>
    <w:rsid w:val="00FB0212"/>
    <w:rsid w:val="00FB038B"/>
    <w:rsid w:val="00FB0643"/>
    <w:rsid w:val="00FB064B"/>
    <w:rsid w:val="00FB09BB"/>
    <w:rsid w:val="00FB0F67"/>
    <w:rsid w:val="00FB1874"/>
    <w:rsid w:val="00FB1B48"/>
    <w:rsid w:val="00FB1D18"/>
    <w:rsid w:val="00FB2203"/>
    <w:rsid w:val="00FB221D"/>
    <w:rsid w:val="00FB2470"/>
    <w:rsid w:val="00FB2663"/>
    <w:rsid w:val="00FB2A46"/>
    <w:rsid w:val="00FB2A7B"/>
    <w:rsid w:val="00FB2E6A"/>
    <w:rsid w:val="00FB33EA"/>
    <w:rsid w:val="00FB3938"/>
    <w:rsid w:val="00FB3B64"/>
    <w:rsid w:val="00FB3C6E"/>
    <w:rsid w:val="00FB3EA4"/>
    <w:rsid w:val="00FB447F"/>
    <w:rsid w:val="00FB4904"/>
    <w:rsid w:val="00FB4CAE"/>
    <w:rsid w:val="00FB4CB9"/>
    <w:rsid w:val="00FB4D05"/>
    <w:rsid w:val="00FB529F"/>
    <w:rsid w:val="00FB5F53"/>
    <w:rsid w:val="00FB6270"/>
    <w:rsid w:val="00FB6274"/>
    <w:rsid w:val="00FB62B9"/>
    <w:rsid w:val="00FB6302"/>
    <w:rsid w:val="00FB647E"/>
    <w:rsid w:val="00FB67AC"/>
    <w:rsid w:val="00FB67E7"/>
    <w:rsid w:val="00FB6BF0"/>
    <w:rsid w:val="00FC0013"/>
    <w:rsid w:val="00FC0210"/>
    <w:rsid w:val="00FC1209"/>
    <w:rsid w:val="00FC14BB"/>
    <w:rsid w:val="00FC16D6"/>
    <w:rsid w:val="00FC17AF"/>
    <w:rsid w:val="00FC1A7C"/>
    <w:rsid w:val="00FC1C48"/>
    <w:rsid w:val="00FC1D16"/>
    <w:rsid w:val="00FC227E"/>
    <w:rsid w:val="00FC2466"/>
    <w:rsid w:val="00FC27BD"/>
    <w:rsid w:val="00FC2896"/>
    <w:rsid w:val="00FC28F5"/>
    <w:rsid w:val="00FC2B13"/>
    <w:rsid w:val="00FC2C6E"/>
    <w:rsid w:val="00FC32FF"/>
    <w:rsid w:val="00FC3371"/>
    <w:rsid w:val="00FC3425"/>
    <w:rsid w:val="00FC3646"/>
    <w:rsid w:val="00FC3F83"/>
    <w:rsid w:val="00FC40D4"/>
    <w:rsid w:val="00FC452A"/>
    <w:rsid w:val="00FC4615"/>
    <w:rsid w:val="00FC4CFA"/>
    <w:rsid w:val="00FC525A"/>
    <w:rsid w:val="00FC53E1"/>
    <w:rsid w:val="00FC58B1"/>
    <w:rsid w:val="00FC67C2"/>
    <w:rsid w:val="00FC7214"/>
    <w:rsid w:val="00FC74DB"/>
    <w:rsid w:val="00FC7BF9"/>
    <w:rsid w:val="00FC7C8C"/>
    <w:rsid w:val="00FC7F77"/>
    <w:rsid w:val="00FD026A"/>
    <w:rsid w:val="00FD0483"/>
    <w:rsid w:val="00FD0600"/>
    <w:rsid w:val="00FD0627"/>
    <w:rsid w:val="00FD103A"/>
    <w:rsid w:val="00FD1088"/>
    <w:rsid w:val="00FD1107"/>
    <w:rsid w:val="00FD1168"/>
    <w:rsid w:val="00FD1364"/>
    <w:rsid w:val="00FD15B4"/>
    <w:rsid w:val="00FD1F2C"/>
    <w:rsid w:val="00FD2509"/>
    <w:rsid w:val="00FD2712"/>
    <w:rsid w:val="00FD2965"/>
    <w:rsid w:val="00FD2A50"/>
    <w:rsid w:val="00FD2FB8"/>
    <w:rsid w:val="00FD3511"/>
    <w:rsid w:val="00FD373F"/>
    <w:rsid w:val="00FD395E"/>
    <w:rsid w:val="00FD3A5B"/>
    <w:rsid w:val="00FD3EC7"/>
    <w:rsid w:val="00FD4307"/>
    <w:rsid w:val="00FD44D8"/>
    <w:rsid w:val="00FD44DC"/>
    <w:rsid w:val="00FD4B2C"/>
    <w:rsid w:val="00FD4C03"/>
    <w:rsid w:val="00FD5724"/>
    <w:rsid w:val="00FD598D"/>
    <w:rsid w:val="00FD5AFD"/>
    <w:rsid w:val="00FD5B2C"/>
    <w:rsid w:val="00FD600B"/>
    <w:rsid w:val="00FD605E"/>
    <w:rsid w:val="00FD60DD"/>
    <w:rsid w:val="00FD6285"/>
    <w:rsid w:val="00FD63DD"/>
    <w:rsid w:val="00FD65A6"/>
    <w:rsid w:val="00FD6BF9"/>
    <w:rsid w:val="00FD6EC7"/>
    <w:rsid w:val="00FD75B1"/>
    <w:rsid w:val="00FD786B"/>
    <w:rsid w:val="00FD78B9"/>
    <w:rsid w:val="00FD7B74"/>
    <w:rsid w:val="00FE0181"/>
    <w:rsid w:val="00FE0A23"/>
    <w:rsid w:val="00FE0ACA"/>
    <w:rsid w:val="00FE10B8"/>
    <w:rsid w:val="00FE1205"/>
    <w:rsid w:val="00FE17DD"/>
    <w:rsid w:val="00FE1C35"/>
    <w:rsid w:val="00FE1F9A"/>
    <w:rsid w:val="00FE1FCD"/>
    <w:rsid w:val="00FE299B"/>
    <w:rsid w:val="00FE2B47"/>
    <w:rsid w:val="00FE3387"/>
    <w:rsid w:val="00FE339B"/>
    <w:rsid w:val="00FE33D9"/>
    <w:rsid w:val="00FE3928"/>
    <w:rsid w:val="00FE397D"/>
    <w:rsid w:val="00FE3F9B"/>
    <w:rsid w:val="00FE40CA"/>
    <w:rsid w:val="00FE4187"/>
    <w:rsid w:val="00FE4201"/>
    <w:rsid w:val="00FE43F9"/>
    <w:rsid w:val="00FE4777"/>
    <w:rsid w:val="00FE498A"/>
    <w:rsid w:val="00FE4D34"/>
    <w:rsid w:val="00FE590F"/>
    <w:rsid w:val="00FE5D5E"/>
    <w:rsid w:val="00FE6994"/>
    <w:rsid w:val="00FE7105"/>
    <w:rsid w:val="00FE732F"/>
    <w:rsid w:val="00FE74F7"/>
    <w:rsid w:val="00FE762E"/>
    <w:rsid w:val="00FE7864"/>
    <w:rsid w:val="00FE7874"/>
    <w:rsid w:val="00FE7CB4"/>
    <w:rsid w:val="00FE7F3E"/>
    <w:rsid w:val="00FE7FF5"/>
    <w:rsid w:val="00FF00D3"/>
    <w:rsid w:val="00FF01EF"/>
    <w:rsid w:val="00FF0361"/>
    <w:rsid w:val="00FF0476"/>
    <w:rsid w:val="00FF09E2"/>
    <w:rsid w:val="00FF09F3"/>
    <w:rsid w:val="00FF0BEE"/>
    <w:rsid w:val="00FF0D42"/>
    <w:rsid w:val="00FF0FFC"/>
    <w:rsid w:val="00FF1307"/>
    <w:rsid w:val="00FF1357"/>
    <w:rsid w:val="00FF168B"/>
    <w:rsid w:val="00FF1B9E"/>
    <w:rsid w:val="00FF1E25"/>
    <w:rsid w:val="00FF231E"/>
    <w:rsid w:val="00FF3423"/>
    <w:rsid w:val="00FF3440"/>
    <w:rsid w:val="00FF34C5"/>
    <w:rsid w:val="00FF3A5A"/>
    <w:rsid w:val="00FF3CF4"/>
    <w:rsid w:val="00FF3EA9"/>
    <w:rsid w:val="00FF3EB6"/>
    <w:rsid w:val="00FF4232"/>
    <w:rsid w:val="00FF4601"/>
    <w:rsid w:val="00FF47A3"/>
    <w:rsid w:val="00FF4A6E"/>
    <w:rsid w:val="00FF503A"/>
    <w:rsid w:val="00FF5279"/>
    <w:rsid w:val="00FF56CD"/>
    <w:rsid w:val="00FF5E96"/>
    <w:rsid w:val="00FF61A6"/>
    <w:rsid w:val="00FF64A8"/>
    <w:rsid w:val="00FF67B6"/>
    <w:rsid w:val="00FF6E9C"/>
    <w:rsid w:val="00FF6EAC"/>
    <w:rsid w:val="00FF752A"/>
    <w:rsid w:val="00FF768A"/>
    <w:rsid w:val="00FF7817"/>
    <w:rsid w:val="00FF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49D3"/>
  <w14:defaultImageDpi w14:val="32767"/>
  <w15:chartTrackingRefBased/>
  <w15:docId w15:val="{ECF00ACD-FBC3-7941-9FC9-E97DBBB1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5F53"/>
    <w:rPr>
      <w:rFonts w:ascii="Times New Roman" w:eastAsia="Times New Roman" w:hAnsi="Times New Roman" w:cs="Times New Roman"/>
      <w:lang w:val="en-ES" w:eastAsia="en-GB"/>
    </w:rPr>
  </w:style>
  <w:style w:type="paragraph" w:styleId="Heading1">
    <w:name w:val="heading 1"/>
    <w:basedOn w:val="Normal"/>
    <w:next w:val="Normal"/>
    <w:link w:val="Heading1Char"/>
    <w:uiPriority w:val="9"/>
    <w:qFormat/>
    <w:rsid w:val="00F749B8"/>
    <w:pPr>
      <w:keepNext/>
      <w:keepLines/>
      <w:spacing w:before="24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semiHidden/>
    <w:unhideWhenUsed/>
    <w:qFormat/>
    <w:rsid w:val="00F749B8"/>
    <w:pPr>
      <w:keepNext/>
      <w:keepLines/>
      <w:spacing w:before="40"/>
      <w:outlineLvl w:val="1"/>
    </w:pPr>
    <w:rPr>
      <w:rFonts w:asciiTheme="majorHAnsi" w:eastAsiaTheme="majorEastAsia" w:hAnsiTheme="majorHAnsi" w:cstheme="majorBidi"/>
      <w:color w:val="2E74B5" w:themeColor="accent1" w:themeShade="BF"/>
      <w:sz w:val="26"/>
      <w:szCs w:val="26"/>
      <w:lang w:val="en-GB"/>
    </w:rPr>
  </w:style>
  <w:style w:type="paragraph" w:styleId="Heading4">
    <w:name w:val="heading 4"/>
    <w:basedOn w:val="Normal"/>
    <w:link w:val="Heading4Char"/>
    <w:uiPriority w:val="9"/>
    <w:qFormat/>
    <w:rsid w:val="00965411"/>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9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749B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749B8"/>
    <w:pPr>
      <w:ind w:left="720"/>
      <w:contextualSpacing/>
    </w:pPr>
    <w:rPr>
      <w:rFonts w:asciiTheme="minorHAnsi" w:eastAsiaTheme="minorHAnsi" w:hAnsiTheme="minorHAnsi" w:cstheme="minorBidi"/>
      <w:lang w:val="en-GB"/>
    </w:rPr>
  </w:style>
  <w:style w:type="character" w:styleId="CommentReference">
    <w:name w:val="annotation reference"/>
    <w:basedOn w:val="DefaultParagraphFont"/>
    <w:uiPriority w:val="99"/>
    <w:semiHidden/>
    <w:unhideWhenUsed/>
    <w:rsid w:val="00F749B8"/>
    <w:rPr>
      <w:sz w:val="16"/>
      <w:szCs w:val="16"/>
    </w:rPr>
  </w:style>
  <w:style w:type="paragraph" w:styleId="CommentText">
    <w:name w:val="annotation text"/>
    <w:basedOn w:val="Normal"/>
    <w:link w:val="CommentTextChar"/>
    <w:uiPriority w:val="99"/>
    <w:unhideWhenUsed/>
    <w:rsid w:val="00F749B8"/>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F749B8"/>
    <w:rPr>
      <w:sz w:val="20"/>
      <w:szCs w:val="20"/>
    </w:rPr>
  </w:style>
  <w:style w:type="paragraph" w:styleId="CommentSubject">
    <w:name w:val="annotation subject"/>
    <w:basedOn w:val="CommentText"/>
    <w:next w:val="CommentText"/>
    <w:link w:val="CommentSubjectChar"/>
    <w:uiPriority w:val="99"/>
    <w:semiHidden/>
    <w:unhideWhenUsed/>
    <w:rsid w:val="00F749B8"/>
    <w:rPr>
      <w:b/>
      <w:bCs/>
    </w:rPr>
  </w:style>
  <w:style w:type="character" w:customStyle="1" w:styleId="CommentSubjectChar">
    <w:name w:val="Comment Subject Char"/>
    <w:basedOn w:val="CommentTextChar"/>
    <w:link w:val="CommentSubject"/>
    <w:uiPriority w:val="99"/>
    <w:semiHidden/>
    <w:rsid w:val="00F749B8"/>
    <w:rPr>
      <w:b/>
      <w:bCs/>
      <w:sz w:val="20"/>
      <w:szCs w:val="20"/>
    </w:rPr>
  </w:style>
  <w:style w:type="paragraph" w:styleId="BalloonText">
    <w:name w:val="Balloon Text"/>
    <w:basedOn w:val="Normal"/>
    <w:link w:val="BalloonTextChar"/>
    <w:uiPriority w:val="99"/>
    <w:semiHidden/>
    <w:unhideWhenUsed/>
    <w:rsid w:val="00F749B8"/>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F749B8"/>
    <w:rPr>
      <w:rFonts w:ascii="Segoe UI" w:hAnsi="Segoe UI" w:cs="Segoe UI"/>
      <w:sz w:val="18"/>
      <w:szCs w:val="18"/>
    </w:rPr>
  </w:style>
  <w:style w:type="paragraph" w:styleId="FootnoteText">
    <w:name w:val="footnote text"/>
    <w:basedOn w:val="Normal"/>
    <w:link w:val="FootnoteTextChar"/>
    <w:uiPriority w:val="99"/>
    <w:unhideWhenUsed/>
    <w:rsid w:val="00F749B8"/>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F749B8"/>
    <w:rPr>
      <w:sz w:val="20"/>
      <w:szCs w:val="20"/>
    </w:rPr>
  </w:style>
  <w:style w:type="character" w:styleId="FootnoteReference">
    <w:name w:val="footnote reference"/>
    <w:basedOn w:val="DefaultParagraphFont"/>
    <w:uiPriority w:val="99"/>
    <w:unhideWhenUsed/>
    <w:rsid w:val="00F749B8"/>
    <w:rPr>
      <w:vertAlign w:val="superscript"/>
    </w:rPr>
  </w:style>
  <w:style w:type="character" w:styleId="Hyperlink">
    <w:name w:val="Hyperlink"/>
    <w:basedOn w:val="DefaultParagraphFont"/>
    <w:uiPriority w:val="99"/>
    <w:unhideWhenUsed/>
    <w:rsid w:val="00F749B8"/>
    <w:rPr>
      <w:color w:val="0563C1" w:themeColor="hyperlink"/>
      <w:u w:val="single"/>
    </w:rPr>
  </w:style>
  <w:style w:type="paragraph" w:styleId="Header">
    <w:name w:val="header"/>
    <w:basedOn w:val="Normal"/>
    <w:link w:val="HeaderChar"/>
    <w:uiPriority w:val="99"/>
    <w:unhideWhenUsed/>
    <w:rsid w:val="00F749B8"/>
    <w:pPr>
      <w:tabs>
        <w:tab w:val="center" w:pos="4252"/>
        <w:tab w:val="right" w:pos="8504"/>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F749B8"/>
  </w:style>
  <w:style w:type="paragraph" w:styleId="Footer">
    <w:name w:val="footer"/>
    <w:basedOn w:val="Normal"/>
    <w:link w:val="FooterChar"/>
    <w:uiPriority w:val="99"/>
    <w:unhideWhenUsed/>
    <w:rsid w:val="00F749B8"/>
    <w:pPr>
      <w:tabs>
        <w:tab w:val="center" w:pos="4252"/>
        <w:tab w:val="right" w:pos="8504"/>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F749B8"/>
  </w:style>
  <w:style w:type="character" w:styleId="PageNumber">
    <w:name w:val="page number"/>
    <w:basedOn w:val="DefaultParagraphFont"/>
    <w:uiPriority w:val="99"/>
    <w:semiHidden/>
    <w:unhideWhenUsed/>
    <w:rsid w:val="00F749B8"/>
  </w:style>
  <w:style w:type="character" w:styleId="LineNumber">
    <w:name w:val="line number"/>
    <w:basedOn w:val="DefaultParagraphFont"/>
    <w:uiPriority w:val="99"/>
    <w:semiHidden/>
    <w:unhideWhenUsed/>
    <w:rsid w:val="00F749B8"/>
  </w:style>
  <w:style w:type="paragraph" w:styleId="DocumentMap">
    <w:name w:val="Document Map"/>
    <w:basedOn w:val="Normal"/>
    <w:link w:val="DocumentMapChar"/>
    <w:uiPriority w:val="99"/>
    <w:semiHidden/>
    <w:unhideWhenUsed/>
    <w:rsid w:val="00F749B8"/>
    <w:rPr>
      <w:rFonts w:eastAsiaTheme="minorHAnsi"/>
      <w:lang w:val="en-GB"/>
    </w:rPr>
  </w:style>
  <w:style w:type="character" w:customStyle="1" w:styleId="DocumentMapChar">
    <w:name w:val="Document Map Char"/>
    <w:basedOn w:val="DefaultParagraphFont"/>
    <w:link w:val="DocumentMap"/>
    <w:uiPriority w:val="99"/>
    <w:semiHidden/>
    <w:rsid w:val="00F749B8"/>
    <w:rPr>
      <w:rFonts w:ascii="Times New Roman" w:hAnsi="Times New Roman" w:cs="Times New Roman"/>
    </w:rPr>
  </w:style>
  <w:style w:type="paragraph" w:styleId="Revision">
    <w:name w:val="Revision"/>
    <w:hidden/>
    <w:uiPriority w:val="99"/>
    <w:semiHidden/>
    <w:rsid w:val="00F749B8"/>
  </w:style>
  <w:style w:type="paragraph" w:styleId="NormalWeb">
    <w:name w:val="Normal (Web)"/>
    <w:basedOn w:val="Normal"/>
    <w:uiPriority w:val="99"/>
    <w:semiHidden/>
    <w:unhideWhenUsed/>
    <w:rsid w:val="00BC0973"/>
    <w:rPr>
      <w:rFonts w:eastAsiaTheme="minorHAnsi"/>
      <w:lang w:val="en-GB"/>
    </w:rPr>
  </w:style>
  <w:style w:type="table" w:styleId="TableGrid">
    <w:name w:val="Table Grid"/>
    <w:basedOn w:val="TableNormal"/>
    <w:uiPriority w:val="39"/>
    <w:rsid w:val="006A0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
    <w:name w:val="Numbered"/>
    <w:rsid w:val="003964E4"/>
    <w:pPr>
      <w:numPr>
        <w:numId w:val="1"/>
      </w:numPr>
    </w:pPr>
  </w:style>
  <w:style w:type="numbering" w:customStyle="1" w:styleId="Lettered">
    <w:name w:val="Lettered"/>
    <w:rsid w:val="003964E4"/>
    <w:pPr>
      <w:numPr>
        <w:numId w:val="2"/>
      </w:numPr>
    </w:pPr>
  </w:style>
  <w:style w:type="numbering" w:customStyle="1" w:styleId="Harvard">
    <w:name w:val="Harvard"/>
    <w:rsid w:val="003964E4"/>
    <w:pPr>
      <w:numPr>
        <w:numId w:val="3"/>
      </w:numPr>
    </w:pPr>
  </w:style>
  <w:style w:type="paragraph" w:customStyle="1" w:styleId="c01pointnumerotealtn">
    <w:name w:val="c01pointnumerotealtn"/>
    <w:basedOn w:val="Normal"/>
    <w:rsid w:val="00145AA4"/>
    <w:pPr>
      <w:spacing w:before="100" w:beforeAutospacing="1" w:after="100" w:afterAutospacing="1"/>
    </w:pPr>
    <w:rPr>
      <w:rFonts w:eastAsiaTheme="minorHAnsi"/>
      <w:lang w:val="en-GB"/>
    </w:rPr>
  </w:style>
  <w:style w:type="character" w:styleId="EndnoteReference">
    <w:name w:val="endnote reference"/>
    <w:basedOn w:val="DefaultParagraphFont"/>
    <w:uiPriority w:val="99"/>
    <w:semiHidden/>
    <w:unhideWhenUsed/>
    <w:rsid w:val="00EF5D3E"/>
    <w:rPr>
      <w:vertAlign w:val="superscript"/>
    </w:rPr>
  </w:style>
  <w:style w:type="character" w:styleId="UnresolvedMention">
    <w:name w:val="Unresolved Mention"/>
    <w:basedOn w:val="DefaultParagraphFont"/>
    <w:uiPriority w:val="99"/>
    <w:rsid w:val="00787364"/>
    <w:rPr>
      <w:color w:val="605E5C"/>
      <w:shd w:val="clear" w:color="auto" w:fill="E1DFDD"/>
    </w:rPr>
  </w:style>
  <w:style w:type="character" w:styleId="FollowedHyperlink">
    <w:name w:val="FollowedHyperlink"/>
    <w:basedOn w:val="DefaultParagraphFont"/>
    <w:uiPriority w:val="99"/>
    <w:semiHidden/>
    <w:unhideWhenUsed/>
    <w:rsid w:val="008E6EDF"/>
    <w:rPr>
      <w:color w:val="954F72" w:themeColor="followedHyperlink"/>
      <w:u w:val="single"/>
    </w:rPr>
  </w:style>
  <w:style w:type="paragraph" w:customStyle="1" w:styleId="Default">
    <w:name w:val="Default"/>
    <w:rsid w:val="008478D3"/>
    <w:pPr>
      <w:autoSpaceDE w:val="0"/>
      <w:autoSpaceDN w:val="0"/>
      <w:adjustRightInd w:val="0"/>
    </w:pPr>
    <w:rPr>
      <w:rFonts w:ascii="Garamond" w:hAnsi="Garamond" w:cs="Garamond"/>
      <w:color w:val="000000"/>
      <w:lang w:val="en-US"/>
    </w:rPr>
  </w:style>
  <w:style w:type="character" w:customStyle="1" w:styleId="sspagshow">
    <w:name w:val="ss_pag_show"/>
    <w:basedOn w:val="DefaultParagraphFont"/>
    <w:rsid w:val="001A1EF0"/>
  </w:style>
  <w:style w:type="character" w:customStyle="1" w:styleId="ssit">
    <w:name w:val="ss_it"/>
    <w:basedOn w:val="DefaultParagraphFont"/>
    <w:rsid w:val="001A1EF0"/>
  </w:style>
  <w:style w:type="character" w:customStyle="1" w:styleId="hit">
    <w:name w:val="hit"/>
    <w:basedOn w:val="DefaultParagraphFont"/>
    <w:rsid w:val="00AE2549"/>
  </w:style>
  <w:style w:type="character" w:customStyle="1" w:styleId="pnum">
    <w:name w:val="pnum"/>
    <w:basedOn w:val="DefaultParagraphFont"/>
    <w:rsid w:val="008920AC"/>
  </w:style>
  <w:style w:type="paragraph" w:customStyle="1" w:styleId="CM8">
    <w:name w:val="CM8"/>
    <w:basedOn w:val="Default"/>
    <w:next w:val="Default"/>
    <w:uiPriority w:val="99"/>
    <w:rsid w:val="00E951DB"/>
    <w:pPr>
      <w:spacing w:line="266" w:lineRule="atLeast"/>
    </w:pPr>
    <w:rPr>
      <w:rFonts w:ascii="Century Schoolbook" w:hAnsi="Century Schoolbook" w:cstheme="minorBidi"/>
      <w:color w:val="auto"/>
      <w:lang w:val="en-GB"/>
    </w:rPr>
  </w:style>
  <w:style w:type="paragraph" w:customStyle="1" w:styleId="s30eec3f8">
    <w:name w:val="s30eec3f8"/>
    <w:basedOn w:val="Normal"/>
    <w:rsid w:val="006E7BEC"/>
    <w:pPr>
      <w:spacing w:before="100" w:beforeAutospacing="1" w:after="100" w:afterAutospacing="1"/>
    </w:pPr>
  </w:style>
  <w:style w:type="character" w:customStyle="1" w:styleId="sb8d990e2">
    <w:name w:val="sb8d990e2"/>
    <w:basedOn w:val="DefaultParagraphFont"/>
    <w:rsid w:val="006E7BEC"/>
  </w:style>
  <w:style w:type="character" w:customStyle="1" w:styleId="s6b621b36">
    <w:name w:val="s6b621b36"/>
    <w:basedOn w:val="DefaultParagraphFont"/>
    <w:rsid w:val="006E7BEC"/>
  </w:style>
  <w:style w:type="character" w:customStyle="1" w:styleId="Heading4Char">
    <w:name w:val="Heading 4 Char"/>
    <w:basedOn w:val="DefaultParagraphFont"/>
    <w:link w:val="Heading4"/>
    <w:uiPriority w:val="9"/>
    <w:rsid w:val="00965411"/>
    <w:rPr>
      <w:rFonts w:ascii="Times New Roman" w:eastAsia="Times New Roman" w:hAnsi="Times New Roman" w:cs="Times New Roman"/>
      <w:b/>
      <w:bCs/>
      <w:lang w:val="es-ES" w:eastAsia="en-GB"/>
    </w:rPr>
  </w:style>
  <w:style w:type="character" w:customStyle="1" w:styleId="wordhighlighted">
    <w:name w:val="wordhighlighted"/>
    <w:basedOn w:val="DefaultParagraphFont"/>
    <w:rsid w:val="00B13AA5"/>
  </w:style>
  <w:style w:type="character" w:customStyle="1" w:styleId="apple-converted-space">
    <w:name w:val="apple-converted-space"/>
    <w:basedOn w:val="DefaultParagraphFont"/>
    <w:rsid w:val="0012201E"/>
  </w:style>
  <w:style w:type="paragraph" w:styleId="Bibliography">
    <w:name w:val="Bibliography"/>
    <w:basedOn w:val="Normal"/>
    <w:next w:val="Normal"/>
    <w:uiPriority w:val="37"/>
    <w:semiHidden/>
    <w:unhideWhenUsed/>
    <w:rsid w:val="00E5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092">
      <w:bodyDiv w:val="1"/>
      <w:marLeft w:val="0"/>
      <w:marRight w:val="0"/>
      <w:marTop w:val="0"/>
      <w:marBottom w:val="0"/>
      <w:divBdr>
        <w:top w:val="none" w:sz="0" w:space="0" w:color="auto"/>
        <w:left w:val="none" w:sz="0" w:space="0" w:color="auto"/>
        <w:bottom w:val="none" w:sz="0" w:space="0" w:color="auto"/>
        <w:right w:val="none" w:sz="0" w:space="0" w:color="auto"/>
      </w:divBdr>
    </w:div>
    <w:div w:id="21051529">
      <w:bodyDiv w:val="1"/>
      <w:marLeft w:val="0"/>
      <w:marRight w:val="0"/>
      <w:marTop w:val="0"/>
      <w:marBottom w:val="0"/>
      <w:divBdr>
        <w:top w:val="none" w:sz="0" w:space="0" w:color="auto"/>
        <w:left w:val="none" w:sz="0" w:space="0" w:color="auto"/>
        <w:bottom w:val="none" w:sz="0" w:space="0" w:color="auto"/>
        <w:right w:val="none" w:sz="0" w:space="0" w:color="auto"/>
      </w:divBdr>
    </w:div>
    <w:div w:id="26952880">
      <w:bodyDiv w:val="1"/>
      <w:marLeft w:val="0"/>
      <w:marRight w:val="0"/>
      <w:marTop w:val="0"/>
      <w:marBottom w:val="0"/>
      <w:divBdr>
        <w:top w:val="none" w:sz="0" w:space="0" w:color="auto"/>
        <w:left w:val="none" w:sz="0" w:space="0" w:color="auto"/>
        <w:bottom w:val="none" w:sz="0" w:space="0" w:color="auto"/>
        <w:right w:val="none" w:sz="0" w:space="0" w:color="auto"/>
      </w:divBdr>
    </w:div>
    <w:div w:id="27071325">
      <w:bodyDiv w:val="1"/>
      <w:marLeft w:val="0"/>
      <w:marRight w:val="0"/>
      <w:marTop w:val="0"/>
      <w:marBottom w:val="0"/>
      <w:divBdr>
        <w:top w:val="none" w:sz="0" w:space="0" w:color="auto"/>
        <w:left w:val="none" w:sz="0" w:space="0" w:color="auto"/>
        <w:bottom w:val="none" w:sz="0" w:space="0" w:color="auto"/>
        <w:right w:val="none" w:sz="0" w:space="0" w:color="auto"/>
      </w:divBdr>
    </w:div>
    <w:div w:id="41099843">
      <w:bodyDiv w:val="1"/>
      <w:marLeft w:val="0"/>
      <w:marRight w:val="0"/>
      <w:marTop w:val="0"/>
      <w:marBottom w:val="0"/>
      <w:divBdr>
        <w:top w:val="none" w:sz="0" w:space="0" w:color="auto"/>
        <w:left w:val="none" w:sz="0" w:space="0" w:color="auto"/>
        <w:bottom w:val="none" w:sz="0" w:space="0" w:color="auto"/>
        <w:right w:val="none" w:sz="0" w:space="0" w:color="auto"/>
      </w:divBdr>
    </w:div>
    <w:div w:id="47998135">
      <w:bodyDiv w:val="1"/>
      <w:marLeft w:val="0"/>
      <w:marRight w:val="0"/>
      <w:marTop w:val="0"/>
      <w:marBottom w:val="0"/>
      <w:divBdr>
        <w:top w:val="none" w:sz="0" w:space="0" w:color="auto"/>
        <w:left w:val="none" w:sz="0" w:space="0" w:color="auto"/>
        <w:bottom w:val="none" w:sz="0" w:space="0" w:color="auto"/>
        <w:right w:val="none" w:sz="0" w:space="0" w:color="auto"/>
      </w:divBdr>
    </w:div>
    <w:div w:id="55319034">
      <w:bodyDiv w:val="1"/>
      <w:marLeft w:val="0"/>
      <w:marRight w:val="0"/>
      <w:marTop w:val="0"/>
      <w:marBottom w:val="0"/>
      <w:divBdr>
        <w:top w:val="none" w:sz="0" w:space="0" w:color="auto"/>
        <w:left w:val="none" w:sz="0" w:space="0" w:color="auto"/>
        <w:bottom w:val="none" w:sz="0" w:space="0" w:color="auto"/>
        <w:right w:val="none" w:sz="0" w:space="0" w:color="auto"/>
      </w:divBdr>
    </w:div>
    <w:div w:id="59328024">
      <w:bodyDiv w:val="1"/>
      <w:marLeft w:val="0"/>
      <w:marRight w:val="0"/>
      <w:marTop w:val="0"/>
      <w:marBottom w:val="0"/>
      <w:divBdr>
        <w:top w:val="none" w:sz="0" w:space="0" w:color="auto"/>
        <w:left w:val="none" w:sz="0" w:space="0" w:color="auto"/>
        <w:bottom w:val="none" w:sz="0" w:space="0" w:color="auto"/>
        <w:right w:val="none" w:sz="0" w:space="0" w:color="auto"/>
      </w:divBdr>
    </w:div>
    <w:div w:id="60716620">
      <w:bodyDiv w:val="1"/>
      <w:marLeft w:val="0"/>
      <w:marRight w:val="0"/>
      <w:marTop w:val="0"/>
      <w:marBottom w:val="0"/>
      <w:divBdr>
        <w:top w:val="none" w:sz="0" w:space="0" w:color="auto"/>
        <w:left w:val="none" w:sz="0" w:space="0" w:color="auto"/>
        <w:bottom w:val="none" w:sz="0" w:space="0" w:color="auto"/>
        <w:right w:val="none" w:sz="0" w:space="0" w:color="auto"/>
      </w:divBdr>
    </w:div>
    <w:div w:id="68844166">
      <w:bodyDiv w:val="1"/>
      <w:marLeft w:val="0"/>
      <w:marRight w:val="0"/>
      <w:marTop w:val="0"/>
      <w:marBottom w:val="0"/>
      <w:divBdr>
        <w:top w:val="none" w:sz="0" w:space="0" w:color="auto"/>
        <w:left w:val="none" w:sz="0" w:space="0" w:color="auto"/>
        <w:bottom w:val="none" w:sz="0" w:space="0" w:color="auto"/>
        <w:right w:val="none" w:sz="0" w:space="0" w:color="auto"/>
      </w:divBdr>
      <w:divsChild>
        <w:div w:id="459693534">
          <w:marLeft w:val="0"/>
          <w:marRight w:val="0"/>
          <w:marTop w:val="0"/>
          <w:marBottom w:val="0"/>
          <w:divBdr>
            <w:top w:val="none" w:sz="0" w:space="0" w:color="auto"/>
            <w:left w:val="none" w:sz="0" w:space="0" w:color="auto"/>
            <w:bottom w:val="none" w:sz="0" w:space="0" w:color="auto"/>
            <w:right w:val="none" w:sz="0" w:space="0" w:color="auto"/>
          </w:divBdr>
        </w:div>
        <w:div w:id="670716757">
          <w:marLeft w:val="0"/>
          <w:marRight w:val="0"/>
          <w:marTop w:val="0"/>
          <w:marBottom w:val="0"/>
          <w:divBdr>
            <w:top w:val="none" w:sz="0" w:space="0" w:color="auto"/>
            <w:left w:val="none" w:sz="0" w:space="0" w:color="auto"/>
            <w:bottom w:val="none" w:sz="0" w:space="0" w:color="auto"/>
            <w:right w:val="none" w:sz="0" w:space="0" w:color="auto"/>
          </w:divBdr>
        </w:div>
        <w:div w:id="782454083">
          <w:marLeft w:val="0"/>
          <w:marRight w:val="0"/>
          <w:marTop w:val="0"/>
          <w:marBottom w:val="0"/>
          <w:divBdr>
            <w:top w:val="none" w:sz="0" w:space="0" w:color="auto"/>
            <w:left w:val="none" w:sz="0" w:space="0" w:color="auto"/>
            <w:bottom w:val="none" w:sz="0" w:space="0" w:color="auto"/>
            <w:right w:val="none" w:sz="0" w:space="0" w:color="auto"/>
          </w:divBdr>
        </w:div>
        <w:div w:id="901058859">
          <w:marLeft w:val="0"/>
          <w:marRight w:val="0"/>
          <w:marTop w:val="0"/>
          <w:marBottom w:val="0"/>
          <w:divBdr>
            <w:top w:val="none" w:sz="0" w:space="0" w:color="auto"/>
            <w:left w:val="none" w:sz="0" w:space="0" w:color="auto"/>
            <w:bottom w:val="none" w:sz="0" w:space="0" w:color="auto"/>
            <w:right w:val="none" w:sz="0" w:space="0" w:color="auto"/>
          </w:divBdr>
        </w:div>
      </w:divsChild>
    </w:div>
    <w:div w:id="71901498">
      <w:bodyDiv w:val="1"/>
      <w:marLeft w:val="0"/>
      <w:marRight w:val="0"/>
      <w:marTop w:val="0"/>
      <w:marBottom w:val="0"/>
      <w:divBdr>
        <w:top w:val="none" w:sz="0" w:space="0" w:color="auto"/>
        <w:left w:val="none" w:sz="0" w:space="0" w:color="auto"/>
        <w:bottom w:val="none" w:sz="0" w:space="0" w:color="auto"/>
        <w:right w:val="none" w:sz="0" w:space="0" w:color="auto"/>
      </w:divBdr>
    </w:div>
    <w:div w:id="72901203">
      <w:bodyDiv w:val="1"/>
      <w:marLeft w:val="0"/>
      <w:marRight w:val="0"/>
      <w:marTop w:val="0"/>
      <w:marBottom w:val="0"/>
      <w:divBdr>
        <w:top w:val="none" w:sz="0" w:space="0" w:color="auto"/>
        <w:left w:val="none" w:sz="0" w:space="0" w:color="auto"/>
        <w:bottom w:val="none" w:sz="0" w:space="0" w:color="auto"/>
        <w:right w:val="none" w:sz="0" w:space="0" w:color="auto"/>
      </w:divBdr>
    </w:div>
    <w:div w:id="75396357">
      <w:bodyDiv w:val="1"/>
      <w:marLeft w:val="0"/>
      <w:marRight w:val="0"/>
      <w:marTop w:val="0"/>
      <w:marBottom w:val="0"/>
      <w:divBdr>
        <w:top w:val="none" w:sz="0" w:space="0" w:color="auto"/>
        <w:left w:val="none" w:sz="0" w:space="0" w:color="auto"/>
        <w:bottom w:val="none" w:sz="0" w:space="0" w:color="auto"/>
        <w:right w:val="none" w:sz="0" w:space="0" w:color="auto"/>
      </w:divBdr>
    </w:div>
    <w:div w:id="84883555">
      <w:bodyDiv w:val="1"/>
      <w:marLeft w:val="0"/>
      <w:marRight w:val="0"/>
      <w:marTop w:val="0"/>
      <w:marBottom w:val="0"/>
      <w:divBdr>
        <w:top w:val="none" w:sz="0" w:space="0" w:color="auto"/>
        <w:left w:val="none" w:sz="0" w:space="0" w:color="auto"/>
        <w:bottom w:val="none" w:sz="0" w:space="0" w:color="auto"/>
        <w:right w:val="none" w:sz="0" w:space="0" w:color="auto"/>
      </w:divBdr>
    </w:div>
    <w:div w:id="93136938">
      <w:bodyDiv w:val="1"/>
      <w:marLeft w:val="0"/>
      <w:marRight w:val="0"/>
      <w:marTop w:val="0"/>
      <w:marBottom w:val="0"/>
      <w:divBdr>
        <w:top w:val="none" w:sz="0" w:space="0" w:color="auto"/>
        <w:left w:val="none" w:sz="0" w:space="0" w:color="auto"/>
        <w:bottom w:val="none" w:sz="0" w:space="0" w:color="auto"/>
        <w:right w:val="none" w:sz="0" w:space="0" w:color="auto"/>
      </w:divBdr>
    </w:div>
    <w:div w:id="93329533">
      <w:bodyDiv w:val="1"/>
      <w:marLeft w:val="0"/>
      <w:marRight w:val="0"/>
      <w:marTop w:val="0"/>
      <w:marBottom w:val="0"/>
      <w:divBdr>
        <w:top w:val="none" w:sz="0" w:space="0" w:color="auto"/>
        <w:left w:val="none" w:sz="0" w:space="0" w:color="auto"/>
        <w:bottom w:val="none" w:sz="0" w:space="0" w:color="auto"/>
        <w:right w:val="none" w:sz="0" w:space="0" w:color="auto"/>
      </w:divBdr>
    </w:div>
    <w:div w:id="96369050">
      <w:bodyDiv w:val="1"/>
      <w:marLeft w:val="0"/>
      <w:marRight w:val="0"/>
      <w:marTop w:val="0"/>
      <w:marBottom w:val="0"/>
      <w:divBdr>
        <w:top w:val="none" w:sz="0" w:space="0" w:color="auto"/>
        <w:left w:val="none" w:sz="0" w:space="0" w:color="auto"/>
        <w:bottom w:val="none" w:sz="0" w:space="0" w:color="auto"/>
        <w:right w:val="none" w:sz="0" w:space="0" w:color="auto"/>
      </w:divBdr>
    </w:div>
    <w:div w:id="97987737">
      <w:bodyDiv w:val="1"/>
      <w:marLeft w:val="0"/>
      <w:marRight w:val="0"/>
      <w:marTop w:val="0"/>
      <w:marBottom w:val="0"/>
      <w:divBdr>
        <w:top w:val="none" w:sz="0" w:space="0" w:color="auto"/>
        <w:left w:val="none" w:sz="0" w:space="0" w:color="auto"/>
        <w:bottom w:val="none" w:sz="0" w:space="0" w:color="auto"/>
        <w:right w:val="none" w:sz="0" w:space="0" w:color="auto"/>
      </w:divBdr>
    </w:div>
    <w:div w:id="99571387">
      <w:bodyDiv w:val="1"/>
      <w:marLeft w:val="0"/>
      <w:marRight w:val="0"/>
      <w:marTop w:val="0"/>
      <w:marBottom w:val="0"/>
      <w:divBdr>
        <w:top w:val="none" w:sz="0" w:space="0" w:color="auto"/>
        <w:left w:val="none" w:sz="0" w:space="0" w:color="auto"/>
        <w:bottom w:val="none" w:sz="0" w:space="0" w:color="auto"/>
        <w:right w:val="none" w:sz="0" w:space="0" w:color="auto"/>
      </w:divBdr>
    </w:div>
    <w:div w:id="102068471">
      <w:bodyDiv w:val="1"/>
      <w:marLeft w:val="0"/>
      <w:marRight w:val="0"/>
      <w:marTop w:val="0"/>
      <w:marBottom w:val="0"/>
      <w:divBdr>
        <w:top w:val="none" w:sz="0" w:space="0" w:color="auto"/>
        <w:left w:val="none" w:sz="0" w:space="0" w:color="auto"/>
        <w:bottom w:val="none" w:sz="0" w:space="0" w:color="auto"/>
        <w:right w:val="none" w:sz="0" w:space="0" w:color="auto"/>
      </w:divBdr>
    </w:div>
    <w:div w:id="108746239">
      <w:bodyDiv w:val="1"/>
      <w:marLeft w:val="0"/>
      <w:marRight w:val="0"/>
      <w:marTop w:val="0"/>
      <w:marBottom w:val="0"/>
      <w:divBdr>
        <w:top w:val="none" w:sz="0" w:space="0" w:color="auto"/>
        <w:left w:val="none" w:sz="0" w:space="0" w:color="auto"/>
        <w:bottom w:val="none" w:sz="0" w:space="0" w:color="auto"/>
        <w:right w:val="none" w:sz="0" w:space="0" w:color="auto"/>
      </w:divBdr>
    </w:div>
    <w:div w:id="109205654">
      <w:bodyDiv w:val="1"/>
      <w:marLeft w:val="0"/>
      <w:marRight w:val="0"/>
      <w:marTop w:val="0"/>
      <w:marBottom w:val="0"/>
      <w:divBdr>
        <w:top w:val="none" w:sz="0" w:space="0" w:color="auto"/>
        <w:left w:val="none" w:sz="0" w:space="0" w:color="auto"/>
        <w:bottom w:val="none" w:sz="0" w:space="0" w:color="auto"/>
        <w:right w:val="none" w:sz="0" w:space="0" w:color="auto"/>
      </w:divBdr>
    </w:div>
    <w:div w:id="111024460">
      <w:bodyDiv w:val="1"/>
      <w:marLeft w:val="0"/>
      <w:marRight w:val="0"/>
      <w:marTop w:val="0"/>
      <w:marBottom w:val="0"/>
      <w:divBdr>
        <w:top w:val="none" w:sz="0" w:space="0" w:color="auto"/>
        <w:left w:val="none" w:sz="0" w:space="0" w:color="auto"/>
        <w:bottom w:val="none" w:sz="0" w:space="0" w:color="auto"/>
        <w:right w:val="none" w:sz="0" w:space="0" w:color="auto"/>
      </w:divBdr>
    </w:div>
    <w:div w:id="124197653">
      <w:bodyDiv w:val="1"/>
      <w:marLeft w:val="0"/>
      <w:marRight w:val="0"/>
      <w:marTop w:val="0"/>
      <w:marBottom w:val="0"/>
      <w:divBdr>
        <w:top w:val="none" w:sz="0" w:space="0" w:color="auto"/>
        <w:left w:val="none" w:sz="0" w:space="0" w:color="auto"/>
        <w:bottom w:val="none" w:sz="0" w:space="0" w:color="auto"/>
        <w:right w:val="none" w:sz="0" w:space="0" w:color="auto"/>
      </w:divBdr>
    </w:div>
    <w:div w:id="124546277">
      <w:bodyDiv w:val="1"/>
      <w:marLeft w:val="0"/>
      <w:marRight w:val="0"/>
      <w:marTop w:val="0"/>
      <w:marBottom w:val="0"/>
      <w:divBdr>
        <w:top w:val="none" w:sz="0" w:space="0" w:color="auto"/>
        <w:left w:val="none" w:sz="0" w:space="0" w:color="auto"/>
        <w:bottom w:val="none" w:sz="0" w:space="0" w:color="auto"/>
        <w:right w:val="none" w:sz="0" w:space="0" w:color="auto"/>
      </w:divBdr>
    </w:div>
    <w:div w:id="127551902">
      <w:bodyDiv w:val="1"/>
      <w:marLeft w:val="0"/>
      <w:marRight w:val="0"/>
      <w:marTop w:val="0"/>
      <w:marBottom w:val="0"/>
      <w:divBdr>
        <w:top w:val="none" w:sz="0" w:space="0" w:color="auto"/>
        <w:left w:val="none" w:sz="0" w:space="0" w:color="auto"/>
        <w:bottom w:val="none" w:sz="0" w:space="0" w:color="auto"/>
        <w:right w:val="none" w:sz="0" w:space="0" w:color="auto"/>
      </w:divBdr>
    </w:div>
    <w:div w:id="131169745">
      <w:bodyDiv w:val="1"/>
      <w:marLeft w:val="0"/>
      <w:marRight w:val="0"/>
      <w:marTop w:val="0"/>
      <w:marBottom w:val="0"/>
      <w:divBdr>
        <w:top w:val="none" w:sz="0" w:space="0" w:color="auto"/>
        <w:left w:val="none" w:sz="0" w:space="0" w:color="auto"/>
        <w:bottom w:val="none" w:sz="0" w:space="0" w:color="auto"/>
        <w:right w:val="none" w:sz="0" w:space="0" w:color="auto"/>
      </w:divBdr>
    </w:div>
    <w:div w:id="131870603">
      <w:bodyDiv w:val="1"/>
      <w:marLeft w:val="0"/>
      <w:marRight w:val="0"/>
      <w:marTop w:val="0"/>
      <w:marBottom w:val="0"/>
      <w:divBdr>
        <w:top w:val="none" w:sz="0" w:space="0" w:color="auto"/>
        <w:left w:val="none" w:sz="0" w:space="0" w:color="auto"/>
        <w:bottom w:val="none" w:sz="0" w:space="0" w:color="auto"/>
        <w:right w:val="none" w:sz="0" w:space="0" w:color="auto"/>
      </w:divBdr>
    </w:div>
    <w:div w:id="132647156">
      <w:bodyDiv w:val="1"/>
      <w:marLeft w:val="0"/>
      <w:marRight w:val="0"/>
      <w:marTop w:val="0"/>
      <w:marBottom w:val="0"/>
      <w:divBdr>
        <w:top w:val="none" w:sz="0" w:space="0" w:color="auto"/>
        <w:left w:val="none" w:sz="0" w:space="0" w:color="auto"/>
        <w:bottom w:val="none" w:sz="0" w:space="0" w:color="auto"/>
        <w:right w:val="none" w:sz="0" w:space="0" w:color="auto"/>
      </w:divBdr>
    </w:div>
    <w:div w:id="132677618">
      <w:bodyDiv w:val="1"/>
      <w:marLeft w:val="0"/>
      <w:marRight w:val="0"/>
      <w:marTop w:val="0"/>
      <w:marBottom w:val="0"/>
      <w:divBdr>
        <w:top w:val="none" w:sz="0" w:space="0" w:color="auto"/>
        <w:left w:val="none" w:sz="0" w:space="0" w:color="auto"/>
        <w:bottom w:val="none" w:sz="0" w:space="0" w:color="auto"/>
        <w:right w:val="none" w:sz="0" w:space="0" w:color="auto"/>
      </w:divBdr>
    </w:div>
    <w:div w:id="139998606">
      <w:bodyDiv w:val="1"/>
      <w:marLeft w:val="0"/>
      <w:marRight w:val="0"/>
      <w:marTop w:val="0"/>
      <w:marBottom w:val="0"/>
      <w:divBdr>
        <w:top w:val="none" w:sz="0" w:space="0" w:color="auto"/>
        <w:left w:val="none" w:sz="0" w:space="0" w:color="auto"/>
        <w:bottom w:val="none" w:sz="0" w:space="0" w:color="auto"/>
        <w:right w:val="none" w:sz="0" w:space="0" w:color="auto"/>
      </w:divBdr>
    </w:div>
    <w:div w:id="143132296">
      <w:bodyDiv w:val="1"/>
      <w:marLeft w:val="0"/>
      <w:marRight w:val="0"/>
      <w:marTop w:val="0"/>
      <w:marBottom w:val="0"/>
      <w:divBdr>
        <w:top w:val="none" w:sz="0" w:space="0" w:color="auto"/>
        <w:left w:val="none" w:sz="0" w:space="0" w:color="auto"/>
        <w:bottom w:val="none" w:sz="0" w:space="0" w:color="auto"/>
        <w:right w:val="none" w:sz="0" w:space="0" w:color="auto"/>
      </w:divBdr>
    </w:div>
    <w:div w:id="144590003">
      <w:bodyDiv w:val="1"/>
      <w:marLeft w:val="0"/>
      <w:marRight w:val="0"/>
      <w:marTop w:val="0"/>
      <w:marBottom w:val="0"/>
      <w:divBdr>
        <w:top w:val="none" w:sz="0" w:space="0" w:color="auto"/>
        <w:left w:val="none" w:sz="0" w:space="0" w:color="auto"/>
        <w:bottom w:val="none" w:sz="0" w:space="0" w:color="auto"/>
        <w:right w:val="none" w:sz="0" w:space="0" w:color="auto"/>
      </w:divBdr>
    </w:div>
    <w:div w:id="148253595">
      <w:bodyDiv w:val="1"/>
      <w:marLeft w:val="0"/>
      <w:marRight w:val="0"/>
      <w:marTop w:val="0"/>
      <w:marBottom w:val="0"/>
      <w:divBdr>
        <w:top w:val="none" w:sz="0" w:space="0" w:color="auto"/>
        <w:left w:val="none" w:sz="0" w:space="0" w:color="auto"/>
        <w:bottom w:val="none" w:sz="0" w:space="0" w:color="auto"/>
        <w:right w:val="none" w:sz="0" w:space="0" w:color="auto"/>
      </w:divBdr>
    </w:div>
    <w:div w:id="148835270">
      <w:bodyDiv w:val="1"/>
      <w:marLeft w:val="0"/>
      <w:marRight w:val="0"/>
      <w:marTop w:val="0"/>
      <w:marBottom w:val="0"/>
      <w:divBdr>
        <w:top w:val="none" w:sz="0" w:space="0" w:color="auto"/>
        <w:left w:val="none" w:sz="0" w:space="0" w:color="auto"/>
        <w:bottom w:val="none" w:sz="0" w:space="0" w:color="auto"/>
        <w:right w:val="none" w:sz="0" w:space="0" w:color="auto"/>
      </w:divBdr>
    </w:div>
    <w:div w:id="152140618">
      <w:bodyDiv w:val="1"/>
      <w:marLeft w:val="0"/>
      <w:marRight w:val="0"/>
      <w:marTop w:val="0"/>
      <w:marBottom w:val="0"/>
      <w:divBdr>
        <w:top w:val="none" w:sz="0" w:space="0" w:color="auto"/>
        <w:left w:val="none" w:sz="0" w:space="0" w:color="auto"/>
        <w:bottom w:val="none" w:sz="0" w:space="0" w:color="auto"/>
        <w:right w:val="none" w:sz="0" w:space="0" w:color="auto"/>
      </w:divBdr>
    </w:div>
    <w:div w:id="152840647">
      <w:bodyDiv w:val="1"/>
      <w:marLeft w:val="0"/>
      <w:marRight w:val="0"/>
      <w:marTop w:val="0"/>
      <w:marBottom w:val="0"/>
      <w:divBdr>
        <w:top w:val="none" w:sz="0" w:space="0" w:color="auto"/>
        <w:left w:val="none" w:sz="0" w:space="0" w:color="auto"/>
        <w:bottom w:val="none" w:sz="0" w:space="0" w:color="auto"/>
        <w:right w:val="none" w:sz="0" w:space="0" w:color="auto"/>
      </w:divBdr>
    </w:div>
    <w:div w:id="153182815">
      <w:bodyDiv w:val="1"/>
      <w:marLeft w:val="0"/>
      <w:marRight w:val="0"/>
      <w:marTop w:val="0"/>
      <w:marBottom w:val="0"/>
      <w:divBdr>
        <w:top w:val="none" w:sz="0" w:space="0" w:color="auto"/>
        <w:left w:val="none" w:sz="0" w:space="0" w:color="auto"/>
        <w:bottom w:val="none" w:sz="0" w:space="0" w:color="auto"/>
        <w:right w:val="none" w:sz="0" w:space="0" w:color="auto"/>
      </w:divBdr>
    </w:div>
    <w:div w:id="161432822">
      <w:bodyDiv w:val="1"/>
      <w:marLeft w:val="0"/>
      <w:marRight w:val="0"/>
      <w:marTop w:val="0"/>
      <w:marBottom w:val="0"/>
      <w:divBdr>
        <w:top w:val="none" w:sz="0" w:space="0" w:color="auto"/>
        <w:left w:val="none" w:sz="0" w:space="0" w:color="auto"/>
        <w:bottom w:val="none" w:sz="0" w:space="0" w:color="auto"/>
        <w:right w:val="none" w:sz="0" w:space="0" w:color="auto"/>
      </w:divBdr>
    </w:div>
    <w:div w:id="161940346">
      <w:bodyDiv w:val="1"/>
      <w:marLeft w:val="0"/>
      <w:marRight w:val="0"/>
      <w:marTop w:val="0"/>
      <w:marBottom w:val="0"/>
      <w:divBdr>
        <w:top w:val="none" w:sz="0" w:space="0" w:color="auto"/>
        <w:left w:val="none" w:sz="0" w:space="0" w:color="auto"/>
        <w:bottom w:val="none" w:sz="0" w:space="0" w:color="auto"/>
        <w:right w:val="none" w:sz="0" w:space="0" w:color="auto"/>
      </w:divBdr>
      <w:divsChild>
        <w:div w:id="1558274065">
          <w:marLeft w:val="0"/>
          <w:marRight w:val="0"/>
          <w:marTop w:val="0"/>
          <w:marBottom w:val="0"/>
          <w:divBdr>
            <w:top w:val="none" w:sz="0" w:space="0" w:color="auto"/>
            <w:left w:val="none" w:sz="0" w:space="0" w:color="auto"/>
            <w:bottom w:val="none" w:sz="0" w:space="0" w:color="auto"/>
            <w:right w:val="none" w:sz="0" w:space="0" w:color="auto"/>
          </w:divBdr>
          <w:divsChild>
            <w:div w:id="204215430">
              <w:marLeft w:val="0"/>
              <w:marRight w:val="0"/>
              <w:marTop w:val="0"/>
              <w:marBottom w:val="0"/>
              <w:divBdr>
                <w:top w:val="none" w:sz="0" w:space="0" w:color="auto"/>
                <w:left w:val="none" w:sz="0" w:space="0" w:color="auto"/>
                <w:bottom w:val="none" w:sz="0" w:space="0" w:color="auto"/>
                <w:right w:val="none" w:sz="0" w:space="0" w:color="auto"/>
              </w:divBdr>
              <w:divsChild>
                <w:div w:id="310982200">
                  <w:marLeft w:val="0"/>
                  <w:marRight w:val="0"/>
                  <w:marTop w:val="0"/>
                  <w:marBottom w:val="0"/>
                  <w:divBdr>
                    <w:top w:val="none" w:sz="0" w:space="0" w:color="auto"/>
                    <w:left w:val="none" w:sz="0" w:space="0" w:color="auto"/>
                    <w:bottom w:val="none" w:sz="0" w:space="0" w:color="auto"/>
                    <w:right w:val="none" w:sz="0" w:space="0" w:color="auto"/>
                  </w:divBdr>
                  <w:divsChild>
                    <w:div w:id="970747245">
                      <w:marLeft w:val="0"/>
                      <w:marRight w:val="0"/>
                      <w:marTop w:val="0"/>
                      <w:marBottom w:val="0"/>
                      <w:divBdr>
                        <w:top w:val="none" w:sz="0" w:space="0" w:color="auto"/>
                        <w:left w:val="none" w:sz="0" w:space="0" w:color="auto"/>
                        <w:bottom w:val="none" w:sz="0" w:space="0" w:color="auto"/>
                        <w:right w:val="none" w:sz="0" w:space="0" w:color="auto"/>
                      </w:divBdr>
                      <w:divsChild>
                        <w:div w:id="886066763">
                          <w:marLeft w:val="0"/>
                          <w:marRight w:val="0"/>
                          <w:marTop w:val="0"/>
                          <w:marBottom w:val="0"/>
                          <w:divBdr>
                            <w:top w:val="none" w:sz="0" w:space="0" w:color="auto"/>
                            <w:left w:val="none" w:sz="0" w:space="0" w:color="auto"/>
                            <w:bottom w:val="none" w:sz="0" w:space="0" w:color="auto"/>
                            <w:right w:val="none" w:sz="0" w:space="0" w:color="auto"/>
                          </w:divBdr>
                          <w:divsChild>
                            <w:div w:id="760299559">
                              <w:marLeft w:val="0"/>
                              <w:marRight w:val="0"/>
                              <w:marTop w:val="0"/>
                              <w:marBottom w:val="0"/>
                              <w:divBdr>
                                <w:top w:val="none" w:sz="0" w:space="0" w:color="auto"/>
                                <w:left w:val="none" w:sz="0" w:space="0" w:color="auto"/>
                                <w:bottom w:val="none" w:sz="0" w:space="0" w:color="auto"/>
                                <w:right w:val="none" w:sz="0" w:space="0" w:color="auto"/>
                              </w:divBdr>
                              <w:divsChild>
                                <w:div w:id="1860042773">
                                  <w:marLeft w:val="0"/>
                                  <w:marRight w:val="0"/>
                                  <w:marTop w:val="0"/>
                                  <w:marBottom w:val="0"/>
                                  <w:divBdr>
                                    <w:top w:val="none" w:sz="0" w:space="0" w:color="auto"/>
                                    <w:left w:val="none" w:sz="0" w:space="0" w:color="auto"/>
                                    <w:bottom w:val="none" w:sz="0" w:space="0" w:color="auto"/>
                                    <w:right w:val="none" w:sz="0" w:space="0" w:color="auto"/>
                                  </w:divBdr>
                                  <w:divsChild>
                                    <w:div w:id="1039934012">
                                      <w:marLeft w:val="0"/>
                                      <w:marRight w:val="0"/>
                                      <w:marTop w:val="0"/>
                                      <w:marBottom w:val="0"/>
                                      <w:divBdr>
                                        <w:top w:val="none" w:sz="0" w:space="0" w:color="auto"/>
                                        <w:left w:val="none" w:sz="0" w:space="0" w:color="auto"/>
                                        <w:bottom w:val="none" w:sz="0" w:space="0" w:color="auto"/>
                                        <w:right w:val="none" w:sz="0" w:space="0" w:color="auto"/>
                                      </w:divBdr>
                                      <w:divsChild>
                                        <w:div w:id="1393309698">
                                          <w:marLeft w:val="0"/>
                                          <w:marRight w:val="0"/>
                                          <w:marTop w:val="0"/>
                                          <w:marBottom w:val="0"/>
                                          <w:divBdr>
                                            <w:top w:val="none" w:sz="0" w:space="0" w:color="auto"/>
                                            <w:left w:val="none" w:sz="0" w:space="0" w:color="auto"/>
                                            <w:bottom w:val="none" w:sz="0" w:space="0" w:color="auto"/>
                                            <w:right w:val="none" w:sz="0" w:space="0" w:color="auto"/>
                                          </w:divBdr>
                                          <w:divsChild>
                                            <w:div w:id="1340497598">
                                              <w:marLeft w:val="0"/>
                                              <w:marRight w:val="0"/>
                                              <w:marTop w:val="0"/>
                                              <w:marBottom w:val="0"/>
                                              <w:divBdr>
                                                <w:top w:val="none" w:sz="0" w:space="0" w:color="auto"/>
                                                <w:left w:val="none" w:sz="0" w:space="0" w:color="auto"/>
                                                <w:bottom w:val="none" w:sz="0" w:space="0" w:color="auto"/>
                                                <w:right w:val="none" w:sz="0" w:space="0" w:color="auto"/>
                                              </w:divBdr>
                                              <w:divsChild>
                                                <w:div w:id="407464242">
                                                  <w:marLeft w:val="0"/>
                                                  <w:marRight w:val="0"/>
                                                  <w:marTop w:val="0"/>
                                                  <w:marBottom w:val="0"/>
                                                  <w:divBdr>
                                                    <w:top w:val="none" w:sz="0" w:space="0" w:color="auto"/>
                                                    <w:left w:val="none" w:sz="0" w:space="0" w:color="auto"/>
                                                    <w:bottom w:val="none" w:sz="0" w:space="0" w:color="auto"/>
                                                    <w:right w:val="none" w:sz="0" w:space="0" w:color="auto"/>
                                                  </w:divBdr>
                                                  <w:divsChild>
                                                    <w:div w:id="13276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02257">
      <w:bodyDiv w:val="1"/>
      <w:marLeft w:val="0"/>
      <w:marRight w:val="0"/>
      <w:marTop w:val="0"/>
      <w:marBottom w:val="0"/>
      <w:divBdr>
        <w:top w:val="none" w:sz="0" w:space="0" w:color="auto"/>
        <w:left w:val="none" w:sz="0" w:space="0" w:color="auto"/>
        <w:bottom w:val="none" w:sz="0" w:space="0" w:color="auto"/>
        <w:right w:val="none" w:sz="0" w:space="0" w:color="auto"/>
      </w:divBdr>
    </w:div>
    <w:div w:id="164134838">
      <w:bodyDiv w:val="1"/>
      <w:marLeft w:val="0"/>
      <w:marRight w:val="0"/>
      <w:marTop w:val="0"/>
      <w:marBottom w:val="0"/>
      <w:divBdr>
        <w:top w:val="none" w:sz="0" w:space="0" w:color="auto"/>
        <w:left w:val="none" w:sz="0" w:space="0" w:color="auto"/>
        <w:bottom w:val="none" w:sz="0" w:space="0" w:color="auto"/>
        <w:right w:val="none" w:sz="0" w:space="0" w:color="auto"/>
      </w:divBdr>
      <w:divsChild>
        <w:div w:id="2016372286">
          <w:marLeft w:val="0"/>
          <w:marRight w:val="0"/>
          <w:marTop w:val="0"/>
          <w:marBottom w:val="0"/>
          <w:divBdr>
            <w:top w:val="none" w:sz="0" w:space="0" w:color="auto"/>
            <w:left w:val="none" w:sz="0" w:space="0" w:color="auto"/>
            <w:bottom w:val="none" w:sz="0" w:space="0" w:color="auto"/>
            <w:right w:val="none" w:sz="0" w:space="0" w:color="auto"/>
          </w:divBdr>
          <w:divsChild>
            <w:div w:id="784733949">
              <w:marLeft w:val="0"/>
              <w:marRight w:val="0"/>
              <w:marTop w:val="0"/>
              <w:marBottom w:val="0"/>
              <w:divBdr>
                <w:top w:val="none" w:sz="0" w:space="0" w:color="auto"/>
                <w:left w:val="none" w:sz="0" w:space="0" w:color="auto"/>
                <w:bottom w:val="none" w:sz="0" w:space="0" w:color="auto"/>
                <w:right w:val="none" w:sz="0" w:space="0" w:color="auto"/>
              </w:divBdr>
              <w:divsChild>
                <w:div w:id="1213931090">
                  <w:marLeft w:val="0"/>
                  <w:marRight w:val="0"/>
                  <w:marTop w:val="0"/>
                  <w:marBottom w:val="0"/>
                  <w:divBdr>
                    <w:top w:val="none" w:sz="0" w:space="0" w:color="auto"/>
                    <w:left w:val="none" w:sz="0" w:space="0" w:color="auto"/>
                    <w:bottom w:val="none" w:sz="0" w:space="0" w:color="auto"/>
                    <w:right w:val="none" w:sz="0" w:space="0" w:color="auto"/>
                  </w:divBdr>
                  <w:divsChild>
                    <w:div w:id="1008021436">
                      <w:marLeft w:val="0"/>
                      <w:marRight w:val="0"/>
                      <w:marTop w:val="0"/>
                      <w:marBottom w:val="0"/>
                      <w:divBdr>
                        <w:top w:val="none" w:sz="0" w:space="0" w:color="auto"/>
                        <w:left w:val="none" w:sz="0" w:space="0" w:color="auto"/>
                        <w:bottom w:val="none" w:sz="0" w:space="0" w:color="auto"/>
                        <w:right w:val="none" w:sz="0" w:space="0" w:color="auto"/>
                      </w:divBdr>
                      <w:divsChild>
                        <w:div w:id="1878345447">
                          <w:marLeft w:val="0"/>
                          <w:marRight w:val="0"/>
                          <w:marTop w:val="0"/>
                          <w:marBottom w:val="0"/>
                          <w:divBdr>
                            <w:top w:val="none" w:sz="0" w:space="0" w:color="auto"/>
                            <w:left w:val="none" w:sz="0" w:space="0" w:color="auto"/>
                            <w:bottom w:val="none" w:sz="0" w:space="0" w:color="auto"/>
                            <w:right w:val="none" w:sz="0" w:space="0" w:color="auto"/>
                          </w:divBdr>
                          <w:divsChild>
                            <w:div w:id="84573929">
                              <w:marLeft w:val="0"/>
                              <w:marRight w:val="0"/>
                              <w:marTop w:val="0"/>
                              <w:marBottom w:val="0"/>
                              <w:divBdr>
                                <w:top w:val="none" w:sz="0" w:space="0" w:color="auto"/>
                                <w:left w:val="none" w:sz="0" w:space="0" w:color="auto"/>
                                <w:bottom w:val="none" w:sz="0" w:space="0" w:color="auto"/>
                                <w:right w:val="none" w:sz="0" w:space="0" w:color="auto"/>
                              </w:divBdr>
                              <w:divsChild>
                                <w:div w:id="1334526414">
                                  <w:marLeft w:val="0"/>
                                  <w:marRight w:val="0"/>
                                  <w:marTop w:val="0"/>
                                  <w:marBottom w:val="0"/>
                                  <w:divBdr>
                                    <w:top w:val="none" w:sz="0" w:space="0" w:color="auto"/>
                                    <w:left w:val="none" w:sz="0" w:space="0" w:color="auto"/>
                                    <w:bottom w:val="none" w:sz="0" w:space="0" w:color="auto"/>
                                    <w:right w:val="none" w:sz="0" w:space="0" w:color="auto"/>
                                  </w:divBdr>
                                  <w:divsChild>
                                    <w:div w:id="1583220832">
                                      <w:marLeft w:val="0"/>
                                      <w:marRight w:val="0"/>
                                      <w:marTop w:val="0"/>
                                      <w:marBottom w:val="0"/>
                                      <w:divBdr>
                                        <w:top w:val="none" w:sz="0" w:space="0" w:color="auto"/>
                                        <w:left w:val="none" w:sz="0" w:space="0" w:color="auto"/>
                                        <w:bottom w:val="none" w:sz="0" w:space="0" w:color="auto"/>
                                        <w:right w:val="none" w:sz="0" w:space="0" w:color="auto"/>
                                      </w:divBdr>
                                      <w:divsChild>
                                        <w:div w:id="1456756437">
                                          <w:marLeft w:val="0"/>
                                          <w:marRight w:val="0"/>
                                          <w:marTop w:val="0"/>
                                          <w:marBottom w:val="0"/>
                                          <w:divBdr>
                                            <w:top w:val="none" w:sz="0" w:space="0" w:color="auto"/>
                                            <w:left w:val="none" w:sz="0" w:space="0" w:color="auto"/>
                                            <w:bottom w:val="none" w:sz="0" w:space="0" w:color="auto"/>
                                            <w:right w:val="none" w:sz="0" w:space="0" w:color="auto"/>
                                          </w:divBdr>
                                          <w:divsChild>
                                            <w:div w:id="529102278">
                                              <w:marLeft w:val="0"/>
                                              <w:marRight w:val="0"/>
                                              <w:marTop w:val="0"/>
                                              <w:marBottom w:val="0"/>
                                              <w:divBdr>
                                                <w:top w:val="none" w:sz="0" w:space="0" w:color="auto"/>
                                                <w:left w:val="none" w:sz="0" w:space="0" w:color="auto"/>
                                                <w:bottom w:val="none" w:sz="0" w:space="0" w:color="auto"/>
                                                <w:right w:val="none" w:sz="0" w:space="0" w:color="auto"/>
                                              </w:divBdr>
                                              <w:divsChild>
                                                <w:div w:id="1562643197">
                                                  <w:marLeft w:val="0"/>
                                                  <w:marRight w:val="0"/>
                                                  <w:marTop w:val="0"/>
                                                  <w:marBottom w:val="0"/>
                                                  <w:divBdr>
                                                    <w:top w:val="none" w:sz="0" w:space="0" w:color="auto"/>
                                                    <w:left w:val="none" w:sz="0" w:space="0" w:color="auto"/>
                                                    <w:bottom w:val="none" w:sz="0" w:space="0" w:color="auto"/>
                                                    <w:right w:val="none" w:sz="0" w:space="0" w:color="auto"/>
                                                  </w:divBdr>
                                                  <w:divsChild>
                                                    <w:div w:id="11816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554381">
      <w:bodyDiv w:val="1"/>
      <w:marLeft w:val="0"/>
      <w:marRight w:val="0"/>
      <w:marTop w:val="0"/>
      <w:marBottom w:val="0"/>
      <w:divBdr>
        <w:top w:val="none" w:sz="0" w:space="0" w:color="auto"/>
        <w:left w:val="none" w:sz="0" w:space="0" w:color="auto"/>
        <w:bottom w:val="none" w:sz="0" w:space="0" w:color="auto"/>
        <w:right w:val="none" w:sz="0" w:space="0" w:color="auto"/>
      </w:divBdr>
    </w:div>
    <w:div w:id="169103737">
      <w:bodyDiv w:val="1"/>
      <w:marLeft w:val="0"/>
      <w:marRight w:val="0"/>
      <w:marTop w:val="0"/>
      <w:marBottom w:val="0"/>
      <w:divBdr>
        <w:top w:val="none" w:sz="0" w:space="0" w:color="auto"/>
        <w:left w:val="none" w:sz="0" w:space="0" w:color="auto"/>
        <w:bottom w:val="none" w:sz="0" w:space="0" w:color="auto"/>
        <w:right w:val="none" w:sz="0" w:space="0" w:color="auto"/>
      </w:divBdr>
    </w:div>
    <w:div w:id="169373847">
      <w:bodyDiv w:val="1"/>
      <w:marLeft w:val="0"/>
      <w:marRight w:val="0"/>
      <w:marTop w:val="0"/>
      <w:marBottom w:val="0"/>
      <w:divBdr>
        <w:top w:val="none" w:sz="0" w:space="0" w:color="auto"/>
        <w:left w:val="none" w:sz="0" w:space="0" w:color="auto"/>
        <w:bottom w:val="none" w:sz="0" w:space="0" w:color="auto"/>
        <w:right w:val="none" w:sz="0" w:space="0" w:color="auto"/>
      </w:divBdr>
    </w:div>
    <w:div w:id="178130154">
      <w:bodyDiv w:val="1"/>
      <w:marLeft w:val="0"/>
      <w:marRight w:val="0"/>
      <w:marTop w:val="0"/>
      <w:marBottom w:val="0"/>
      <w:divBdr>
        <w:top w:val="none" w:sz="0" w:space="0" w:color="auto"/>
        <w:left w:val="none" w:sz="0" w:space="0" w:color="auto"/>
        <w:bottom w:val="none" w:sz="0" w:space="0" w:color="auto"/>
        <w:right w:val="none" w:sz="0" w:space="0" w:color="auto"/>
      </w:divBdr>
      <w:divsChild>
        <w:div w:id="537161379">
          <w:marLeft w:val="0"/>
          <w:marRight w:val="0"/>
          <w:marTop w:val="0"/>
          <w:marBottom w:val="0"/>
          <w:divBdr>
            <w:top w:val="none" w:sz="0" w:space="0" w:color="auto"/>
            <w:left w:val="none" w:sz="0" w:space="0" w:color="auto"/>
            <w:bottom w:val="none" w:sz="0" w:space="0" w:color="auto"/>
            <w:right w:val="none" w:sz="0" w:space="0" w:color="auto"/>
          </w:divBdr>
        </w:div>
      </w:divsChild>
    </w:div>
    <w:div w:id="200214238">
      <w:bodyDiv w:val="1"/>
      <w:marLeft w:val="0"/>
      <w:marRight w:val="0"/>
      <w:marTop w:val="0"/>
      <w:marBottom w:val="0"/>
      <w:divBdr>
        <w:top w:val="none" w:sz="0" w:space="0" w:color="auto"/>
        <w:left w:val="none" w:sz="0" w:space="0" w:color="auto"/>
        <w:bottom w:val="none" w:sz="0" w:space="0" w:color="auto"/>
        <w:right w:val="none" w:sz="0" w:space="0" w:color="auto"/>
      </w:divBdr>
    </w:div>
    <w:div w:id="202639409">
      <w:bodyDiv w:val="1"/>
      <w:marLeft w:val="0"/>
      <w:marRight w:val="0"/>
      <w:marTop w:val="0"/>
      <w:marBottom w:val="0"/>
      <w:divBdr>
        <w:top w:val="none" w:sz="0" w:space="0" w:color="auto"/>
        <w:left w:val="none" w:sz="0" w:space="0" w:color="auto"/>
        <w:bottom w:val="none" w:sz="0" w:space="0" w:color="auto"/>
        <w:right w:val="none" w:sz="0" w:space="0" w:color="auto"/>
      </w:divBdr>
    </w:div>
    <w:div w:id="204370375">
      <w:bodyDiv w:val="1"/>
      <w:marLeft w:val="0"/>
      <w:marRight w:val="0"/>
      <w:marTop w:val="0"/>
      <w:marBottom w:val="0"/>
      <w:divBdr>
        <w:top w:val="none" w:sz="0" w:space="0" w:color="auto"/>
        <w:left w:val="none" w:sz="0" w:space="0" w:color="auto"/>
        <w:bottom w:val="none" w:sz="0" w:space="0" w:color="auto"/>
        <w:right w:val="none" w:sz="0" w:space="0" w:color="auto"/>
      </w:divBdr>
    </w:div>
    <w:div w:id="213397755">
      <w:bodyDiv w:val="1"/>
      <w:marLeft w:val="0"/>
      <w:marRight w:val="0"/>
      <w:marTop w:val="0"/>
      <w:marBottom w:val="0"/>
      <w:divBdr>
        <w:top w:val="none" w:sz="0" w:space="0" w:color="auto"/>
        <w:left w:val="none" w:sz="0" w:space="0" w:color="auto"/>
        <w:bottom w:val="none" w:sz="0" w:space="0" w:color="auto"/>
        <w:right w:val="none" w:sz="0" w:space="0" w:color="auto"/>
      </w:divBdr>
    </w:div>
    <w:div w:id="213740914">
      <w:bodyDiv w:val="1"/>
      <w:marLeft w:val="0"/>
      <w:marRight w:val="0"/>
      <w:marTop w:val="0"/>
      <w:marBottom w:val="0"/>
      <w:divBdr>
        <w:top w:val="none" w:sz="0" w:space="0" w:color="auto"/>
        <w:left w:val="none" w:sz="0" w:space="0" w:color="auto"/>
        <w:bottom w:val="none" w:sz="0" w:space="0" w:color="auto"/>
        <w:right w:val="none" w:sz="0" w:space="0" w:color="auto"/>
      </w:divBdr>
    </w:div>
    <w:div w:id="218130280">
      <w:bodyDiv w:val="1"/>
      <w:marLeft w:val="0"/>
      <w:marRight w:val="0"/>
      <w:marTop w:val="0"/>
      <w:marBottom w:val="0"/>
      <w:divBdr>
        <w:top w:val="none" w:sz="0" w:space="0" w:color="auto"/>
        <w:left w:val="none" w:sz="0" w:space="0" w:color="auto"/>
        <w:bottom w:val="none" w:sz="0" w:space="0" w:color="auto"/>
        <w:right w:val="none" w:sz="0" w:space="0" w:color="auto"/>
      </w:divBdr>
    </w:div>
    <w:div w:id="218521918">
      <w:bodyDiv w:val="1"/>
      <w:marLeft w:val="0"/>
      <w:marRight w:val="0"/>
      <w:marTop w:val="0"/>
      <w:marBottom w:val="0"/>
      <w:divBdr>
        <w:top w:val="none" w:sz="0" w:space="0" w:color="auto"/>
        <w:left w:val="none" w:sz="0" w:space="0" w:color="auto"/>
        <w:bottom w:val="none" w:sz="0" w:space="0" w:color="auto"/>
        <w:right w:val="none" w:sz="0" w:space="0" w:color="auto"/>
      </w:divBdr>
    </w:div>
    <w:div w:id="223836506">
      <w:bodyDiv w:val="1"/>
      <w:marLeft w:val="0"/>
      <w:marRight w:val="0"/>
      <w:marTop w:val="0"/>
      <w:marBottom w:val="0"/>
      <w:divBdr>
        <w:top w:val="none" w:sz="0" w:space="0" w:color="auto"/>
        <w:left w:val="none" w:sz="0" w:space="0" w:color="auto"/>
        <w:bottom w:val="none" w:sz="0" w:space="0" w:color="auto"/>
        <w:right w:val="none" w:sz="0" w:space="0" w:color="auto"/>
      </w:divBdr>
    </w:div>
    <w:div w:id="227571819">
      <w:bodyDiv w:val="1"/>
      <w:marLeft w:val="0"/>
      <w:marRight w:val="0"/>
      <w:marTop w:val="0"/>
      <w:marBottom w:val="0"/>
      <w:divBdr>
        <w:top w:val="none" w:sz="0" w:space="0" w:color="auto"/>
        <w:left w:val="none" w:sz="0" w:space="0" w:color="auto"/>
        <w:bottom w:val="none" w:sz="0" w:space="0" w:color="auto"/>
        <w:right w:val="none" w:sz="0" w:space="0" w:color="auto"/>
      </w:divBdr>
      <w:divsChild>
        <w:div w:id="35592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69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43277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592080">
      <w:bodyDiv w:val="1"/>
      <w:marLeft w:val="0"/>
      <w:marRight w:val="0"/>
      <w:marTop w:val="0"/>
      <w:marBottom w:val="0"/>
      <w:divBdr>
        <w:top w:val="none" w:sz="0" w:space="0" w:color="auto"/>
        <w:left w:val="none" w:sz="0" w:space="0" w:color="auto"/>
        <w:bottom w:val="none" w:sz="0" w:space="0" w:color="auto"/>
        <w:right w:val="none" w:sz="0" w:space="0" w:color="auto"/>
      </w:divBdr>
    </w:div>
    <w:div w:id="233207272">
      <w:bodyDiv w:val="1"/>
      <w:marLeft w:val="0"/>
      <w:marRight w:val="0"/>
      <w:marTop w:val="0"/>
      <w:marBottom w:val="0"/>
      <w:divBdr>
        <w:top w:val="none" w:sz="0" w:space="0" w:color="auto"/>
        <w:left w:val="none" w:sz="0" w:space="0" w:color="auto"/>
        <w:bottom w:val="none" w:sz="0" w:space="0" w:color="auto"/>
        <w:right w:val="none" w:sz="0" w:space="0" w:color="auto"/>
      </w:divBdr>
    </w:div>
    <w:div w:id="236597644">
      <w:bodyDiv w:val="1"/>
      <w:marLeft w:val="0"/>
      <w:marRight w:val="0"/>
      <w:marTop w:val="0"/>
      <w:marBottom w:val="0"/>
      <w:divBdr>
        <w:top w:val="none" w:sz="0" w:space="0" w:color="auto"/>
        <w:left w:val="none" w:sz="0" w:space="0" w:color="auto"/>
        <w:bottom w:val="none" w:sz="0" w:space="0" w:color="auto"/>
        <w:right w:val="none" w:sz="0" w:space="0" w:color="auto"/>
      </w:divBdr>
    </w:div>
    <w:div w:id="254946139">
      <w:bodyDiv w:val="1"/>
      <w:marLeft w:val="0"/>
      <w:marRight w:val="0"/>
      <w:marTop w:val="0"/>
      <w:marBottom w:val="0"/>
      <w:divBdr>
        <w:top w:val="none" w:sz="0" w:space="0" w:color="auto"/>
        <w:left w:val="none" w:sz="0" w:space="0" w:color="auto"/>
        <w:bottom w:val="none" w:sz="0" w:space="0" w:color="auto"/>
        <w:right w:val="none" w:sz="0" w:space="0" w:color="auto"/>
      </w:divBdr>
    </w:div>
    <w:div w:id="259224081">
      <w:bodyDiv w:val="1"/>
      <w:marLeft w:val="0"/>
      <w:marRight w:val="0"/>
      <w:marTop w:val="0"/>
      <w:marBottom w:val="0"/>
      <w:divBdr>
        <w:top w:val="none" w:sz="0" w:space="0" w:color="auto"/>
        <w:left w:val="none" w:sz="0" w:space="0" w:color="auto"/>
        <w:bottom w:val="none" w:sz="0" w:space="0" w:color="auto"/>
        <w:right w:val="none" w:sz="0" w:space="0" w:color="auto"/>
      </w:divBdr>
    </w:div>
    <w:div w:id="263000959">
      <w:bodyDiv w:val="1"/>
      <w:marLeft w:val="0"/>
      <w:marRight w:val="0"/>
      <w:marTop w:val="0"/>
      <w:marBottom w:val="0"/>
      <w:divBdr>
        <w:top w:val="none" w:sz="0" w:space="0" w:color="auto"/>
        <w:left w:val="none" w:sz="0" w:space="0" w:color="auto"/>
        <w:bottom w:val="none" w:sz="0" w:space="0" w:color="auto"/>
        <w:right w:val="none" w:sz="0" w:space="0" w:color="auto"/>
      </w:divBdr>
    </w:div>
    <w:div w:id="270087661">
      <w:bodyDiv w:val="1"/>
      <w:marLeft w:val="0"/>
      <w:marRight w:val="0"/>
      <w:marTop w:val="0"/>
      <w:marBottom w:val="0"/>
      <w:divBdr>
        <w:top w:val="none" w:sz="0" w:space="0" w:color="auto"/>
        <w:left w:val="none" w:sz="0" w:space="0" w:color="auto"/>
        <w:bottom w:val="none" w:sz="0" w:space="0" w:color="auto"/>
        <w:right w:val="none" w:sz="0" w:space="0" w:color="auto"/>
      </w:divBdr>
    </w:div>
    <w:div w:id="272056680">
      <w:bodyDiv w:val="1"/>
      <w:marLeft w:val="0"/>
      <w:marRight w:val="0"/>
      <w:marTop w:val="0"/>
      <w:marBottom w:val="0"/>
      <w:divBdr>
        <w:top w:val="none" w:sz="0" w:space="0" w:color="auto"/>
        <w:left w:val="none" w:sz="0" w:space="0" w:color="auto"/>
        <w:bottom w:val="none" w:sz="0" w:space="0" w:color="auto"/>
        <w:right w:val="none" w:sz="0" w:space="0" w:color="auto"/>
      </w:divBdr>
    </w:div>
    <w:div w:id="281150168">
      <w:bodyDiv w:val="1"/>
      <w:marLeft w:val="0"/>
      <w:marRight w:val="0"/>
      <w:marTop w:val="0"/>
      <w:marBottom w:val="0"/>
      <w:divBdr>
        <w:top w:val="none" w:sz="0" w:space="0" w:color="auto"/>
        <w:left w:val="none" w:sz="0" w:space="0" w:color="auto"/>
        <w:bottom w:val="none" w:sz="0" w:space="0" w:color="auto"/>
        <w:right w:val="none" w:sz="0" w:space="0" w:color="auto"/>
      </w:divBdr>
    </w:div>
    <w:div w:id="284121251">
      <w:bodyDiv w:val="1"/>
      <w:marLeft w:val="0"/>
      <w:marRight w:val="0"/>
      <w:marTop w:val="0"/>
      <w:marBottom w:val="0"/>
      <w:divBdr>
        <w:top w:val="none" w:sz="0" w:space="0" w:color="auto"/>
        <w:left w:val="none" w:sz="0" w:space="0" w:color="auto"/>
        <w:bottom w:val="none" w:sz="0" w:space="0" w:color="auto"/>
        <w:right w:val="none" w:sz="0" w:space="0" w:color="auto"/>
      </w:divBdr>
    </w:div>
    <w:div w:id="285163340">
      <w:bodyDiv w:val="1"/>
      <w:marLeft w:val="0"/>
      <w:marRight w:val="0"/>
      <w:marTop w:val="0"/>
      <w:marBottom w:val="0"/>
      <w:divBdr>
        <w:top w:val="none" w:sz="0" w:space="0" w:color="auto"/>
        <w:left w:val="none" w:sz="0" w:space="0" w:color="auto"/>
        <w:bottom w:val="none" w:sz="0" w:space="0" w:color="auto"/>
        <w:right w:val="none" w:sz="0" w:space="0" w:color="auto"/>
      </w:divBdr>
    </w:div>
    <w:div w:id="293369133">
      <w:bodyDiv w:val="1"/>
      <w:marLeft w:val="0"/>
      <w:marRight w:val="0"/>
      <w:marTop w:val="0"/>
      <w:marBottom w:val="0"/>
      <w:divBdr>
        <w:top w:val="none" w:sz="0" w:space="0" w:color="auto"/>
        <w:left w:val="none" w:sz="0" w:space="0" w:color="auto"/>
        <w:bottom w:val="none" w:sz="0" w:space="0" w:color="auto"/>
        <w:right w:val="none" w:sz="0" w:space="0" w:color="auto"/>
      </w:divBdr>
    </w:div>
    <w:div w:id="295188415">
      <w:bodyDiv w:val="1"/>
      <w:marLeft w:val="0"/>
      <w:marRight w:val="0"/>
      <w:marTop w:val="0"/>
      <w:marBottom w:val="0"/>
      <w:divBdr>
        <w:top w:val="none" w:sz="0" w:space="0" w:color="auto"/>
        <w:left w:val="none" w:sz="0" w:space="0" w:color="auto"/>
        <w:bottom w:val="none" w:sz="0" w:space="0" w:color="auto"/>
        <w:right w:val="none" w:sz="0" w:space="0" w:color="auto"/>
      </w:divBdr>
    </w:div>
    <w:div w:id="295912039">
      <w:bodyDiv w:val="1"/>
      <w:marLeft w:val="0"/>
      <w:marRight w:val="0"/>
      <w:marTop w:val="0"/>
      <w:marBottom w:val="0"/>
      <w:divBdr>
        <w:top w:val="none" w:sz="0" w:space="0" w:color="auto"/>
        <w:left w:val="none" w:sz="0" w:space="0" w:color="auto"/>
        <w:bottom w:val="none" w:sz="0" w:space="0" w:color="auto"/>
        <w:right w:val="none" w:sz="0" w:space="0" w:color="auto"/>
      </w:divBdr>
    </w:div>
    <w:div w:id="296419412">
      <w:bodyDiv w:val="1"/>
      <w:marLeft w:val="0"/>
      <w:marRight w:val="0"/>
      <w:marTop w:val="0"/>
      <w:marBottom w:val="0"/>
      <w:divBdr>
        <w:top w:val="none" w:sz="0" w:space="0" w:color="auto"/>
        <w:left w:val="none" w:sz="0" w:space="0" w:color="auto"/>
        <w:bottom w:val="none" w:sz="0" w:space="0" w:color="auto"/>
        <w:right w:val="none" w:sz="0" w:space="0" w:color="auto"/>
      </w:divBdr>
    </w:div>
    <w:div w:id="299499543">
      <w:bodyDiv w:val="1"/>
      <w:marLeft w:val="0"/>
      <w:marRight w:val="0"/>
      <w:marTop w:val="0"/>
      <w:marBottom w:val="0"/>
      <w:divBdr>
        <w:top w:val="none" w:sz="0" w:space="0" w:color="auto"/>
        <w:left w:val="none" w:sz="0" w:space="0" w:color="auto"/>
        <w:bottom w:val="none" w:sz="0" w:space="0" w:color="auto"/>
        <w:right w:val="none" w:sz="0" w:space="0" w:color="auto"/>
      </w:divBdr>
    </w:div>
    <w:div w:id="304428596">
      <w:bodyDiv w:val="1"/>
      <w:marLeft w:val="0"/>
      <w:marRight w:val="0"/>
      <w:marTop w:val="0"/>
      <w:marBottom w:val="0"/>
      <w:divBdr>
        <w:top w:val="none" w:sz="0" w:space="0" w:color="auto"/>
        <w:left w:val="none" w:sz="0" w:space="0" w:color="auto"/>
        <w:bottom w:val="none" w:sz="0" w:space="0" w:color="auto"/>
        <w:right w:val="none" w:sz="0" w:space="0" w:color="auto"/>
      </w:divBdr>
    </w:div>
    <w:div w:id="304744270">
      <w:bodyDiv w:val="1"/>
      <w:marLeft w:val="0"/>
      <w:marRight w:val="0"/>
      <w:marTop w:val="0"/>
      <w:marBottom w:val="0"/>
      <w:divBdr>
        <w:top w:val="none" w:sz="0" w:space="0" w:color="auto"/>
        <w:left w:val="none" w:sz="0" w:space="0" w:color="auto"/>
        <w:bottom w:val="none" w:sz="0" w:space="0" w:color="auto"/>
        <w:right w:val="none" w:sz="0" w:space="0" w:color="auto"/>
      </w:divBdr>
    </w:div>
    <w:div w:id="305359843">
      <w:bodyDiv w:val="1"/>
      <w:marLeft w:val="0"/>
      <w:marRight w:val="0"/>
      <w:marTop w:val="0"/>
      <w:marBottom w:val="0"/>
      <w:divBdr>
        <w:top w:val="none" w:sz="0" w:space="0" w:color="auto"/>
        <w:left w:val="none" w:sz="0" w:space="0" w:color="auto"/>
        <w:bottom w:val="none" w:sz="0" w:space="0" w:color="auto"/>
        <w:right w:val="none" w:sz="0" w:space="0" w:color="auto"/>
      </w:divBdr>
    </w:div>
    <w:div w:id="308436399">
      <w:bodyDiv w:val="1"/>
      <w:marLeft w:val="0"/>
      <w:marRight w:val="0"/>
      <w:marTop w:val="0"/>
      <w:marBottom w:val="0"/>
      <w:divBdr>
        <w:top w:val="none" w:sz="0" w:space="0" w:color="auto"/>
        <w:left w:val="none" w:sz="0" w:space="0" w:color="auto"/>
        <w:bottom w:val="none" w:sz="0" w:space="0" w:color="auto"/>
        <w:right w:val="none" w:sz="0" w:space="0" w:color="auto"/>
      </w:divBdr>
    </w:div>
    <w:div w:id="308944140">
      <w:bodyDiv w:val="1"/>
      <w:marLeft w:val="0"/>
      <w:marRight w:val="0"/>
      <w:marTop w:val="0"/>
      <w:marBottom w:val="0"/>
      <w:divBdr>
        <w:top w:val="none" w:sz="0" w:space="0" w:color="auto"/>
        <w:left w:val="none" w:sz="0" w:space="0" w:color="auto"/>
        <w:bottom w:val="none" w:sz="0" w:space="0" w:color="auto"/>
        <w:right w:val="none" w:sz="0" w:space="0" w:color="auto"/>
      </w:divBdr>
    </w:div>
    <w:div w:id="329717064">
      <w:bodyDiv w:val="1"/>
      <w:marLeft w:val="0"/>
      <w:marRight w:val="0"/>
      <w:marTop w:val="0"/>
      <w:marBottom w:val="0"/>
      <w:divBdr>
        <w:top w:val="none" w:sz="0" w:space="0" w:color="auto"/>
        <w:left w:val="none" w:sz="0" w:space="0" w:color="auto"/>
        <w:bottom w:val="none" w:sz="0" w:space="0" w:color="auto"/>
        <w:right w:val="none" w:sz="0" w:space="0" w:color="auto"/>
      </w:divBdr>
    </w:div>
    <w:div w:id="329795715">
      <w:bodyDiv w:val="1"/>
      <w:marLeft w:val="0"/>
      <w:marRight w:val="0"/>
      <w:marTop w:val="0"/>
      <w:marBottom w:val="0"/>
      <w:divBdr>
        <w:top w:val="none" w:sz="0" w:space="0" w:color="auto"/>
        <w:left w:val="none" w:sz="0" w:space="0" w:color="auto"/>
        <w:bottom w:val="none" w:sz="0" w:space="0" w:color="auto"/>
        <w:right w:val="none" w:sz="0" w:space="0" w:color="auto"/>
      </w:divBdr>
    </w:div>
    <w:div w:id="330331513">
      <w:bodyDiv w:val="1"/>
      <w:marLeft w:val="0"/>
      <w:marRight w:val="0"/>
      <w:marTop w:val="0"/>
      <w:marBottom w:val="0"/>
      <w:divBdr>
        <w:top w:val="none" w:sz="0" w:space="0" w:color="auto"/>
        <w:left w:val="none" w:sz="0" w:space="0" w:color="auto"/>
        <w:bottom w:val="none" w:sz="0" w:space="0" w:color="auto"/>
        <w:right w:val="none" w:sz="0" w:space="0" w:color="auto"/>
      </w:divBdr>
    </w:div>
    <w:div w:id="338581093">
      <w:bodyDiv w:val="1"/>
      <w:marLeft w:val="0"/>
      <w:marRight w:val="0"/>
      <w:marTop w:val="0"/>
      <w:marBottom w:val="0"/>
      <w:divBdr>
        <w:top w:val="none" w:sz="0" w:space="0" w:color="auto"/>
        <w:left w:val="none" w:sz="0" w:space="0" w:color="auto"/>
        <w:bottom w:val="none" w:sz="0" w:space="0" w:color="auto"/>
        <w:right w:val="none" w:sz="0" w:space="0" w:color="auto"/>
      </w:divBdr>
    </w:div>
    <w:div w:id="343168962">
      <w:bodyDiv w:val="1"/>
      <w:marLeft w:val="0"/>
      <w:marRight w:val="0"/>
      <w:marTop w:val="0"/>
      <w:marBottom w:val="0"/>
      <w:divBdr>
        <w:top w:val="none" w:sz="0" w:space="0" w:color="auto"/>
        <w:left w:val="none" w:sz="0" w:space="0" w:color="auto"/>
        <w:bottom w:val="none" w:sz="0" w:space="0" w:color="auto"/>
        <w:right w:val="none" w:sz="0" w:space="0" w:color="auto"/>
      </w:divBdr>
    </w:div>
    <w:div w:id="347827787">
      <w:bodyDiv w:val="1"/>
      <w:marLeft w:val="0"/>
      <w:marRight w:val="0"/>
      <w:marTop w:val="0"/>
      <w:marBottom w:val="0"/>
      <w:divBdr>
        <w:top w:val="none" w:sz="0" w:space="0" w:color="auto"/>
        <w:left w:val="none" w:sz="0" w:space="0" w:color="auto"/>
        <w:bottom w:val="none" w:sz="0" w:space="0" w:color="auto"/>
        <w:right w:val="none" w:sz="0" w:space="0" w:color="auto"/>
      </w:divBdr>
    </w:div>
    <w:div w:id="357898574">
      <w:bodyDiv w:val="1"/>
      <w:marLeft w:val="0"/>
      <w:marRight w:val="0"/>
      <w:marTop w:val="0"/>
      <w:marBottom w:val="0"/>
      <w:divBdr>
        <w:top w:val="none" w:sz="0" w:space="0" w:color="auto"/>
        <w:left w:val="none" w:sz="0" w:space="0" w:color="auto"/>
        <w:bottom w:val="none" w:sz="0" w:space="0" w:color="auto"/>
        <w:right w:val="none" w:sz="0" w:space="0" w:color="auto"/>
      </w:divBdr>
    </w:div>
    <w:div w:id="377555182">
      <w:bodyDiv w:val="1"/>
      <w:marLeft w:val="0"/>
      <w:marRight w:val="0"/>
      <w:marTop w:val="0"/>
      <w:marBottom w:val="0"/>
      <w:divBdr>
        <w:top w:val="none" w:sz="0" w:space="0" w:color="auto"/>
        <w:left w:val="none" w:sz="0" w:space="0" w:color="auto"/>
        <w:bottom w:val="none" w:sz="0" w:space="0" w:color="auto"/>
        <w:right w:val="none" w:sz="0" w:space="0" w:color="auto"/>
      </w:divBdr>
    </w:div>
    <w:div w:id="379283821">
      <w:bodyDiv w:val="1"/>
      <w:marLeft w:val="0"/>
      <w:marRight w:val="0"/>
      <w:marTop w:val="0"/>
      <w:marBottom w:val="0"/>
      <w:divBdr>
        <w:top w:val="none" w:sz="0" w:space="0" w:color="auto"/>
        <w:left w:val="none" w:sz="0" w:space="0" w:color="auto"/>
        <w:bottom w:val="none" w:sz="0" w:space="0" w:color="auto"/>
        <w:right w:val="none" w:sz="0" w:space="0" w:color="auto"/>
      </w:divBdr>
    </w:div>
    <w:div w:id="382485685">
      <w:bodyDiv w:val="1"/>
      <w:marLeft w:val="0"/>
      <w:marRight w:val="0"/>
      <w:marTop w:val="0"/>
      <w:marBottom w:val="0"/>
      <w:divBdr>
        <w:top w:val="none" w:sz="0" w:space="0" w:color="auto"/>
        <w:left w:val="none" w:sz="0" w:space="0" w:color="auto"/>
        <w:bottom w:val="none" w:sz="0" w:space="0" w:color="auto"/>
        <w:right w:val="none" w:sz="0" w:space="0" w:color="auto"/>
      </w:divBdr>
    </w:div>
    <w:div w:id="389505189">
      <w:bodyDiv w:val="1"/>
      <w:marLeft w:val="0"/>
      <w:marRight w:val="0"/>
      <w:marTop w:val="0"/>
      <w:marBottom w:val="0"/>
      <w:divBdr>
        <w:top w:val="none" w:sz="0" w:space="0" w:color="auto"/>
        <w:left w:val="none" w:sz="0" w:space="0" w:color="auto"/>
        <w:bottom w:val="none" w:sz="0" w:space="0" w:color="auto"/>
        <w:right w:val="none" w:sz="0" w:space="0" w:color="auto"/>
      </w:divBdr>
    </w:div>
    <w:div w:id="405958804">
      <w:bodyDiv w:val="1"/>
      <w:marLeft w:val="0"/>
      <w:marRight w:val="0"/>
      <w:marTop w:val="0"/>
      <w:marBottom w:val="0"/>
      <w:divBdr>
        <w:top w:val="none" w:sz="0" w:space="0" w:color="auto"/>
        <w:left w:val="none" w:sz="0" w:space="0" w:color="auto"/>
        <w:bottom w:val="none" w:sz="0" w:space="0" w:color="auto"/>
        <w:right w:val="none" w:sz="0" w:space="0" w:color="auto"/>
      </w:divBdr>
    </w:div>
    <w:div w:id="408238057">
      <w:bodyDiv w:val="1"/>
      <w:marLeft w:val="0"/>
      <w:marRight w:val="0"/>
      <w:marTop w:val="0"/>
      <w:marBottom w:val="0"/>
      <w:divBdr>
        <w:top w:val="none" w:sz="0" w:space="0" w:color="auto"/>
        <w:left w:val="none" w:sz="0" w:space="0" w:color="auto"/>
        <w:bottom w:val="none" w:sz="0" w:space="0" w:color="auto"/>
        <w:right w:val="none" w:sz="0" w:space="0" w:color="auto"/>
      </w:divBdr>
    </w:div>
    <w:div w:id="411515616">
      <w:bodyDiv w:val="1"/>
      <w:marLeft w:val="0"/>
      <w:marRight w:val="0"/>
      <w:marTop w:val="0"/>
      <w:marBottom w:val="0"/>
      <w:divBdr>
        <w:top w:val="none" w:sz="0" w:space="0" w:color="auto"/>
        <w:left w:val="none" w:sz="0" w:space="0" w:color="auto"/>
        <w:bottom w:val="none" w:sz="0" w:space="0" w:color="auto"/>
        <w:right w:val="none" w:sz="0" w:space="0" w:color="auto"/>
      </w:divBdr>
    </w:div>
    <w:div w:id="412775897">
      <w:bodyDiv w:val="1"/>
      <w:marLeft w:val="0"/>
      <w:marRight w:val="0"/>
      <w:marTop w:val="0"/>
      <w:marBottom w:val="0"/>
      <w:divBdr>
        <w:top w:val="none" w:sz="0" w:space="0" w:color="auto"/>
        <w:left w:val="none" w:sz="0" w:space="0" w:color="auto"/>
        <w:bottom w:val="none" w:sz="0" w:space="0" w:color="auto"/>
        <w:right w:val="none" w:sz="0" w:space="0" w:color="auto"/>
      </w:divBdr>
    </w:div>
    <w:div w:id="426271718">
      <w:bodyDiv w:val="1"/>
      <w:marLeft w:val="0"/>
      <w:marRight w:val="0"/>
      <w:marTop w:val="0"/>
      <w:marBottom w:val="0"/>
      <w:divBdr>
        <w:top w:val="none" w:sz="0" w:space="0" w:color="auto"/>
        <w:left w:val="none" w:sz="0" w:space="0" w:color="auto"/>
        <w:bottom w:val="none" w:sz="0" w:space="0" w:color="auto"/>
        <w:right w:val="none" w:sz="0" w:space="0" w:color="auto"/>
      </w:divBdr>
    </w:div>
    <w:div w:id="427694677">
      <w:bodyDiv w:val="1"/>
      <w:marLeft w:val="0"/>
      <w:marRight w:val="0"/>
      <w:marTop w:val="0"/>
      <w:marBottom w:val="0"/>
      <w:divBdr>
        <w:top w:val="none" w:sz="0" w:space="0" w:color="auto"/>
        <w:left w:val="none" w:sz="0" w:space="0" w:color="auto"/>
        <w:bottom w:val="none" w:sz="0" w:space="0" w:color="auto"/>
        <w:right w:val="none" w:sz="0" w:space="0" w:color="auto"/>
      </w:divBdr>
    </w:div>
    <w:div w:id="427773013">
      <w:bodyDiv w:val="1"/>
      <w:marLeft w:val="0"/>
      <w:marRight w:val="0"/>
      <w:marTop w:val="0"/>
      <w:marBottom w:val="0"/>
      <w:divBdr>
        <w:top w:val="none" w:sz="0" w:space="0" w:color="auto"/>
        <w:left w:val="none" w:sz="0" w:space="0" w:color="auto"/>
        <w:bottom w:val="none" w:sz="0" w:space="0" w:color="auto"/>
        <w:right w:val="none" w:sz="0" w:space="0" w:color="auto"/>
      </w:divBdr>
    </w:div>
    <w:div w:id="428503297">
      <w:bodyDiv w:val="1"/>
      <w:marLeft w:val="0"/>
      <w:marRight w:val="0"/>
      <w:marTop w:val="0"/>
      <w:marBottom w:val="0"/>
      <w:divBdr>
        <w:top w:val="none" w:sz="0" w:space="0" w:color="auto"/>
        <w:left w:val="none" w:sz="0" w:space="0" w:color="auto"/>
        <w:bottom w:val="none" w:sz="0" w:space="0" w:color="auto"/>
        <w:right w:val="none" w:sz="0" w:space="0" w:color="auto"/>
      </w:divBdr>
    </w:div>
    <w:div w:id="448092813">
      <w:bodyDiv w:val="1"/>
      <w:marLeft w:val="0"/>
      <w:marRight w:val="0"/>
      <w:marTop w:val="0"/>
      <w:marBottom w:val="0"/>
      <w:divBdr>
        <w:top w:val="none" w:sz="0" w:space="0" w:color="auto"/>
        <w:left w:val="none" w:sz="0" w:space="0" w:color="auto"/>
        <w:bottom w:val="none" w:sz="0" w:space="0" w:color="auto"/>
        <w:right w:val="none" w:sz="0" w:space="0" w:color="auto"/>
      </w:divBdr>
    </w:div>
    <w:div w:id="455297054">
      <w:bodyDiv w:val="1"/>
      <w:marLeft w:val="0"/>
      <w:marRight w:val="0"/>
      <w:marTop w:val="0"/>
      <w:marBottom w:val="0"/>
      <w:divBdr>
        <w:top w:val="none" w:sz="0" w:space="0" w:color="auto"/>
        <w:left w:val="none" w:sz="0" w:space="0" w:color="auto"/>
        <w:bottom w:val="none" w:sz="0" w:space="0" w:color="auto"/>
        <w:right w:val="none" w:sz="0" w:space="0" w:color="auto"/>
      </w:divBdr>
    </w:div>
    <w:div w:id="456068067">
      <w:bodyDiv w:val="1"/>
      <w:marLeft w:val="0"/>
      <w:marRight w:val="0"/>
      <w:marTop w:val="0"/>
      <w:marBottom w:val="0"/>
      <w:divBdr>
        <w:top w:val="none" w:sz="0" w:space="0" w:color="auto"/>
        <w:left w:val="none" w:sz="0" w:space="0" w:color="auto"/>
        <w:bottom w:val="none" w:sz="0" w:space="0" w:color="auto"/>
        <w:right w:val="none" w:sz="0" w:space="0" w:color="auto"/>
      </w:divBdr>
    </w:div>
    <w:div w:id="458187295">
      <w:bodyDiv w:val="1"/>
      <w:marLeft w:val="0"/>
      <w:marRight w:val="0"/>
      <w:marTop w:val="0"/>
      <w:marBottom w:val="0"/>
      <w:divBdr>
        <w:top w:val="none" w:sz="0" w:space="0" w:color="auto"/>
        <w:left w:val="none" w:sz="0" w:space="0" w:color="auto"/>
        <w:bottom w:val="none" w:sz="0" w:space="0" w:color="auto"/>
        <w:right w:val="none" w:sz="0" w:space="0" w:color="auto"/>
      </w:divBdr>
    </w:div>
    <w:div w:id="459812069">
      <w:bodyDiv w:val="1"/>
      <w:marLeft w:val="0"/>
      <w:marRight w:val="0"/>
      <w:marTop w:val="0"/>
      <w:marBottom w:val="0"/>
      <w:divBdr>
        <w:top w:val="none" w:sz="0" w:space="0" w:color="auto"/>
        <w:left w:val="none" w:sz="0" w:space="0" w:color="auto"/>
        <w:bottom w:val="none" w:sz="0" w:space="0" w:color="auto"/>
        <w:right w:val="none" w:sz="0" w:space="0" w:color="auto"/>
      </w:divBdr>
    </w:div>
    <w:div w:id="462583440">
      <w:bodyDiv w:val="1"/>
      <w:marLeft w:val="0"/>
      <w:marRight w:val="0"/>
      <w:marTop w:val="0"/>
      <w:marBottom w:val="0"/>
      <w:divBdr>
        <w:top w:val="none" w:sz="0" w:space="0" w:color="auto"/>
        <w:left w:val="none" w:sz="0" w:space="0" w:color="auto"/>
        <w:bottom w:val="none" w:sz="0" w:space="0" w:color="auto"/>
        <w:right w:val="none" w:sz="0" w:space="0" w:color="auto"/>
      </w:divBdr>
    </w:div>
    <w:div w:id="462693309">
      <w:bodyDiv w:val="1"/>
      <w:marLeft w:val="0"/>
      <w:marRight w:val="0"/>
      <w:marTop w:val="0"/>
      <w:marBottom w:val="0"/>
      <w:divBdr>
        <w:top w:val="none" w:sz="0" w:space="0" w:color="auto"/>
        <w:left w:val="none" w:sz="0" w:space="0" w:color="auto"/>
        <w:bottom w:val="none" w:sz="0" w:space="0" w:color="auto"/>
        <w:right w:val="none" w:sz="0" w:space="0" w:color="auto"/>
      </w:divBdr>
    </w:div>
    <w:div w:id="465196412">
      <w:bodyDiv w:val="1"/>
      <w:marLeft w:val="0"/>
      <w:marRight w:val="0"/>
      <w:marTop w:val="0"/>
      <w:marBottom w:val="0"/>
      <w:divBdr>
        <w:top w:val="none" w:sz="0" w:space="0" w:color="auto"/>
        <w:left w:val="none" w:sz="0" w:space="0" w:color="auto"/>
        <w:bottom w:val="none" w:sz="0" w:space="0" w:color="auto"/>
        <w:right w:val="none" w:sz="0" w:space="0" w:color="auto"/>
      </w:divBdr>
    </w:div>
    <w:div w:id="467363905">
      <w:bodyDiv w:val="1"/>
      <w:marLeft w:val="0"/>
      <w:marRight w:val="0"/>
      <w:marTop w:val="0"/>
      <w:marBottom w:val="0"/>
      <w:divBdr>
        <w:top w:val="none" w:sz="0" w:space="0" w:color="auto"/>
        <w:left w:val="none" w:sz="0" w:space="0" w:color="auto"/>
        <w:bottom w:val="none" w:sz="0" w:space="0" w:color="auto"/>
        <w:right w:val="none" w:sz="0" w:space="0" w:color="auto"/>
      </w:divBdr>
    </w:div>
    <w:div w:id="474760656">
      <w:bodyDiv w:val="1"/>
      <w:marLeft w:val="0"/>
      <w:marRight w:val="0"/>
      <w:marTop w:val="0"/>
      <w:marBottom w:val="0"/>
      <w:divBdr>
        <w:top w:val="none" w:sz="0" w:space="0" w:color="auto"/>
        <w:left w:val="none" w:sz="0" w:space="0" w:color="auto"/>
        <w:bottom w:val="none" w:sz="0" w:space="0" w:color="auto"/>
        <w:right w:val="none" w:sz="0" w:space="0" w:color="auto"/>
      </w:divBdr>
    </w:div>
    <w:div w:id="475875250">
      <w:bodyDiv w:val="1"/>
      <w:marLeft w:val="0"/>
      <w:marRight w:val="0"/>
      <w:marTop w:val="0"/>
      <w:marBottom w:val="0"/>
      <w:divBdr>
        <w:top w:val="none" w:sz="0" w:space="0" w:color="auto"/>
        <w:left w:val="none" w:sz="0" w:space="0" w:color="auto"/>
        <w:bottom w:val="none" w:sz="0" w:space="0" w:color="auto"/>
        <w:right w:val="none" w:sz="0" w:space="0" w:color="auto"/>
      </w:divBdr>
    </w:div>
    <w:div w:id="482041602">
      <w:bodyDiv w:val="1"/>
      <w:marLeft w:val="0"/>
      <w:marRight w:val="0"/>
      <w:marTop w:val="0"/>
      <w:marBottom w:val="0"/>
      <w:divBdr>
        <w:top w:val="none" w:sz="0" w:space="0" w:color="auto"/>
        <w:left w:val="none" w:sz="0" w:space="0" w:color="auto"/>
        <w:bottom w:val="none" w:sz="0" w:space="0" w:color="auto"/>
        <w:right w:val="none" w:sz="0" w:space="0" w:color="auto"/>
      </w:divBdr>
    </w:div>
    <w:div w:id="483352936">
      <w:bodyDiv w:val="1"/>
      <w:marLeft w:val="0"/>
      <w:marRight w:val="0"/>
      <w:marTop w:val="0"/>
      <w:marBottom w:val="0"/>
      <w:divBdr>
        <w:top w:val="none" w:sz="0" w:space="0" w:color="auto"/>
        <w:left w:val="none" w:sz="0" w:space="0" w:color="auto"/>
        <w:bottom w:val="none" w:sz="0" w:space="0" w:color="auto"/>
        <w:right w:val="none" w:sz="0" w:space="0" w:color="auto"/>
      </w:divBdr>
    </w:div>
    <w:div w:id="495456416">
      <w:bodyDiv w:val="1"/>
      <w:marLeft w:val="0"/>
      <w:marRight w:val="0"/>
      <w:marTop w:val="0"/>
      <w:marBottom w:val="0"/>
      <w:divBdr>
        <w:top w:val="none" w:sz="0" w:space="0" w:color="auto"/>
        <w:left w:val="none" w:sz="0" w:space="0" w:color="auto"/>
        <w:bottom w:val="none" w:sz="0" w:space="0" w:color="auto"/>
        <w:right w:val="none" w:sz="0" w:space="0" w:color="auto"/>
      </w:divBdr>
    </w:div>
    <w:div w:id="499740790">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24445364">
      <w:bodyDiv w:val="1"/>
      <w:marLeft w:val="0"/>
      <w:marRight w:val="0"/>
      <w:marTop w:val="0"/>
      <w:marBottom w:val="0"/>
      <w:divBdr>
        <w:top w:val="none" w:sz="0" w:space="0" w:color="auto"/>
        <w:left w:val="none" w:sz="0" w:space="0" w:color="auto"/>
        <w:bottom w:val="none" w:sz="0" w:space="0" w:color="auto"/>
        <w:right w:val="none" w:sz="0" w:space="0" w:color="auto"/>
      </w:divBdr>
    </w:div>
    <w:div w:id="524832453">
      <w:bodyDiv w:val="1"/>
      <w:marLeft w:val="0"/>
      <w:marRight w:val="0"/>
      <w:marTop w:val="0"/>
      <w:marBottom w:val="0"/>
      <w:divBdr>
        <w:top w:val="none" w:sz="0" w:space="0" w:color="auto"/>
        <w:left w:val="none" w:sz="0" w:space="0" w:color="auto"/>
        <w:bottom w:val="none" w:sz="0" w:space="0" w:color="auto"/>
        <w:right w:val="none" w:sz="0" w:space="0" w:color="auto"/>
      </w:divBdr>
    </w:div>
    <w:div w:id="526063992">
      <w:bodyDiv w:val="1"/>
      <w:marLeft w:val="0"/>
      <w:marRight w:val="0"/>
      <w:marTop w:val="0"/>
      <w:marBottom w:val="0"/>
      <w:divBdr>
        <w:top w:val="none" w:sz="0" w:space="0" w:color="auto"/>
        <w:left w:val="none" w:sz="0" w:space="0" w:color="auto"/>
        <w:bottom w:val="none" w:sz="0" w:space="0" w:color="auto"/>
        <w:right w:val="none" w:sz="0" w:space="0" w:color="auto"/>
      </w:divBdr>
    </w:div>
    <w:div w:id="540750802">
      <w:bodyDiv w:val="1"/>
      <w:marLeft w:val="0"/>
      <w:marRight w:val="0"/>
      <w:marTop w:val="0"/>
      <w:marBottom w:val="0"/>
      <w:divBdr>
        <w:top w:val="none" w:sz="0" w:space="0" w:color="auto"/>
        <w:left w:val="none" w:sz="0" w:space="0" w:color="auto"/>
        <w:bottom w:val="none" w:sz="0" w:space="0" w:color="auto"/>
        <w:right w:val="none" w:sz="0" w:space="0" w:color="auto"/>
      </w:divBdr>
    </w:div>
    <w:div w:id="548150706">
      <w:bodyDiv w:val="1"/>
      <w:marLeft w:val="0"/>
      <w:marRight w:val="0"/>
      <w:marTop w:val="0"/>
      <w:marBottom w:val="0"/>
      <w:divBdr>
        <w:top w:val="none" w:sz="0" w:space="0" w:color="auto"/>
        <w:left w:val="none" w:sz="0" w:space="0" w:color="auto"/>
        <w:bottom w:val="none" w:sz="0" w:space="0" w:color="auto"/>
        <w:right w:val="none" w:sz="0" w:space="0" w:color="auto"/>
      </w:divBdr>
    </w:div>
    <w:div w:id="548810481">
      <w:bodyDiv w:val="1"/>
      <w:marLeft w:val="0"/>
      <w:marRight w:val="0"/>
      <w:marTop w:val="0"/>
      <w:marBottom w:val="0"/>
      <w:divBdr>
        <w:top w:val="none" w:sz="0" w:space="0" w:color="auto"/>
        <w:left w:val="none" w:sz="0" w:space="0" w:color="auto"/>
        <w:bottom w:val="none" w:sz="0" w:space="0" w:color="auto"/>
        <w:right w:val="none" w:sz="0" w:space="0" w:color="auto"/>
      </w:divBdr>
    </w:div>
    <w:div w:id="550968721">
      <w:bodyDiv w:val="1"/>
      <w:marLeft w:val="0"/>
      <w:marRight w:val="0"/>
      <w:marTop w:val="0"/>
      <w:marBottom w:val="0"/>
      <w:divBdr>
        <w:top w:val="none" w:sz="0" w:space="0" w:color="auto"/>
        <w:left w:val="none" w:sz="0" w:space="0" w:color="auto"/>
        <w:bottom w:val="none" w:sz="0" w:space="0" w:color="auto"/>
        <w:right w:val="none" w:sz="0" w:space="0" w:color="auto"/>
      </w:divBdr>
    </w:div>
    <w:div w:id="551887168">
      <w:bodyDiv w:val="1"/>
      <w:marLeft w:val="0"/>
      <w:marRight w:val="0"/>
      <w:marTop w:val="0"/>
      <w:marBottom w:val="0"/>
      <w:divBdr>
        <w:top w:val="none" w:sz="0" w:space="0" w:color="auto"/>
        <w:left w:val="none" w:sz="0" w:space="0" w:color="auto"/>
        <w:bottom w:val="none" w:sz="0" w:space="0" w:color="auto"/>
        <w:right w:val="none" w:sz="0" w:space="0" w:color="auto"/>
      </w:divBdr>
    </w:div>
    <w:div w:id="554126562">
      <w:bodyDiv w:val="1"/>
      <w:marLeft w:val="0"/>
      <w:marRight w:val="0"/>
      <w:marTop w:val="0"/>
      <w:marBottom w:val="0"/>
      <w:divBdr>
        <w:top w:val="none" w:sz="0" w:space="0" w:color="auto"/>
        <w:left w:val="none" w:sz="0" w:space="0" w:color="auto"/>
        <w:bottom w:val="none" w:sz="0" w:space="0" w:color="auto"/>
        <w:right w:val="none" w:sz="0" w:space="0" w:color="auto"/>
      </w:divBdr>
      <w:divsChild>
        <w:div w:id="659428855">
          <w:marLeft w:val="0"/>
          <w:marRight w:val="0"/>
          <w:marTop w:val="0"/>
          <w:marBottom w:val="0"/>
          <w:divBdr>
            <w:top w:val="none" w:sz="0" w:space="0" w:color="auto"/>
            <w:left w:val="none" w:sz="0" w:space="0" w:color="auto"/>
            <w:bottom w:val="none" w:sz="0" w:space="0" w:color="auto"/>
            <w:right w:val="none" w:sz="0" w:space="0" w:color="auto"/>
          </w:divBdr>
        </w:div>
      </w:divsChild>
    </w:div>
    <w:div w:id="555894924">
      <w:bodyDiv w:val="1"/>
      <w:marLeft w:val="0"/>
      <w:marRight w:val="0"/>
      <w:marTop w:val="0"/>
      <w:marBottom w:val="0"/>
      <w:divBdr>
        <w:top w:val="none" w:sz="0" w:space="0" w:color="auto"/>
        <w:left w:val="none" w:sz="0" w:space="0" w:color="auto"/>
        <w:bottom w:val="none" w:sz="0" w:space="0" w:color="auto"/>
        <w:right w:val="none" w:sz="0" w:space="0" w:color="auto"/>
      </w:divBdr>
    </w:div>
    <w:div w:id="559678938">
      <w:bodyDiv w:val="1"/>
      <w:marLeft w:val="0"/>
      <w:marRight w:val="0"/>
      <w:marTop w:val="0"/>
      <w:marBottom w:val="0"/>
      <w:divBdr>
        <w:top w:val="none" w:sz="0" w:space="0" w:color="auto"/>
        <w:left w:val="none" w:sz="0" w:space="0" w:color="auto"/>
        <w:bottom w:val="none" w:sz="0" w:space="0" w:color="auto"/>
        <w:right w:val="none" w:sz="0" w:space="0" w:color="auto"/>
      </w:divBdr>
    </w:div>
    <w:div w:id="559901966">
      <w:bodyDiv w:val="1"/>
      <w:marLeft w:val="0"/>
      <w:marRight w:val="0"/>
      <w:marTop w:val="0"/>
      <w:marBottom w:val="0"/>
      <w:divBdr>
        <w:top w:val="none" w:sz="0" w:space="0" w:color="auto"/>
        <w:left w:val="none" w:sz="0" w:space="0" w:color="auto"/>
        <w:bottom w:val="none" w:sz="0" w:space="0" w:color="auto"/>
        <w:right w:val="none" w:sz="0" w:space="0" w:color="auto"/>
      </w:divBdr>
    </w:div>
    <w:div w:id="562061198">
      <w:bodyDiv w:val="1"/>
      <w:marLeft w:val="0"/>
      <w:marRight w:val="0"/>
      <w:marTop w:val="0"/>
      <w:marBottom w:val="0"/>
      <w:divBdr>
        <w:top w:val="none" w:sz="0" w:space="0" w:color="auto"/>
        <w:left w:val="none" w:sz="0" w:space="0" w:color="auto"/>
        <w:bottom w:val="none" w:sz="0" w:space="0" w:color="auto"/>
        <w:right w:val="none" w:sz="0" w:space="0" w:color="auto"/>
      </w:divBdr>
    </w:div>
    <w:div w:id="568349965">
      <w:bodyDiv w:val="1"/>
      <w:marLeft w:val="0"/>
      <w:marRight w:val="0"/>
      <w:marTop w:val="0"/>
      <w:marBottom w:val="0"/>
      <w:divBdr>
        <w:top w:val="none" w:sz="0" w:space="0" w:color="auto"/>
        <w:left w:val="none" w:sz="0" w:space="0" w:color="auto"/>
        <w:bottom w:val="none" w:sz="0" w:space="0" w:color="auto"/>
        <w:right w:val="none" w:sz="0" w:space="0" w:color="auto"/>
      </w:divBdr>
    </w:div>
    <w:div w:id="569266130">
      <w:bodyDiv w:val="1"/>
      <w:marLeft w:val="0"/>
      <w:marRight w:val="0"/>
      <w:marTop w:val="0"/>
      <w:marBottom w:val="0"/>
      <w:divBdr>
        <w:top w:val="none" w:sz="0" w:space="0" w:color="auto"/>
        <w:left w:val="none" w:sz="0" w:space="0" w:color="auto"/>
        <w:bottom w:val="none" w:sz="0" w:space="0" w:color="auto"/>
        <w:right w:val="none" w:sz="0" w:space="0" w:color="auto"/>
      </w:divBdr>
    </w:div>
    <w:div w:id="572280140">
      <w:bodyDiv w:val="1"/>
      <w:marLeft w:val="0"/>
      <w:marRight w:val="0"/>
      <w:marTop w:val="0"/>
      <w:marBottom w:val="0"/>
      <w:divBdr>
        <w:top w:val="none" w:sz="0" w:space="0" w:color="auto"/>
        <w:left w:val="none" w:sz="0" w:space="0" w:color="auto"/>
        <w:bottom w:val="none" w:sz="0" w:space="0" w:color="auto"/>
        <w:right w:val="none" w:sz="0" w:space="0" w:color="auto"/>
      </w:divBdr>
    </w:div>
    <w:div w:id="573660168">
      <w:bodyDiv w:val="1"/>
      <w:marLeft w:val="0"/>
      <w:marRight w:val="0"/>
      <w:marTop w:val="0"/>
      <w:marBottom w:val="0"/>
      <w:divBdr>
        <w:top w:val="none" w:sz="0" w:space="0" w:color="auto"/>
        <w:left w:val="none" w:sz="0" w:space="0" w:color="auto"/>
        <w:bottom w:val="none" w:sz="0" w:space="0" w:color="auto"/>
        <w:right w:val="none" w:sz="0" w:space="0" w:color="auto"/>
      </w:divBdr>
    </w:div>
    <w:div w:id="574097541">
      <w:bodyDiv w:val="1"/>
      <w:marLeft w:val="0"/>
      <w:marRight w:val="0"/>
      <w:marTop w:val="0"/>
      <w:marBottom w:val="0"/>
      <w:divBdr>
        <w:top w:val="none" w:sz="0" w:space="0" w:color="auto"/>
        <w:left w:val="none" w:sz="0" w:space="0" w:color="auto"/>
        <w:bottom w:val="none" w:sz="0" w:space="0" w:color="auto"/>
        <w:right w:val="none" w:sz="0" w:space="0" w:color="auto"/>
      </w:divBdr>
    </w:div>
    <w:div w:id="574902113">
      <w:bodyDiv w:val="1"/>
      <w:marLeft w:val="0"/>
      <w:marRight w:val="0"/>
      <w:marTop w:val="0"/>
      <w:marBottom w:val="0"/>
      <w:divBdr>
        <w:top w:val="none" w:sz="0" w:space="0" w:color="auto"/>
        <w:left w:val="none" w:sz="0" w:space="0" w:color="auto"/>
        <w:bottom w:val="none" w:sz="0" w:space="0" w:color="auto"/>
        <w:right w:val="none" w:sz="0" w:space="0" w:color="auto"/>
      </w:divBdr>
    </w:div>
    <w:div w:id="576718790">
      <w:bodyDiv w:val="1"/>
      <w:marLeft w:val="0"/>
      <w:marRight w:val="0"/>
      <w:marTop w:val="0"/>
      <w:marBottom w:val="0"/>
      <w:divBdr>
        <w:top w:val="none" w:sz="0" w:space="0" w:color="auto"/>
        <w:left w:val="none" w:sz="0" w:space="0" w:color="auto"/>
        <w:bottom w:val="none" w:sz="0" w:space="0" w:color="auto"/>
        <w:right w:val="none" w:sz="0" w:space="0" w:color="auto"/>
      </w:divBdr>
      <w:divsChild>
        <w:div w:id="871845537">
          <w:marLeft w:val="0"/>
          <w:marRight w:val="0"/>
          <w:marTop w:val="0"/>
          <w:marBottom w:val="300"/>
          <w:divBdr>
            <w:top w:val="none" w:sz="0" w:space="0" w:color="auto"/>
            <w:left w:val="none" w:sz="0" w:space="0" w:color="auto"/>
            <w:bottom w:val="none" w:sz="0" w:space="0" w:color="auto"/>
            <w:right w:val="none" w:sz="0" w:space="0" w:color="auto"/>
          </w:divBdr>
          <w:divsChild>
            <w:div w:id="229463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7788723">
      <w:bodyDiv w:val="1"/>
      <w:marLeft w:val="0"/>
      <w:marRight w:val="0"/>
      <w:marTop w:val="0"/>
      <w:marBottom w:val="0"/>
      <w:divBdr>
        <w:top w:val="none" w:sz="0" w:space="0" w:color="auto"/>
        <w:left w:val="none" w:sz="0" w:space="0" w:color="auto"/>
        <w:bottom w:val="none" w:sz="0" w:space="0" w:color="auto"/>
        <w:right w:val="none" w:sz="0" w:space="0" w:color="auto"/>
      </w:divBdr>
    </w:div>
    <w:div w:id="578448137">
      <w:bodyDiv w:val="1"/>
      <w:marLeft w:val="0"/>
      <w:marRight w:val="0"/>
      <w:marTop w:val="0"/>
      <w:marBottom w:val="0"/>
      <w:divBdr>
        <w:top w:val="none" w:sz="0" w:space="0" w:color="auto"/>
        <w:left w:val="none" w:sz="0" w:space="0" w:color="auto"/>
        <w:bottom w:val="none" w:sz="0" w:space="0" w:color="auto"/>
        <w:right w:val="none" w:sz="0" w:space="0" w:color="auto"/>
      </w:divBdr>
    </w:div>
    <w:div w:id="580410215">
      <w:bodyDiv w:val="1"/>
      <w:marLeft w:val="0"/>
      <w:marRight w:val="0"/>
      <w:marTop w:val="0"/>
      <w:marBottom w:val="0"/>
      <w:divBdr>
        <w:top w:val="none" w:sz="0" w:space="0" w:color="auto"/>
        <w:left w:val="none" w:sz="0" w:space="0" w:color="auto"/>
        <w:bottom w:val="none" w:sz="0" w:space="0" w:color="auto"/>
        <w:right w:val="none" w:sz="0" w:space="0" w:color="auto"/>
      </w:divBdr>
    </w:div>
    <w:div w:id="585262545">
      <w:bodyDiv w:val="1"/>
      <w:marLeft w:val="0"/>
      <w:marRight w:val="0"/>
      <w:marTop w:val="0"/>
      <w:marBottom w:val="0"/>
      <w:divBdr>
        <w:top w:val="none" w:sz="0" w:space="0" w:color="auto"/>
        <w:left w:val="none" w:sz="0" w:space="0" w:color="auto"/>
        <w:bottom w:val="none" w:sz="0" w:space="0" w:color="auto"/>
        <w:right w:val="none" w:sz="0" w:space="0" w:color="auto"/>
      </w:divBdr>
    </w:div>
    <w:div w:id="592207393">
      <w:bodyDiv w:val="1"/>
      <w:marLeft w:val="0"/>
      <w:marRight w:val="0"/>
      <w:marTop w:val="0"/>
      <w:marBottom w:val="0"/>
      <w:divBdr>
        <w:top w:val="none" w:sz="0" w:space="0" w:color="auto"/>
        <w:left w:val="none" w:sz="0" w:space="0" w:color="auto"/>
        <w:bottom w:val="none" w:sz="0" w:space="0" w:color="auto"/>
        <w:right w:val="none" w:sz="0" w:space="0" w:color="auto"/>
      </w:divBdr>
    </w:div>
    <w:div w:id="602080418">
      <w:bodyDiv w:val="1"/>
      <w:marLeft w:val="0"/>
      <w:marRight w:val="0"/>
      <w:marTop w:val="0"/>
      <w:marBottom w:val="0"/>
      <w:divBdr>
        <w:top w:val="none" w:sz="0" w:space="0" w:color="auto"/>
        <w:left w:val="none" w:sz="0" w:space="0" w:color="auto"/>
        <w:bottom w:val="none" w:sz="0" w:space="0" w:color="auto"/>
        <w:right w:val="none" w:sz="0" w:space="0" w:color="auto"/>
      </w:divBdr>
    </w:div>
    <w:div w:id="609161435">
      <w:bodyDiv w:val="1"/>
      <w:marLeft w:val="0"/>
      <w:marRight w:val="0"/>
      <w:marTop w:val="0"/>
      <w:marBottom w:val="0"/>
      <w:divBdr>
        <w:top w:val="none" w:sz="0" w:space="0" w:color="auto"/>
        <w:left w:val="none" w:sz="0" w:space="0" w:color="auto"/>
        <w:bottom w:val="none" w:sz="0" w:space="0" w:color="auto"/>
        <w:right w:val="none" w:sz="0" w:space="0" w:color="auto"/>
      </w:divBdr>
    </w:div>
    <w:div w:id="624577002">
      <w:bodyDiv w:val="1"/>
      <w:marLeft w:val="0"/>
      <w:marRight w:val="0"/>
      <w:marTop w:val="0"/>
      <w:marBottom w:val="0"/>
      <w:divBdr>
        <w:top w:val="none" w:sz="0" w:space="0" w:color="auto"/>
        <w:left w:val="none" w:sz="0" w:space="0" w:color="auto"/>
        <w:bottom w:val="none" w:sz="0" w:space="0" w:color="auto"/>
        <w:right w:val="none" w:sz="0" w:space="0" w:color="auto"/>
      </w:divBdr>
    </w:div>
    <w:div w:id="625699889">
      <w:bodyDiv w:val="1"/>
      <w:marLeft w:val="0"/>
      <w:marRight w:val="0"/>
      <w:marTop w:val="0"/>
      <w:marBottom w:val="0"/>
      <w:divBdr>
        <w:top w:val="none" w:sz="0" w:space="0" w:color="auto"/>
        <w:left w:val="none" w:sz="0" w:space="0" w:color="auto"/>
        <w:bottom w:val="none" w:sz="0" w:space="0" w:color="auto"/>
        <w:right w:val="none" w:sz="0" w:space="0" w:color="auto"/>
      </w:divBdr>
    </w:div>
    <w:div w:id="626081598">
      <w:bodyDiv w:val="1"/>
      <w:marLeft w:val="0"/>
      <w:marRight w:val="0"/>
      <w:marTop w:val="0"/>
      <w:marBottom w:val="0"/>
      <w:divBdr>
        <w:top w:val="none" w:sz="0" w:space="0" w:color="auto"/>
        <w:left w:val="none" w:sz="0" w:space="0" w:color="auto"/>
        <w:bottom w:val="none" w:sz="0" w:space="0" w:color="auto"/>
        <w:right w:val="none" w:sz="0" w:space="0" w:color="auto"/>
      </w:divBdr>
    </w:div>
    <w:div w:id="629290190">
      <w:bodyDiv w:val="1"/>
      <w:marLeft w:val="0"/>
      <w:marRight w:val="0"/>
      <w:marTop w:val="0"/>
      <w:marBottom w:val="0"/>
      <w:divBdr>
        <w:top w:val="none" w:sz="0" w:space="0" w:color="auto"/>
        <w:left w:val="none" w:sz="0" w:space="0" w:color="auto"/>
        <w:bottom w:val="none" w:sz="0" w:space="0" w:color="auto"/>
        <w:right w:val="none" w:sz="0" w:space="0" w:color="auto"/>
      </w:divBdr>
    </w:div>
    <w:div w:id="630987730">
      <w:bodyDiv w:val="1"/>
      <w:marLeft w:val="0"/>
      <w:marRight w:val="0"/>
      <w:marTop w:val="0"/>
      <w:marBottom w:val="0"/>
      <w:divBdr>
        <w:top w:val="none" w:sz="0" w:space="0" w:color="auto"/>
        <w:left w:val="none" w:sz="0" w:space="0" w:color="auto"/>
        <w:bottom w:val="none" w:sz="0" w:space="0" w:color="auto"/>
        <w:right w:val="none" w:sz="0" w:space="0" w:color="auto"/>
      </w:divBdr>
    </w:div>
    <w:div w:id="643433563">
      <w:bodyDiv w:val="1"/>
      <w:marLeft w:val="0"/>
      <w:marRight w:val="0"/>
      <w:marTop w:val="0"/>
      <w:marBottom w:val="0"/>
      <w:divBdr>
        <w:top w:val="none" w:sz="0" w:space="0" w:color="auto"/>
        <w:left w:val="none" w:sz="0" w:space="0" w:color="auto"/>
        <w:bottom w:val="none" w:sz="0" w:space="0" w:color="auto"/>
        <w:right w:val="none" w:sz="0" w:space="0" w:color="auto"/>
      </w:divBdr>
    </w:div>
    <w:div w:id="656227521">
      <w:bodyDiv w:val="1"/>
      <w:marLeft w:val="0"/>
      <w:marRight w:val="0"/>
      <w:marTop w:val="0"/>
      <w:marBottom w:val="0"/>
      <w:divBdr>
        <w:top w:val="none" w:sz="0" w:space="0" w:color="auto"/>
        <w:left w:val="none" w:sz="0" w:space="0" w:color="auto"/>
        <w:bottom w:val="none" w:sz="0" w:space="0" w:color="auto"/>
        <w:right w:val="none" w:sz="0" w:space="0" w:color="auto"/>
      </w:divBdr>
    </w:div>
    <w:div w:id="660620398">
      <w:bodyDiv w:val="1"/>
      <w:marLeft w:val="0"/>
      <w:marRight w:val="0"/>
      <w:marTop w:val="0"/>
      <w:marBottom w:val="0"/>
      <w:divBdr>
        <w:top w:val="none" w:sz="0" w:space="0" w:color="auto"/>
        <w:left w:val="none" w:sz="0" w:space="0" w:color="auto"/>
        <w:bottom w:val="none" w:sz="0" w:space="0" w:color="auto"/>
        <w:right w:val="none" w:sz="0" w:space="0" w:color="auto"/>
      </w:divBdr>
    </w:div>
    <w:div w:id="668021063">
      <w:bodyDiv w:val="1"/>
      <w:marLeft w:val="0"/>
      <w:marRight w:val="0"/>
      <w:marTop w:val="0"/>
      <w:marBottom w:val="0"/>
      <w:divBdr>
        <w:top w:val="none" w:sz="0" w:space="0" w:color="auto"/>
        <w:left w:val="none" w:sz="0" w:space="0" w:color="auto"/>
        <w:bottom w:val="none" w:sz="0" w:space="0" w:color="auto"/>
        <w:right w:val="none" w:sz="0" w:space="0" w:color="auto"/>
      </w:divBdr>
    </w:div>
    <w:div w:id="675688267">
      <w:bodyDiv w:val="1"/>
      <w:marLeft w:val="0"/>
      <w:marRight w:val="0"/>
      <w:marTop w:val="0"/>
      <w:marBottom w:val="0"/>
      <w:divBdr>
        <w:top w:val="none" w:sz="0" w:space="0" w:color="auto"/>
        <w:left w:val="none" w:sz="0" w:space="0" w:color="auto"/>
        <w:bottom w:val="none" w:sz="0" w:space="0" w:color="auto"/>
        <w:right w:val="none" w:sz="0" w:space="0" w:color="auto"/>
      </w:divBdr>
    </w:div>
    <w:div w:id="686368225">
      <w:bodyDiv w:val="1"/>
      <w:marLeft w:val="0"/>
      <w:marRight w:val="0"/>
      <w:marTop w:val="0"/>
      <w:marBottom w:val="0"/>
      <w:divBdr>
        <w:top w:val="none" w:sz="0" w:space="0" w:color="auto"/>
        <w:left w:val="none" w:sz="0" w:space="0" w:color="auto"/>
        <w:bottom w:val="none" w:sz="0" w:space="0" w:color="auto"/>
        <w:right w:val="none" w:sz="0" w:space="0" w:color="auto"/>
      </w:divBdr>
    </w:div>
    <w:div w:id="693730327">
      <w:bodyDiv w:val="1"/>
      <w:marLeft w:val="0"/>
      <w:marRight w:val="0"/>
      <w:marTop w:val="0"/>
      <w:marBottom w:val="0"/>
      <w:divBdr>
        <w:top w:val="none" w:sz="0" w:space="0" w:color="auto"/>
        <w:left w:val="none" w:sz="0" w:space="0" w:color="auto"/>
        <w:bottom w:val="none" w:sz="0" w:space="0" w:color="auto"/>
        <w:right w:val="none" w:sz="0" w:space="0" w:color="auto"/>
      </w:divBdr>
    </w:div>
    <w:div w:id="697118740">
      <w:bodyDiv w:val="1"/>
      <w:marLeft w:val="0"/>
      <w:marRight w:val="0"/>
      <w:marTop w:val="0"/>
      <w:marBottom w:val="0"/>
      <w:divBdr>
        <w:top w:val="none" w:sz="0" w:space="0" w:color="auto"/>
        <w:left w:val="none" w:sz="0" w:space="0" w:color="auto"/>
        <w:bottom w:val="none" w:sz="0" w:space="0" w:color="auto"/>
        <w:right w:val="none" w:sz="0" w:space="0" w:color="auto"/>
      </w:divBdr>
    </w:div>
    <w:div w:id="700207949">
      <w:bodyDiv w:val="1"/>
      <w:marLeft w:val="0"/>
      <w:marRight w:val="0"/>
      <w:marTop w:val="0"/>
      <w:marBottom w:val="0"/>
      <w:divBdr>
        <w:top w:val="none" w:sz="0" w:space="0" w:color="auto"/>
        <w:left w:val="none" w:sz="0" w:space="0" w:color="auto"/>
        <w:bottom w:val="none" w:sz="0" w:space="0" w:color="auto"/>
        <w:right w:val="none" w:sz="0" w:space="0" w:color="auto"/>
      </w:divBdr>
    </w:div>
    <w:div w:id="713889899">
      <w:bodyDiv w:val="1"/>
      <w:marLeft w:val="0"/>
      <w:marRight w:val="0"/>
      <w:marTop w:val="0"/>
      <w:marBottom w:val="0"/>
      <w:divBdr>
        <w:top w:val="none" w:sz="0" w:space="0" w:color="auto"/>
        <w:left w:val="none" w:sz="0" w:space="0" w:color="auto"/>
        <w:bottom w:val="none" w:sz="0" w:space="0" w:color="auto"/>
        <w:right w:val="none" w:sz="0" w:space="0" w:color="auto"/>
      </w:divBdr>
    </w:div>
    <w:div w:id="726612337">
      <w:bodyDiv w:val="1"/>
      <w:marLeft w:val="0"/>
      <w:marRight w:val="0"/>
      <w:marTop w:val="0"/>
      <w:marBottom w:val="0"/>
      <w:divBdr>
        <w:top w:val="none" w:sz="0" w:space="0" w:color="auto"/>
        <w:left w:val="none" w:sz="0" w:space="0" w:color="auto"/>
        <w:bottom w:val="none" w:sz="0" w:space="0" w:color="auto"/>
        <w:right w:val="none" w:sz="0" w:space="0" w:color="auto"/>
      </w:divBdr>
    </w:div>
    <w:div w:id="727268850">
      <w:bodyDiv w:val="1"/>
      <w:marLeft w:val="0"/>
      <w:marRight w:val="0"/>
      <w:marTop w:val="0"/>
      <w:marBottom w:val="0"/>
      <w:divBdr>
        <w:top w:val="none" w:sz="0" w:space="0" w:color="auto"/>
        <w:left w:val="none" w:sz="0" w:space="0" w:color="auto"/>
        <w:bottom w:val="none" w:sz="0" w:space="0" w:color="auto"/>
        <w:right w:val="none" w:sz="0" w:space="0" w:color="auto"/>
      </w:divBdr>
    </w:div>
    <w:div w:id="728698236">
      <w:bodyDiv w:val="1"/>
      <w:marLeft w:val="0"/>
      <w:marRight w:val="0"/>
      <w:marTop w:val="0"/>
      <w:marBottom w:val="0"/>
      <w:divBdr>
        <w:top w:val="none" w:sz="0" w:space="0" w:color="auto"/>
        <w:left w:val="none" w:sz="0" w:space="0" w:color="auto"/>
        <w:bottom w:val="none" w:sz="0" w:space="0" w:color="auto"/>
        <w:right w:val="none" w:sz="0" w:space="0" w:color="auto"/>
      </w:divBdr>
    </w:div>
    <w:div w:id="736785239">
      <w:bodyDiv w:val="1"/>
      <w:marLeft w:val="0"/>
      <w:marRight w:val="0"/>
      <w:marTop w:val="0"/>
      <w:marBottom w:val="0"/>
      <w:divBdr>
        <w:top w:val="none" w:sz="0" w:space="0" w:color="auto"/>
        <w:left w:val="none" w:sz="0" w:space="0" w:color="auto"/>
        <w:bottom w:val="none" w:sz="0" w:space="0" w:color="auto"/>
        <w:right w:val="none" w:sz="0" w:space="0" w:color="auto"/>
      </w:divBdr>
    </w:div>
    <w:div w:id="741025898">
      <w:bodyDiv w:val="1"/>
      <w:marLeft w:val="0"/>
      <w:marRight w:val="0"/>
      <w:marTop w:val="0"/>
      <w:marBottom w:val="0"/>
      <w:divBdr>
        <w:top w:val="none" w:sz="0" w:space="0" w:color="auto"/>
        <w:left w:val="none" w:sz="0" w:space="0" w:color="auto"/>
        <w:bottom w:val="none" w:sz="0" w:space="0" w:color="auto"/>
        <w:right w:val="none" w:sz="0" w:space="0" w:color="auto"/>
      </w:divBdr>
    </w:div>
    <w:div w:id="741952771">
      <w:bodyDiv w:val="1"/>
      <w:marLeft w:val="0"/>
      <w:marRight w:val="0"/>
      <w:marTop w:val="0"/>
      <w:marBottom w:val="0"/>
      <w:divBdr>
        <w:top w:val="none" w:sz="0" w:space="0" w:color="auto"/>
        <w:left w:val="none" w:sz="0" w:space="0" w:color="auto"/>
        <w:bottom w:val="none" w:sz="0" w:space="0" w:color="auto"/>
        <w:right w:val="none" w:sz="0" w:space="0" w:color="auto"/>
      </w:divBdr>
    </w:div>
    <w:div w:id="745691602">
      <w:bodyDiv w:val="1"/>
      <w:marLeft w:val="0"/>
      <w:marRight w:val="0"/>
      <w:marTop w:val="0"/>
      <w:marBottom w:val="0"/>
      <w:divBdr>
        <w:top w:val="none" w:sz="0" w:space="0" w:color="auto"/>
        <w:left w:val="none" w:sz="0" w:space="0" w:color="auto"/>
        <w:bottom w:val="none" w:sz="0" w:space="0" w:color="auto"/>
        <w:right w:val="none" w:sz="0" w:space="0" w:color="auto"/>
      </w:divBdr>
    </w:div>
    <w:div w:id="745957580">
      <w:bodyDiv w:val="1"/>
      <w:marLeft w:val="0"/>
      <w:marRight w:val="0"/>
      <w:marTop w:val="0"/>
      <w:marBottom w:val="0"/>
      <w:divBdr>
        <w:top w:val="none" w:sz="0" w:space="0" w:color="auto"/>
        <w:left w:val="none" w:sz="0" w:space="0" w:color="auto"/>
        <w:bottom w:val="none" w:sz="0" w:space="0" w:color="auto"/>
        <w:right w:val="none" w:sz="0" w:space="0" w:color="auto"/>
      </w:divBdr>
    </w:div>
    <w:div w:id="748648549">
      <w:bodyDiv w:val="1"/>
      <w:marLeft w:val="0"/>
      <w:marRight w:val="0"/>
      <w:marTop w:val="0"/>
      <w:marBottom w:val="0"/>
      <w:divBdr>
        <w:top w:val="none" w:sz="0" w:space="0" w:color="auto"/>
        <w:left w:val="none" w:sz="0" w:space="0" w:color="auto"/>
        <w:bottom w:val="none" w:sz="0" w:space="0" w:color="auto"/>
        <w:right w:val="none" w:sz="0" w:space="0" w:color="auto"/>
      </w:divBdr>
    </w:div>
    <w:div w:id="755058362">
      <w:bodyDiv w:val="1"/>
      <w:marLeft w:val="0"/>
      <w:marRight w:val="0"/>
      <w:marTop w:val="0"/>
      <w:marBottom w:val="0"/>
      <w:divBdr>
        <w:top w:val="none" w:sz="0" w:space="0" w:color="auto"/>
        <w:left w:val="none" w:sz="0" w:space="0" w:color="auto"/>
        <w:bottom w:val="none" w:sz="0" w:space="0" w:color="auto"/>
        <w:right w:val="none" w:sz="0" w:space="0" w:color="auto"/>
      </w:divBdr>
    </w:div>
    <w:div w:id="755858541">
      <w:bodyDiv w:val="1"/>
      <w:marLeft w:val="0"/>
      <w:marRight w:val="0"/>
      <w:marTop w:val="0"/>
      <w:marBottom w:val="0"/>
      <w:divBdr>
        <w:top w:val="none" w:sz="0" w:space="0" w:color="auto"/>
        <w:left w:val="none" w:sz="0" w:space="0" w:color="auto"/>
        <w:bottom w:val="none" w:sz="0" w:space="0" w:color="auto"/>
        <w:right w:val="none" w:sz="0" w:space="0" w:color="auto"/>
      </w:divBdr>
    </w:div>
    <w:div w:id="755908066">
      <w:bodyDiv w:val="1"/>
      <w:marLeft w:val="0"/>
      <w:marRight w:val="0"/>
      <w:marTop w:val="0"/>
      <w:marBottom w:val="0"/>
      <w:divBdr>
        <w:top w:val="none" w:sz="0" w:space="0" w:color="auto"/>
        <w:left w:val="none" w:sz="0" w:space="0" w:color="auto"/>
        <w:bottom w:val="none" w:sz="0" w:space="0" w:color="auto"/>
        <w:right w:val="none" w:sz="0" w:space="0" w:color="auto"/>
      </w:divBdr>
    </w:div>
    <w:div w:id="756092473">
      <w:bodyDiv w:val="1"/>
      <w:marLeft w:val="0"/>
      <w:marRight w:val="0"/>
      <w:marTop w:val="0"/>
      <w:marBottom w:val="0"/>
      <w:divBdr>
        <w:top w:val="none" w:sz="0" w:space="0" w:color="auto"/>
        <w:left w:val="none" w:sz="0" w:space="0" w:color="auto"/>
        <w:bottom w:val="none" w:sz="0" w:space="0" w:color="auto"/>
        <w:right w:val="none" w:sz="0" w:space="0" w:color="auto"/>
      </w:divBdr>
    </w:div>
    <w:div w:id="756172562">
      <w:bodyDiv w:val="1"/>
      <w:marLeft w:val="0"/>
      <w:marRight w:val="0"/>
      <w:marTop w:val="0"/>
      <w:marBottom w:val="0"/>
      <w:divBdr>
        <w:top w:val="none" w:sz="0" w:space="0" w:color="auto"/>
        <w:left w:val="none" w:sz="0" w:space="0" w:color="auto"/>
        <w:bottom w:val="none" w:sz="0" w:space="0" w:color="auto"/>
        <w:right w:val="none" w:sz="0" w:space="0" w:color="auto"/>
      </w:divBdr>
    </w:div>
    <w:div w:id="764809405">
      <w:bodyDiv w:val="1"/>
      <w:marLeft w:val="0"/>
      <w:marRight w:val="0"/>
      <w:marTop w:val="0"/>
      <w:marBottom w:val="0"/>
      <w:divBdr>
        <w:top w:val="none" w:sz="0" w:space="0" w:color="auto"/>
        <w:left w:val="none" w:sz="0" w:space="0" w:color="auto"/>
        <w:bottom w:val="none" w:sz="0" w:space="0" w:color="auto"/>
        <w:right w:val="none" w:sz="0" w:space="0" w:color="auto"/>
      </w:divBdr>
    </w:div>
    <w:div w:id="766460734">
      <w:bodyDiv w:val="1"/>
      <w:marLeft w:val="0"/>
      <w:marRight w:val="0"/>
      <w:marTop w:val="0"/>
      <w:marBottom w:val="0"/>
      <w:divBdr>
        <w:top w:val="none" w:sz="0" w:space="0" w:color="auto"/>
        <w:left w:val="none" w:sz="0" w:space="0" w:color="auto"/>
        <w:bottom w:val="none" w:sz="0" w:space="0" w:color="auto"/>
        <w:right w:val="none" w:sz="0" w:space="0" w:color="auto"/>
      </w:divBdr>
    </w:div>
    <w:div w:id="771169198">
      <w:bodyDiv w:val="1"/>
      <w:marLeft w:val="0"/>
      <w:marRight w:val="0"/>
      <w:marTop w:val="0"/>
      <w:marBottom w:val="0"/>
      <w:divBdr>
        <w:top w:val="none" w:sz="0" w:space="0" w:color="auto"/>
        <w:left w:val="none" w:sz="0" w:space="0" w:color="auto"/>
        <w:bottom w:val="none" w:sz="0" w:space="0" w:color="auto"/>
        <w:right w:val="none" w:sz="0" w:space="0" w:color="auto"/>
      </w:divBdr>
    </w:div>
    <w:div w:id="774055662">
      <w:bodyDiv w:val="1"/>
      <w:marLeft w:val="0"/>
      <w:marRight w:val="0"/>
      <w:marTop w:val="0"/>
      <w:marBottom w:val="0"/>
      <w:divBdr>
        <w:top w:val="none" w:sz="0" w:space="0" w:color="auto"/>
        <w:left w:val="none" w:sz="0" w:space="0" w:color="auto"/>
        <w:bottom w:val="none" w:sz="0" w:space="0" w:color="auto"/>
        <w:right w:val="none" w:sz="0" w:space="0" w:color="auto"/>
      </w:divBdr>
    </w:div>
    <w:div w:id="778372668">
      <w:bodyDiv w:val="1"/>
      <w:marLeft w:val="0"/>
      <w:marRight w:val="0"/>
      <w:marTop w:val="0"/>
      <w:marBottom w:val="0"/>
      <w:divBdr>
        <w:top w:val="none" w:sz="0" w:space="0" w:color="auto"/>
        <w:left w:val="none" w:sz="0" w:space="0" w:color="auto"/>
        <w:bottom w:val="none" w:sz="0" w:space="0" w:color="auto"/>
        <w:right w:val="none" w:sz="0" w:space="0" w:color="auto"/>
      </w:divBdr>
    </w:div>
    <w:div w:id="784469861">
      <w:bodyDiv w:val="1"/>
      <w:marLeft w:val="0"/>
      <w:marRight w:val="0"/>
      <w:marTop w:val="0"/>
      <w:marBottom w:val="0"/>
      <w:divBdr>
        <w:top w:val="none" w:sz="0" w:space="0" w:color="auto"/>
        <w:left w:val="none" w:sz="0" w:space="0" w:color="auto"/>
        <w:bottom w:val="none" w:sz="0" w:space="0" w:color="auto"/>
        <w:right w:val="none" w:sz="0" w:space="0" w:color="auto"/>
      </w:divBdr>
    </w:div>
    <w:div w:id="792678708">
      <w:bodyDiv w:val="1"/>
      <w:marLeft w:val="0"/>
      <w:marRight w:val="0"/>
      <w:marTop w:val="0"/>
      <w:marBottom w:val="0"/>
      <w:divBdr>
        <w:top w:val="none" w:sz="0" w:space="0" w:color="auto"/>
        <w:left w:val="none" w:sz="0" w:space="0" w:color="auto"/>
        <w:bottom w:val="none" w:sz="0" w:space="0" w:color="auto"/>
        <w:right w:val="none" w:sz="0" w:space="0" w:color="auto"/>
      </w:divBdr>
    </w:div>
    <w:div w:id="794371912">
      <w:bodyDiv w:val="1"/>
      <w:marLeft w:val="0"/>
      <w:marRight w:val="0"/>
      <w:marTop w:val="0"/>
      <w:marBottom w:val="0"/>
      <w:divBdr>
        <w:top w:val="none" w:sz="0" w:space="0" w:color="auto"/>
        <w:left w:val="none" w:sz="0" w:space="0" w:color="auto"/>
        <w:bottom w:val="none" w:sz="0" w:space="0" w:color="auto"/>
        <w:right w:val="none" w:sz="0" w:space="0" w:color="auto"/>
      </w:divBdr>
    </w:div>
    <w:div w:id="801578952">
      <w:bodyDiv w:val="1"/>
      <w:marLeft w:val="0"/>
      <w:marRight w:val="0"/>
      <w:marTop w:val="0"/>
      <w:marBottom w:val="0"/>
      <w:divBdr>
        <w:top w:val="none" w:sz="0" w:space="0" w:color="auto"/>
        <w:left w:val="none" w:sz="0" w:space="0" w:color="auto"/>
        <w:bottom w:val="none" w:sz="0" w:space="0" w:color="auto"/>
        <w:right w:val="none" w:sz="0" w:space="0" w:color="auto"/>
      </w:divBdr>
    </w:div>
    <w:div w:id="802114092">
      <w:bodyDiv w:val="1"/>
      <w:marLeft w:val="0"/>
      <w:marRight w:val="0"/>
      <w:marTop w:val="0"/>
      <w:marBottom w:val="0"/>
      <w:divBdr>
        <w:top w:val="none" w:sz="0" w:space="0" w:color="auto"/>
        <w:left w:val="none" w:sz="0" w:space="0" w:color="auto"/>
        <w:bottom w:val="none" w:sz="0" w:space="0" w:color="auto"/>
        <w:right w:val="none" w:sz="0" w:space="0" w:color="auto"/>
      </w:divBdr>
    </w:div>
    <w:div w:id="803501028">
      <w:bodyDiv w:val="1"/>
      <w:marLeft w:val="0"/>
      <w:marRight w:val="0"/>
      <w:marTop w:val="0"/>
      <w:marBottom w:val="0"/>
      <w:divBdr>
        <w:top w:val="none" w:sz="0" w:space="0" w:color="auto"/>
        <w:left w:val="none" w:sz="0" w:space="0" w:color="auto"/>
        <w:bottom w:val="none" w:sz="0" w:space="0" w:color="auto"/>
        <w:right w:val="none" w:sz="0" w:space="0" w:color="auto"/>
      </w:divBdr>
    </w:div>
    <w:div w:id="803624392">
      <w:bodyDiv w:val="1"/>
      <w:marLeft w:val="0"/>
      <w:marRight w:val="0"/>
      <w:marTop w:val="0"/>
      <w:marBottom w:val="0"/>
      <w:divBdr>
        <w:top w:val="none" w:sz="0" w:space="0" w:color="auto"/>
        <w:left w:val="none" w:sz="0" w:space="0" w:color="auto"/>
        <w:bottom w:val="none" w:sz="0" w:space="0" w:color="auto"/>
        <w:right w:val="none" w:sz="0" w:space="0" w:color="auto"/>
      </w:divBdr>
    </w:div>
    <w:div w:id="804156495">
      <w:bodyDiv w:val="1"/>
      <w:marLeft w:val="0"/>
      <w:marRight w:val="0"/>
      <w:marTop w:val="0"/>
      <w:marBottom w:val="0"/>
      <w:divBdr>
        <w:top w:val="none" w:sz="0" w:space="0" w:color="auto"/>
        <w:left w:val="none" w:sz="0" w:space="0" w:color="auto"/>
        <w:bottom w:val="none" w:sz="0" w:space="0" w:color="auto"/>
        <w:right w:val="none" w:sz="0" w:space="0" w:color="auto"/>
      </w:divBdr>
    </w:div>
    <w:div w:id="810250960">
      <w:bodyDiv w:val="1"/>
      <w:marLeft w:val="0"/>
      <w:marRight w:val="0"/>
      <w:marTop w:val="0"/>
      <w:marBottom w:val="0"/>
      <w:divBdr>
        <w:top w:val="none" w:sz="0" w:space="0" w:color="auto"/>
        <w:left w:val="none" w:sz="0" w:space="0" w:color="auto"/>
        <w:bottom w:val="none" w:sz="0" w:space="0" w:color="auto"/>
        <w:right w:val="none" w:sz="0" w:space="0" w:color="auto"/>
      </w:divBdr>
    </w:div>
    <w:div w:id="813834664">
      <w:bodyDiv w:val="1"/>
      <w:marLeft w:val="0"/>
      <w:marRight w:val="0"/>
      <w:marTop w:val="0"/>
      <w:marBottom w:val="0"/>
      <w:divBdr>
        <w:top w:val="none" w:sz="0" w:space="0" w:color="auto"/>
        <w:left w:val="none" w:sz="0" w:space="0" w:color="auto"/>
        <w:bottom w:val="none" w:sz="0" w:space="0" w:color="auto"/>
        <w:right w:val="none" w:sz="0" w:space="0" w:color="auto"/>
      </w:divBdr>
    </w:div>
    <w:div w:id="819927816">
      <w:bodyDiv w:val="1"/>
      <w:marLeft w:val="0"/>
      <w:marRight w:val="0"/>
      <w:marTop w:val="0"/>
      <w:marBottom w:val="0"/>
      <w:divBdr>
        <w:top w:val="none" w:sz="0" w:space="0" w:color="auto"/>
        <w:left w:val="none" w:sz="0" w:space="0" w:color="auto"/>
        <w:bottom w:val="none" w:sz="0" w:space="0" w:color="auto"/>
        <w:right w:val="none" w:sz="0" w:space="0" w:color="auto"/>
      </w:divBdr>
    </w:div>
    <w:div w:id="829368533">
      <w:bodyDiv w:val="1"/>
      <w:marLeft w:val="0"/>
      <w:marRight w:val="0"/>
      <w:marTop w:val="0"/>
      <w:marBottom w:val="0"/>
      <w:divBdr>
        <w:top w:val="none" w:sz="0" w:space="0" w:color="auto"/>
        <w:left w:val="none" w:sz="0" w:space="0" w:color="auto"/>
        <w:bottom w:val="none" w:sz="0" w:space="0" w:color="auto"/>
        <w:right w:val="none" w:sz="0" w:space="0" w:color="auto"/>
      </w:divBdr>
    </w:div>
    <w:div w:id="831334964">
      <w:bodyDiv w:val="1"/>
      <w:marLeft w:val="0"/>
      <w:marRight w:val="0"/>
      <w:marTop w:val="0"/>
      <w:marBottom w:val="0"/>
      <w:divBdr>
        <w:top w:val="none" w:sz="0" w:space="0" w:color="auto"/>
        <w:left w:val="none" w:sz="0" w:space="0" w:color="auto"/>
        <w:bottom w:val="none" w:sz="0" w:space="0" w:color="auto"/>
        <w:right w:val="none" w:sz="0" w:space="0" w:color="auto"/>
      </w:divBdr>
    </w:div>
    <w:div w:id="833186780">
      <w:bodyDiv w:val="1"/>
      <w:marLeft w:val="0"/>
      <w:marRight w:val="0"/>
      <w:marTop w:val="0"/>
      <w:marBottom w:val="0"/>
      <w:divBdr>
        <w:top w:val="none" w:sz="0" w:space="0" w:color="auto"/>
        <w:left w:val="none" w:sz="0" w:space="0" w:color="auto"/>
        <w:bottom w:val="none" w:sz="0" w:space="0" w:color="auto"/>
        <w:right w:val="none" w:sz="0" w:space="0" w:color="auto"/>
      </w:divBdr>
    </w:div>
    <w:div w:id="836925789">
      <w:bodyDiv w:val="1"/>
      <w:marLeft w:val="0"/>
      <w:marRight w:val="0"/>
      <w:marTop w:val="0"/>
      <w:marBottom w:val="0"/>
      <w:divBdr>
        <w:top w:val="none" w:sz="0" w:space="0" w:color="auto"/>
        <w:left w:val="none" w:sz="0" w:space="0" w:color="auto"/>
        <w:bottom w:val="none" w:sz="0" w:space="0" w:color="auto"/>
        <w:right w:val="none" w:sz="0" w:space="0" w:color="auto"/>
      </w:divBdr>
    </w:div>
    <w:div w:id="846677287">
      <w:bodyDiv w:val="1"/>
      <w:marLeft w:val="0"/>
      <w:marRight w:val="0"/>
      <w:marTop w:val="0"/>
      <w:marBottom w:val="0"/>
      <w:divBdr>
        <w:top w:val="none" w:sz="0" w:space="0" w:color="auto"/>
        <w:left w:val="none" w:sz="0" w:space="0" w:color="auto"/>
        <w:bottom w:val="none" w:sz="0" w:space="0" w:color="auto"/>
        <w:right w:val="none" w:sz="0" w:space="0" w:color="auto"/>
      </w:divBdr>
    </w:div>
    <w:div w:id="855995635">
      <w:bodyDiv w:val="1"/>
      <w:marLeft w:val="0"/>
      <w:marRight w:val="0"/>
      <w:marTop w:val="0"/>
      <w:marBottom w:val="0"/>
      <w:divBdr>
        <w:top w:val="none" w:sz="0" w:space="0" w:color="auto"/>
        <w:left w:val="none" w:sz="0" w:space="0" w:color="auto"/>
        <w:bottom w:val="none" w:sz="0" w:space="0" w:color="auto"/>
        <w:right w:val="none" w:sz="0" w:space="0" w:color="auto"/>
      </w:divBdr>
    </w:div>
    <w:div w:id="859271403">
      <w:bodyDiv w:val="1"/>
      <w:marLeft w:val="0"/>
      <w:marRight w:val="0"/>
      <w:marTop w:val="0"/>
      <w:marBottom w:val="0"/>
      <w:divBdr>
        <w:top w:val="none" w:sz="0" w:space="0" w:color="auto"/>
        <w:left w:val="none" w:sz="0" w:space="0" w:color="auto"/>
        <w:bottom w:val="none" w:sz="0" w:space="0" w:color="auto"/>
        <w:right w:val="none" w:sz="0" w:space="0" w:color="auto"/>
      </w:divBdr>
    </w:div>
    <w:div w:id="859705623">
      <w:bodyDiv w:val="1"/>
      <w:marLeft w:val="0"/>
      <w:marRight w:val="0"/>
      <w:marTop w:val="0"/>
      <w:marBottom w:val="0"/>
      <w:divBdr>
        <w:top w:val="none" w:sz="0" w:space="0" w:color="auto"/>
        <w:left w:val="none" w:sz="0" w:space="0" w:color="auto"/>
        <w:bottom w:val="none" w:sz="0" w:space="0" w:color="auto"/>
        <w:right w:val="none" w:sz="0" w:space="0" w:color="auto"/>
      </w:divBdr>
    </w:div>
    <w:div w:id="868419017">
      <w:bodyDiv w:val="1"/>
      <w:marLeft w:val="0"/>
      <w:marRight w:val="0"/>
      <w:marTop w:val="0"/>
      <w:marBottom w:val="0"/>
      <w:divBdr>
        <w:top w:val="none" w:sz="0" w:space="0" w:color="auto"/>
        <w:left w:val="none" w:sz="0" w:space="0" w:color="auto"/>
        <w:bottom w:val="none" w:sz="0" w:space="0" w:color="auto"/>
        <w:right w:val="none" w:sz="0" w:space="0" w:color="auto"/>
      </w:divBdr>
    </w:div>
    <w:div w:id="870842962">
      <w:bodyDiv w:val="1"/>
      <w:marLeft w:val="0"/>
      <w:marRight w:val="0"/>
      <w:marTop w:val="0"/>
      <w:marBottom w:val="0"/>
      <w:divBdr>
        <w:top w:val="none" w:sz="0" w:space="0" w:color="auto"/>
        <w:left w:val="none" w:sz="0" w:space="0" w:color="auto"/>
        <w:bottom w:val="none" w:sz="0" w:space="0" w:color="auto"/>
        <w:right w:val="none" w:sz="0" w:space="0" w:color="auto"/>
      </w:divBdr>
    </w:div>
    <w:div w:id="892428320">
      <w:bodyDiv w:val="1"/>
      <w:marLeft w:val="0"/>
      <w:marRight w:val="0"/>
      <w:marTop w:val="0"/>
      <w:marBottom w:val="0"/>
      <w:divBdr>
        <w:top w:val="none" w:sz="0" w:space="0" w:color="auto"/>
        <w:left w:val="none" w:sz="0" w:space="0" w:color="auto"/>
        <w:bottom w:val="none" w:sz="0" w:space="0" w:color="auto"/>
        <w:right w:val="none" w:sz="0" w:space="0" w:color="auto"/>
      </w:divBdr>
    </w:div>
    <w:div w:id="898517504">
      <w:bodyDiv w:val="1"/>
      <w:marLeft w:val="0"/>
      <w:marRight w:val="0"/>
      <w:marTop w:val="0"/>
      <w:marBottom w:val="0"/>
      <w:divBdr>
        <w:top w:val="none" w:sz="0" w:space="0" w:color="auto"/>
        <w:left w:val="none" w:sz="0" w:space="0" w:color="auto"/>
        <w:bottom w:val="none" w:sz="0" w:space="0" w:color="auto"/>
        <w:right w:val="none" w:sz="0" w:space="0" w:color="auto"/>
      </w:divBdr>
    </w:div>
    <w:div w:id="910576659">
      <w:bodyDiv w:val="1"/>
      <w:marLeft w:val="0"/>
      <w:marRight w:val="0"/>
      <w:marTop w:val="0"/>
      <w:marBottom w:val="0"/>
      <w:divBdr>
        <w:top w:val="none" w:sz="0" w:space="0" w:color="auto"/>
        <w:left w:val="none" w:sz="0" w:space="0" w:color="auto"/>
        <w:bottom w:val="none" w:sz="0" w:space="0" w:color="auto"/>
        <w:right w:val="none" w:sz="0" w:space="0" w:color="auto"/>
      </w:divBdr>
    </w:div>
    <w:div w:id="925000648">
      <w:bodyDiv w:val="1"/>
      <w:marLeft w:val="0"/>
      <w:marRight w:val="0"/>
      <w:marTop w:val="0"/>
      <w:marBottom w:val="0"/>
      <w:divBdr>
        <w:top w:val="none" w:sz="0" w:space="0" w:color="auto"/>
        <w:left w:val="none" w:sz="0" w:space="0" w:color="auto"/>
        <w:bottom w:val="none" w:sz="0" w:space="0" w:color="auto"/>
        <w:right w:val="none" w:sz="0" w:space="0" w:color="auto"/>
      </w:divBdr>
    </w:div>
    <w:div w:id="927542493">
      <w:bodyDiv w:val="1"/>
      <w:marLeft w:val="0"/>
      <w:marRight w:val="0"/>
      <w:marTop w:val="0"/>
      <w:marBottom w:val="0"/>
      <w:divBdr>
        <w:top w:val="none" w:sz="0" w:space="0" w:color="auto"/>
        <w:left w:val="none" w:sz="0" w:space="0" w:color="auto"/>
        <w:bottom w:val="none" w:sz="0" w:space="0" w:color="auto"/>
        <w:right w:val="none" w:sz="0" w:space="0" w:color="auto"/>
      </w:divBdr>
    </w:div>
    <w:div w:id="937250108">
      <w:bodyDiv w:val="1"/>
      <w:marLeft w:val="0"/>
      <w:marRight w:val="0"/>
      <w:marTop w:val="0"/>
      <w:marBottom w:val="0"/>
      <w:divBdr>
        <w:top w:val="none" w:sz="0" w:space="0" w:color="auto"/>
        <w:left w:val="none" w:sz="0" w:space="0" w:color="auto"/>
        <w:bottom w:val="none" w:sz="0" w:space="0" w:color="auto"/>
        <w:right w:val="none" w:sz="0" w:space="0" w:color="auto"/>
      </w:divBdr>
    </w:div>
    <w:div w:id="940338252">
      <w:bodyDiv w:val="1"/>
      <w:marLeft w:val="0"/>
      <w:marRight w:val="0"/>
      <w:marTop w:val="0"/>
      <w:marBottom w:val="0"/>
      <w:divBdr>
        <w:top w:val="none" w:sz="0" w:space="0" w:color="auto"/>
        <w:left w:val="none" w:sz="0" w:space="0" w:color="auto"/>
        <w:bottom w:val="none" w:sz="0" w:space="0" w:color="auto"/>
        <w:right w:val="none" w:sz="0" w:space="0" w:color="auto"/>
      </w:divBdr>
    </w:div>
    <w:div w:id="947005744">
      <w:bodyDiv w:val="1"/>
      <w:marLeft w:val="0"/>
      <w:marRight w:val="0"/>
      <w:marTop w:val="0"/>
      <w:marBottom w:val="0"/>
      <w:divBdr>
        <w:top w:val="none" w:sz="0" w:space="0" w:color="auto"/>
        <w:left w:val="none" w:sz="0" w:space="0" w:color="auto"/>
        <w:bottom w:val="none" w:sz="0" w:space="0" w:color="auto"/>
        <w:right w:val="none" w:sz="0" w:space="0" w:color="auto"/>
      </w:divBdr>
    </w:div>
    <w:div w:id="949320580">
      <w:bodyDiv w:val="1"/>
      <w:marLeft w:val="0"/>
      <w:marRight w:val="0"/>
      <w:marTop w:val="0"/>
      <w:marBottom w:val="0"/>
      <w:divBdr>
        <w:top w:val="none" w:sz="0" w:space="0" w:color="auto"/>
        <w:left w:val="none" w:sz="0" w:space="0" w:color="auto"/>
        <w:bottom w:val="none" w:sz="0" w:space="0" w:color="auto"/>
        <w:right w:val="none" w:sz="0" w:space="0" w:color="auto"/>
      </w:divBdr>
    </w:div>
    <w:div w:id="954407665">
      <w:bodyDiv w:val="1"/>
      <w:marLeft w:val="0"/>
      <w:marRight w:val="0"/>
      <w:marTop w:val="0"/>
      <w:marBottom w:val="0"/>
      <w:divBdr>
        <w:top w:val="none" w:sz="0" w:space="0" w:color="auto"/>
        <w:left w:val="none" w:sz="0" w:space="0" w:color="auto"/>
        <w:bottom w:val="none" w:sz="0" w:space="0" w:color="auto"/>
        <w:right w:val="none" w:sz="0" w:space="0" w:color="auto"/>
      </w:divBdr>
    </w:div>
    <w:div w:id="961886243">
      <w:bodyDiv w:val="1"/>
      <w:marLeft w:val="0"/>
      <w:marRight w:val="0"/>
      <w:marTop w:val="0"/>
      <w:marBottom w:val="0"/>
      <w:divBdr>
        <w:top w:val="none" w:sz="0" w:space="0" w:color="auto"/>
        <w:left w:val="none" w:sz="0" w:space="0" w:color="auto"/>
        <w:bottom w:val="none" w:sz="0" w:space="0" w:color="auto"/>
        <w:right w:val="none" w:sz="0" w:space="0" w:color="auto"/>
      </w:divBdr>
    </w:div>
    <w:div w:id="962883471">
      <w:bodyDiv w:val="1"/>
      <w:marLeft w:val="0"/>
      <w:marRight w:val="0"/>
      <w:marTop w:val="0"/>
      <w:marBottom w:val="0"/>
      <w:divBdr>
        <w:top w:val="none" w:sz="0" w:space="0" w:color="auto"/>
        <w:left w:val="none" w:sz="0" w:space="0" w:color="auto"/>
        <w:bottom w:val="none" w:sz="0" w:space="0" w:color="auto"/>
        <w:right w:val="none" w:sz="0" w:space="0" w:color="auto"/>
      </w:divBdr>
    </w:div>
    <w:div w:id="966736277">
      <w:bodyDiv w:val="1"/>
      <w:marLeft w:val="0"/>
      <w:marRight w:val="0"/>
      <w:marTop w:val="0"/>
      <w:marBottom w:val="0"/>
      <w:divBdr>
        <w:top w:val="none" w:sz="0" w:space="0" w:color="auto"/>
        <w:left w:val="none" w:sz="0" w:space="0" w:color="auto"/>
        <w:bottom w:val="none" w:sz="0" w:space="0" w:color="auto"/>
        <w:right w:val="none" w:sz="0" w:space="0" w:color="auto"/>
      </w:divBdr>
    </w:div>
    <w:div w:id="972636203">
      <w:bodyDiv w:val="1"/>
      <w:marLeft w:val="0"/>
      <w:marRight w:val="0"/>
      <w:marTop w:val="0"/>
      <w:marBottom w:val="0"/>
      <w:divBdr>
        <w:top w:val="none" w:sz="0" w:space="0" w:color="auto"/>
        <w:left w:val="none" w:sz="0" w:space="0" w:color="auto"/>
        <w:bottom w:val="none" w:sz="0" w:space="0" w:color="auto"/>
        <w:right w:val="none" w:sz="0" w:space="0" w:color="auto"/>
      </w:divBdr>
    </w:div>
    <w:div w:id="977490374">
      <w:bodyDiv w:val="1"/>
      <w:marLeft w:val="0"/>
      <w:marRight w:val="0"/>
      <w:marTop w:val="0"/>
      <w:marBottom w:val="0"/>
      <w:divBdr>
        <w:top w:val="none" w:sz="0" w:space="0" w:color="auto"/>
        <w:left w:val="none" w:sz="0" w:space="0" w:color="auto"/>
        <w:bottom w:val="none" w:sz="0" w:space="0" w:color="auto"/>
        <w:right w:val="none" w:sz="0" w:space="0" w:color="auto"/>
      </w:divBdr>
    </w:div>
    <w:div w:id="983656545">
      <w:bodyDiv w:val="1"/>
      <w:marLeft w:val="0"/>
      <w:marRight w:val="0"/>
      <w:marTop w:val="0"/>
      <w:marBottom w:val="0"/>
      <w:divBdr>
        <w:top w:val="none" w:sz="0" w:space="0" w:color="auto"/>
        <w:left w:val="none" w:sz="0" w:space="0" w:color="auto"/>
        <w:bottom w:val="none" w:sz="0" w:space="0" w:color="auto"/>
        <w:right w:val="none" w:sz="0" w:space="0" w:color="auto"/>
      </w:divBdr>
    </w:div>
    <w:div w:id="984353384">
      <w:bodyDiv w:val="1"/>
      <w:marLeft w:val="0"/>
      <w:marRight w:val="0"/>
      <w:marTop w:val="0"/>
      <w:marBottom w:val="0"/>
      <w:divBdr>
        <w:top w:val="none" w:sz="0" w:space="0" w:color="auto"/>
        <w:left w:val="none" w:sz="0" w:space="0" w:color="auto"/>
        <w:bottom w:val="none" w:sz="0" w:space="0" w:color="auto"/>
        <w:right w:val="none" w:sz="0" w:space="0" w:color="auto"/>
      </w:divBdr>
    </w:div>
    <w:div w:id="986589428">
      <w:bodyDiv w:val="1"/>
      <w:marLeft w:val="0"/>
      <w:marRight w:val="0"/>
      <w:marTop w:val="0"/>
      <w:marBottom w:val="0"/>
      <w:divBdr>
        <w:top w:val="none" w:sz="0" w:space="0" w:color="auto"/>
        <w:left w:val="none" w:sz="0" w:space="0" w:color="auto"/>
        <w:bottom w:val="none" w:sz="0" w:space="0" w:color="auto"/>
        <w:right w:val="none" w:sz="0" w:space="0" w:color="auto"/>
      </w:divBdr>
    </w:div>
    <w:div w:id="988359902">
      <w:bodyDiv w:val="1"/>
      <w:marLeft w:val="0"/>
      <w:marRight w:val="0"/>
      <w:marTop w:val="0"/>
      <w:marBottom w:val="0"/>
      <w:divBdr>
        <w:top w:val="none" w:sz="0" w:space="0" w:color="auto"/>
        <w:left w:val="none" w:sz="0" w:space="0" w:color="auto"/>
        <w:bottom w:val="none" w:sz="0" w:space="0" w:color="auto"/>
        <w:right w:val="none" w:sz="0" w:space="0" w:color="auto"/>
      </w:divBdr>
    </w:div>
    <w:div w:id="1000699164">
      <w:bodyDiv w:val="1"/>
      <w:marLeft w:val="0"/>
      <w:marRight w:val="0"/>
      <w:marTop w:val="0"/>
      <w:marBottom w:val="0"/>
      <w:divBdr>
        <w:top w:val="none" w:sz="0" w:space="0" w:color="auto"/>
        <w:left w:val="none" w:sz="0" w:space="0" w:color="auto"/>
        <w:bottom w:val="none" w:sz="0" w:space="0" w:color="auto"/>
        <w:right w:val="none" w:sz="0" w:space="0" w:color="auto"/>
      </w:divBdr>
    </w:div>
    <w:div w:id="1003437283">
      <w:bodyDiv w:val="1"/>
      <w:marLeft w:val="0"/>
      <w:marRight w:val="0"/>
      <w:marTop w:val="0"/>
      <w:marBottom w:val="0"/>
      <w:divBdr>
        <w:top w:val="none" w:sz="0" w:space="0" w:color="auto"/>
        <w:left w:val="none" w:sz="0" w:space="0" w:color="auto"/>
        <w:bottom w:val="none" w:sz="0" w:space="0" w:color="auto"/>
        <w:right w:val="none" w:sz="0" w:space="0" w:color="auto"/>
      </w:divBdr>
    </w:div>
    <w:div w:id="1015958115">
      <w:bodyDiv w:val="1"/>
      <w:marLeft w:val="0"/>
      <w:marRight w:val="0"/>
      <w:marTop w:val="0"/>
      <w:marBottom w:val="0"/>
      <w:divBdr>
        <w:top w:val="none" w:sz="0" w:space="0" w:color="auto"/>
        <w:left w:val="none" w:sz="0" w:space="0" w:color="auto"/>
        <w:bottom w:val="none" w:sz="0" w:space="0" w:color="auto"/>
        <w:right w:val="none" w:sz="0" w:space="0" w:color="auto"/>
      </w:divBdr>
    </w:div>
    <w:div w:id="1028289277">
      <w:bodyDiv w:val="1"/>
      <w:marLeft w:val="0"/>
      <w:marRight w:val="0"/>
      <w:marTop w:val="0"/>
      <w:marBottom w:val="0"/>
      <w:divBdr>
        <w:top w:val="none" w:sz="0" w:space="0" w:color="auto"/>
        <w:left w:val="none" w:sz="0" w:space="0" w:color="auto"/>
        <w:bottom w:val="none" w:sz="0" w:space="0" w:color="auto"/>
        <w:right w:val="none" w:sz="0" w:space="0" w:color="auto"/>
      </w:divBdr>
    </w:div>
    <w:div w:id="1031876225">
      <w:bodyDiv w:val="1"/>
      <w:marLeft w:val="0"/>
      <w:marRight w:val="0"/>
      <w:marTop w:val="0"/>
      <w:marBottom w:val="0"/>
      <w:divBdr>
        <w:top w:val="none" w:sz="0" w:space="0" w:color="auto"/>
        <w:left w:val="none" w:sz="0" w:space="0" w:color="auto"/>
        <w:bottom w:val="none" w:sz="0" w:space="0" w:color="auto"/>
        <w:right w:val="none" w:sz="0" w:space="0" w:color="auto"/>
      </w:divBdr>
    </w:div>
    <w:div w:id="1034621843">
      <w:bodyDiv w:val="1"/>
      <w:marLeft w:val="0"/>
      <w:marRight w:val="0"/>
      <w:marTop w:val="0"/>
      <w:marBottom w:val="0"/>
      <w:divBdr>
        <w:top w:val="none" w:sz="0" w:space="0" w:color="auto"/>
        <w:left w:val="none" w:sz="0" w:space="0" w:color="auto"/>
        <w:bottom w:val="none" w:sz="0" w:space="0" w:color="auto"/>
        <w:right w:val="none" w:sz="0" w:space="0" w:color="auto"/>
      </w:divBdr>
    </w:div>
    <w:div w:id="1046639284">
      <w:bodyDiv w:val="1"/>
      <w:marLeft w:val="0"/>
      <w:marRight w:val="0"/>
      <w:marTop w:val="0"/>
      <w:marBottom w:val="0"/>
      <w:divBdr>
        <w:top w:val="none" w:sz="0" w:space="0" w:color="auto"/>
        <w:left w:val="none" w:sz="0" w:space="0" w:color="auto"/>
        <w:bottom w:val="none" w:sz="0" w:space="0" w:color="auto"/>
        <w:right w:val="none" w:sz="0" w:space="0" w:color="auto"/>
      </w:divBdr>
    </w:div>
    <w:div w:id="1053845103">
      <w:bodyDiv w:val="1"/>
      <w:marLeft w:val="0"/>
      <w:marRight w:val="0"/>
      <w:marTop w:val="0"/>
      <w:marBottom w:val="0"/>
      <w:divBdr>
        <w:top w:val="none" w:sz="0" w:space="0" w:color="auto"/>
        <w:left w:val="none" w:sz="0" w:space="0" w:color="auto"/>
        <w:bottom w:val="none" w:sz="0" w:space="0" w:color="auto"/>
        <w:right w:val="none" w:sz="0" w:space="0" w:color="auto"/>
      </w:divBdr>
    </w:div>
    <w:div w:id="1060593547">
      <w:bodyDiv w:val="1"/>
      <w:marLeft w:val="0"/>
      <w:marRight w:val="0"/>
      <w:marTop w:val="0"/>
      <w:marBottom w:val="0"/>
      <w:divBdr>
        <w:top w:val="none" w:sz="0" w:space="0" w:color="auto"/>
        <w:left w:val="none" w:sz="0" w:space="0" w:color="auto"/>
        <w:bottom w:val="none" w:sz="0" w:space="0" w:color="auto"/>
        <w:right w:val="none" w:sz="0" w:space="0" w:color="auto"/>
      </w:divBdr>
    </w:div>
    <w:div w:id="1072309298">
      <w:bodyDiv w:val="1"/>
      <w:marLeft w:val="0"/>
      <w:marRight w:val="0"/>
      <w:marTop w:val="0"/>
      <w:marBottom w:val="0"/>
      <w:divBdr>
        <w:top w:val="none" w:sz="0" w:space="0" w:color="auto"/>
        <w:left w:val="none" w:sz="0" w:space="0" w:color="auto"/>
        <w:bottom w:val="none" w:sz="0" w:space="0" w:color="auto"/>
        <w:right w:val="none" w:sz="0" w:space="0" w:color="auto"/>
      </w:divBdr>
    </w:div>
    <w:div w:id="1073158686">
      <w:bodyDiv w:val="1"/>
      <w:marLeft w:val="0"/>
      <w:marRight w:val="0"/>
      <w:marTop w:val="0"/>
      <w:marBottom w:val="0"/>
      <w:divBdr>
        <w:top w:val="none" w:sz="0" w:space="0" w:color="auto"/>
        <w:left w:val="none" w:sz="0" w:space="0" w:color="auto"/>
        <w:bottom w:val="none" w:sz="0" w:space="0" w:color="auto"/>
        <w:right w:val="none" w:sz="0" w:space="0" w:color="auto"/>
      </w:divBdr>
    </w:div>
    <w:div w:id="1078331557">
      <w:bodyDiv w:val="1"/>
      <w:marLeft w:val="0"/>
      <w:marRight w:val="0"/>
      <w:marTop w:val="0"/>
      <w:marBottom w:val="0"/>
      <w:divBdr>
        <w:top w:val="none" w:sz="0" w:space="0" w:color="auto"/>
        <w:left w:val="none" w:sz="0" w:space="0" w:color="auto"/>
        <w:bottom w:val="none" w:sz="0" w:space="0" w:color="auto"/>
        <w:right w:val="none" w:sz="0" w:space="0" w:color="auto"/>
      </w:divBdr>
    </w:div>
    <w:div w:id="1081101955">
      <w:bodyDiv w:val="1"/>
      <w:marLeft w:val="0"/>
      <w:marRight w:val="0"/>
      <w:marTop w:val="0"/>
      <w:marBottom w:val="0"/>
      <w:divBdr>
        <w:top w:val="none" w:sz="0" w:space="0" w:color="auto"/>
        <w:left w:val="none" w:sz="0" w:space="0" w:color="auto"/>
        <w:bottom w:val="none" w:sz="0" w:space="0" w:color="auto"/>
        <w:right w:val="none" w:sz="0" w:space="0" w:color="auto"/>
      </w:divBdr>
    </w:div>
    <w:div w:id="1081758798">
      <w:bodyDiv w:val="1"/>
      <w:marLeft w:val="0"/>
      <w:marRight w:val="0"/>
      <w:marTop w:val="0"/>
      <w:marBottom w:val="0"/>
      <w:divBdr>
        <w:top w:val="none" w:sz="0" w:space="0" w:color="auto"/>
        <w:left w:val="none" w:sz="0" w:space="0" w:color="auto"/>
        <w:bottom w:val="none" w:sz="0" w:space="0" w:color="auto"/>
        <w:right w:val="none" w:sz="0" w:space="0" w:color="auto"/>
      </w:divBdr>
    </w:div>
    <w:div w:id="1091438028">
      <w:bodyDiv w:val="1"/>
      <w:marLeft w:val="0"/>
      <w:marRight w:val="0"/>
      <w:marTop w:val="0"/>
      <w:marBottom w:val="0"/>
      <w:divBdr>
        <w:top w:val="none" w:sz="0" w:space="0" w:color="auto"/>
        <w:left w:val="none" w:sz="0" w:space="0" w:color="auto"/>
        <w:bottom w:val="none" w:sz="0" w:space="0" w:color="auto"/>
        <w:right w:val="none" w:sz="0" w:space="0" w:color="auto"/>
      </w:divBdr>
    </w:div>
    <w:div w:id="1094856805">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00758965">
      <w:bodyDiv w:val="1"/>
      <w:marLeft w:val="0"/>
      <w:marRight w:val="0"/>
      <w:marTop w:val="0"/>
      <w:marBottom w:val="0"/>
      <w:divBdr>
        <w:top w:val="none" w:sz="0" w:space="0" w:color="auto"/>
        <w:left w:val="none" w:sz="0" w:space="0" w:color="auto"/>
        <w:bottom w:val="none" w:sz="0" w:space="0" w:color="auto"/>
        <w:right w:val="none" w:sz="0" w:space="0" w:color="auto"/>
      </w:divBdr>
    </w:div>
    <w:div w:id="1100762551">
      <w:bodyDiv w:val="1"/>
      <w:marLeft w:val="0"/>
      <w:marRight w:val="0"/>
      <w:marTop w:val="0"/>
      <w:marBottom w:val="0"/>
      <w:divBdr>
        <w:top w:val="none" w:sz="0" w:space="0" w:color="auto"/>
        <w:left w:val="none" w:sz="0" w:space="0" w:color="auto"/>
        <w:bottom w:val="none" w:sz="0" w:space="0" w:color="auto"/>
        <w:right w:val="none" w:sz="0" w:space="0" w:color="auto"/>
      </w:divBdr>
    </w:div>
    <w:div w:id="1104690246">
      <w:bodyDiv w:val="1"/>
      <w:marLeft w:val="0"/>
      <w:marRight w:val="0"/>
      <w:marTop w:val="0"/>
      <w:marBottom w:val="0"/>
      <w:divBdr>
        <w:top w:val="none" w:sz="0" w:space="0" w:color="auto"/>
        <w:left w:val="none" w:sz="0" w:space="0" w:color="auto"/>
        <w:bottom w:val="none" w:sz="0" w:space="0" w:color="auto"/>
        <w:right w:val="none" w:sz="0" w:space="0" w:color="auto"/>
      </w:divBdr>
    </w:div>
    <w:div w:id="1115254451">
      <w:bodyDiv w:val="1"/>
      <w:marLeft w:val="0"/>
      <w:marRight w:val="0"/>
      <w:marTop w:val="0"/>
      <w:marBottom w:val="0"/>
      <w:divBdr>
        <w:top w:val="none" w:sz="0" w:space="0" w:color="auto"/>
        <w:left w:val="none" w:sz="0" w:space="0" w:color="auto"/>
        <w:bottom w:val="none" w:sz="0" w:space="0" w:color="auto"/>
        <w:right w:val="none" w:sz="0" w:space="0" w:color="auto"/>
      </w:divBdr>
    </w:div>
    <w:div w:id="1118066035">
      <w:bodyDiv w:val="1"/>
      <w:marLeft w:val="0"/>
      <w:marRight w:val="0"/>
      <w:marTop w:val="0"/>
      <w:marBottom w:val="0"/>
      <w:divBdr>
        <w:top w:val="none" w:sz="0" w:space="0" w:color="auto"/>
        <w:left w:val="none" w:sz="0" w:space="0" w:color="auto"/>
        <w:bottom w:val="none" w:sz="0" w:space="0" w:color="auto"/>
        <w:right w:val="none" w:sz="0" w:space="0" w:color="auto"/>
      </w:divBdr>
    </w:div>
    <w:div w:id="1121218771">
      <w:bodyDiv w:val="1"/>
      <w:marLeft w:val="0"/>
      <w:marRight w:val="0"/>
      <w:marTop w:val="0"/>
      <w:marBottom w:val="0"/>
      <w:divBdr>
        <w:top w:val="none" w:sz="0" w:space="0" w:color="auto"/>
        <w:left w:val="none" w:sz="0" w:space="0" w:color="auto"/>
        <w:bottom w:val="none" w:sz="0" w:space="0" w:color="auto"/>
        <w:right w:val="none" w:sz="0" w:space="0" w:color="auto"/>
      </w:divBdr>
    </w:div>
    <w:div w:id="1125730866">
      <w:bodyDiv w:val="1"/>
      <w:marLeft w:val="0"/>
      <w:marRight w:val="0"/>
      <w:marTop w:val="0"/>
      <w:marBottom w:val="0"/>
      <w:divBdr>
        <w:top w:val="none" w:sz="0" w:space="0" w:color="auto"/>
        <w:left w:val="none" w:sz="0" w:space="0" w:color="auto"/>
        <w:bottom w:val="none" w:sz="0" w:space="0" w:color="auto"/>
        <w:right w:val="none" w:sz="0" w:space="0" w:color="auto"/>
      </w:divBdr>
    </w:div>
    <w:div w:id="1128283418">
      <w:bodyDiv w:val="1"/>
      <w:marLeft w:val="0"/>
      <w:marRight w:val="0"/>
      <w:marTop w:val="0"/>
      <w:marBottom w:val="0"/>
      <w:divBdr>
        <w:top w:val="none" w:sz="0" w:space="0" w:color="auto"/>
        <w:left w:val="none" w:sz="0" w:space="0" w:color="auto"/>
        <w:bottom w:val="none" w:sz="0" w:space="0" w:color="auto"/>
        <w:right w:val="none" w:sz="0" w:space="0" w:color="auto"/>
      </w:divBdr>
    </w:div>
    <w:div w:id="1129393628">
      <w:bodyDiv w:val="1"/>
      <w:marLeft w:val="0"/>
      <w:marRight w:val="0"/>
      <w:marTop w:val="0"/>
      <w:marBottom w:val="0"/>
      <w:divBdr>
        <w:top w:val="none" w:sz="0" w:space="0" w:color="auto"/>
        <w:left w:val="none" w:sz="0" w:space="0" w:color="auto"/>
        <w:bottom w:val="none" w:sz="0" w:space="0" w:color="auto"/>
        <w:right w:val="none" w:sz="0" w:space="0" w:color="auto"/>
      </w:divBdr>
    </w:div>
    <w:div w:id="1130321958">
      <w:bodyDiv w:val="1"/>
      <w:marLeft w:val="0"/>
      <w:marRight w:val="0"/>
      <w:marTop w:val="0"/>
      <w:marBottom w:val="0"/>
      <w:divBdr>
        <w:top w:val="none" w:sz="0" w:space="0" w:color="auto"/>
        <w:left w:val="none" w:sz="0" w:space="0" w:color="auto"/>
        <w:bottom w:val="none" w:sz="0" w:space="0" w:color="auto"/>
        <w:right w:val="none" w:sz="0" w:space="0" w:color="auto"/>
      </w:divBdr>
    </w:div>
    <w:div w:id="1141312151">
      <w:bodyDiv w:val="1"/>
      <w:marLeft w:val="0"/>
      <w:marRight w:val="0"/>
      <w:marTop w:val="0"/>
      <w:marBottom w:val="0"/>
      <w:divBdr>
        <w:top w:val="none" w:sz="0" w:space="0" w:color="auto"/>
        <w:left w:val="none" w:sz="0" w:space="0" w:color="auto"/>
        <w:bottom w:val="none" w:sz="0" w:space="0" w:color="auto"/>
        <w:right w:val="none" w:sz="0" w:space="0" w:color="auto"/>
      </w:divBdr>
    </w:div>
    <w:div w:id="1145781442">
      <w:bodyDiv w:val="1"/>
      <w:marLeft w:val="0"/>
      <w:marRight w:val="0"/>
      <w:marTop w:val="0"/>
      <w:marBottom w:val="0"/>
      <w:divBdr>
        <w:top w:val="none" w:sz="0" w:space="0" w:color="auto"/>
        <w:left w:val="none" w:sz="0" w:space="0" w:color="auto"/>
        <w:bottom w:val="none" w:sz="0" w:space="0" w:color="auto"/>
        <w:right w:val="none" w:sz="0" w:space="0" w:color="auto"/>
      </w:divBdr>
    </w:div>
    <w:div w:id="1158040059">
      <w:bodyDiv w:val="1"/>
      <w:marLeft w:val="0"/>
      <w:marRight w:val="0"/>
      <w:marTop w:val="0"/>
      <w:marBottom w:val="0"/>
      <w:divBdr>
        <w:top w:val="none" w:sz="0" w:space="0" w:color="auto"/>
        <w:left w:val="none" w:sz="0" w:space="0" w:color="auto"/>
        <w:bottom w:val="none" w:sz="0" w:space="0" w:color="auto"/>
        <w:right w:val="none" w:sz="0" w:space="0" w:color="auto"/>
      </w:divBdr>
    </w:div>
    <w:div w:id="1159417346">
      <w:bodyDiv w:val="1"/>
      <w:marLeft w:val="0"/>
      <w:marRight w:val="0"/>
      <w:marTop w:val="0"/>
      <w:marBottom w:val="0"/>
      <w:divBdr>
        <w:top w:val="none" w:sz="0" w:space="0" w:color="auto"/>
        <w:left w:val="none" w:sz="0" w:space="0" w:color="auto"/>
        <w:bottom w:val="none" w:sz="0" w:space="0" w:color="auto"/>
        <w:right w:val="none" w:sz="0" w:space="0" w:color="auto"/>
      </w:divBdr>
    </w:div>
    <w:div w:id="1160268132">
      <w:bodyDiv w:val="1"/>
      <w:marLeft w:val="0"/>
      <w:marRight w:val="0"/>
      <w:marTop w:val="0"/>
      <w:marBottom w:val="0"/>
      <w:divBdr>
        <w:top w:val="none" w:sz="0" w:space="0" w:color="auto"/>
        <w:left w:val="none" w:sz="0" w:space="0" w:color="auto"/>
        <w:bottom w:val="none" w:sz="0" w:space="0" w:color="auto"/>
        <w:right w:val="none" w:sz="0" w:space="0" w:color="auto"/>
      </w:divBdr>
    </w:div>
    <w:div w:id="1163932158">
      <w:bodyDiv w:val="1"/>
      <w:marLeft w:val="0"/>
      <w:marRight w:val="0"/>
      <w:marTop w:val="0"/>
      <w:marBottom w:val="0"/>
      <w:divBdr>
        <w:top w:val="none" w:sz="0" w:space="0" w:color="auto"/>
        <w:left w:val="none" w:sz="0" w:space="0" w:color="auto"/>
        <w:bottom w:val="none" w:sz="0" w:space="0" w:color="auto"/>
        <w:right w:val="none" w:sz="0" w:space="0" w:color="auto"/>
      </w:divBdr>
    </w:div>
    <w:div w:id="1164661714">
      <w:bodyDiv w:val="1"/>
      <w:marLeft w:val="0"/>
      <w:marRight w:val="0"/>
      <w:marTop w:val="0"/>
      <w:marBottom w:val="0"/>
      <w:divBdr>
        <w:top w:val="none" w:sz="0" w:space="0" w:color="auto"/>
        <w:left w:val="none" w:sz="0" w:space="0" w:color="auto"/>
        <w:bottom w:val="none" w:sz="0" w:space="0" w:color="auto"/>
        <w:right w:val="none" w:sz="0" w:space="0" w:color="auto"/>
      </w:divBdr>
    </w:div>
    <w:div w:id="1167286014">
      <w:bodyDiv w:val="1"/>
      <w:marLeft w:val="0"/>
      <w:marRight w:val="0"/>
      <w:marTop w:val="0"/>
      <w:marBottom w:val="0"/>
      <w:divBdr>
        <w:top w:val="none" w:sz="0" w:space="0" w:color="auto"/>
        <w:left w:val="none" w:sz="0" w:space="0" w:color="auto"/>
        <w:bottom w:val="none" w:sz="0" w:space="0" w:color="auto"/>
        <w:right w:val="none" w:sz="0" w:space="0" w:color="auto"/>
      </w:divBdr>
    </w:div>
    <w:div w:id="1169325827">
      <w:bodyDiv w:val="1"/>
      <w:marLeft w:val="0"/>
      <w:marRight w:val="0"/>
      <w:marTop w:val="0"/>
      <w:marBottom w:val="0"/>
      <w:divBdr>
        <w:top w:val="none" w:sz="0" w:space="0" w:color="auto"/>
        <w:left w:val="none" w:sz="0" w:space="0" w:color="auto"/>
        <w:bottom w:val="none" w:sz="0" w:space="0" w:color="auto"/>
        <w:right w:val="none" w:sz="0" w:space="0" w:color="auto"/>
      </w:divBdr>
    </w:div>
    <w:div w:id="1173834912">
      <w:bodyDiv w:val="1"/>
      <w:marLeft w:val="0"/>
      <w:marRight w:val="0"/>
      <w:marTop w:val="0"/>
      <w:marBottom w:val="0"/>
      <w:divBdr>
        <w:top w:val="none" w:sz="0" w:space="0" w:color="auto"/>
        <w:left w:val="none" w:sz="0" w:space="0" w:color="auto"/>
        <w:bottom w:val="none" w:sz="0" w:space="0" w:color="auto"/>
        <w:right w:val="none" w:sz="0" w:space="0" w:color="auto"/>
      </w:divBdr>
    </w:div>
    <w:div w:id="1183125223">
      <w:bodyDiv w:val="1"/>
      <w:marLeft w:val="0"/>
      <w:marRight w:val="0"/>
      <w:marTop w:val="0"/>
      <w:marBottom w:val="0"/>
      <w:divBdr>
        <w:top w:val="none" w:sz="0" w:space="0" w:color="auto"/>
        <w:left w:val="none" w:sz="0" w:space="0" w:color="auto"/>
        <w:bottom w:val="none" w:sz="0" w:space="0" w:color="auto"/>
        <w:right w:val="none" w:sz="0" w:space="0" w:color="auto"/>
      </w:divBdr>
    </w:div>
    <w:div w:id="1186600821">
      <w:bodyDiv w:val="1"/>
      <w:marLeft w:val="0"/>
      <w:marRight w:val="0"/>
      <w:marTop w:val="0"/>
      <w:marBottom w:val="0"/>
      <w:divBdr>
        <w:top w:val="none" w:sz="0" w:space="0" w:color="auto"/>
        <w:left w:val="none" w:sz="0" w:space="0" w:color="auto"/>
        <w:bottom w:val="none" w:sz="0" w:space="0" w:color="auto"/>
        <w:right w:val="none" w:sz="0" w:space="0" w:color="auto"/>
      </w:divBdr>
    </w:div>
    <w:div w:id="1188373521">
      <w:bodyDiv w:val="1"/>
      <w:marLeft w:val="0"/>
      <w:marRight w:val="0"/>
      <w:marTop w:val="0"/>
      <w:marBottom w:val="0"/>
      <w:divBdr>
        <w:top w:val="none" w:sz="0" w:space="0" w:color="auto"/>
        <w:left w:val="none" w:sz="0" w:space="0" w:color="auto"/>
        <w:bottom w:val="none" w:sz="0" w:space="0" w:color="auto"/>
        <w:right w:val="none" w:sz="0" w:space="0" w:color="auto"/>
      </w:divBdr>
    </w:div>
    <w:div w:id="1191724653">
      <w:bodyDiv w:val="1"/>
      <w:marLeft w:val="0"/>
      <w:marRight w:val="0"/>
      <w:marTop w:val="0"/>
      <w:marBottom w:val="0"/>
      <w:divBdr>
        <w:top w:val="none" w:sz="0" w:space="0" w:color="auto"/>
        <w:left w:val="none" w:sz="0" w:space="0" w:color="auto"/>
        <w:bottom w:val="none" w:sz="0" w:space="0" w:color="auto"/>
        <w:right w:val="none" w:sz="0" w:space="0" w:color="auto"/>
      </w:divBdr>
    </w:div>
    <w:div w:id="1193806732">
      <w:bodyDiv w:val="1"/>
      <w:marLeft w:val="0"/>
      <w:marRight w:val="0"/>
      <w:marTop w:val="0"/>
      <w:marBottom w:val="0"/>
      <w:divBdr>
        <w:top w:val="none" w:sz="0" w:space="0" w:color="auto"/>
        <w:left w:val="none" w:sz="0" w:space="0" w:color="auto"/>
        <w:bottom w:val="none" w:sz="0" w:space="0" w:color="auto"/>
        <w:right w:val="none" w:sz="0" w:space="0" w:color="auto"/>
      </w:divBdr>
    </w:div>
    <w:div w:id="1195924153">
      <w:bodyDiv w:val="1"/>
      <w:marLeft w:val="0"/>
      <w:marRight w:val="0"/>
      <w:marTop w:val="0"/>
      <w:marBottom w:val="0"/>
      <w:divBdr>
        <w:top w:val="none" w:sz="0" w:space="0" w:color="auto"/>
        <w:left w:val="none" w:sz="0" w:space="0" w:color="auto"/>
        <w:bottom w:val="none" w:sz="0" w:space="0" w:color="auto"/>
        <w:right w:val="none" w:sz="0" w:space="0" w:color="auto"/>
      </w:divBdr>
    </w:div>
    <w:div w:id="1211964005">
      <w:bodyDiv w:val="1"/>
      <w:marLeft w:val="0"/>
      <w:marRight w:val="0"/>
      <w:marTop w:val="0"/>
      <w:marBottom w:val="0"/>
      <w:divBdr>
        <w:top w:val="none" w:sz="0" w:space="0" w:color="auto"/>
        <w:left w:val="none" w:sz="0" w:space="0" w:color="auto"/>
        <w:bottom w:val="none" w:sz="0" w:space="0" w:color="auto"/>
        <w:right w:val="none" w:sz="0" w:space="0" w:color="auto"/>
      </w:divBdr>
    </w:div>
    <w:div w:id="1214807289">
      <w:bodyDiv w:val="1"/>
      <w:marLeft w:val="0"/>
      <w:marRight w:val="0"/>
      <w:marTop w:val="0"/>
      <w:marBottom w:val="0"/>
      <w:divBdr>
        <w:top w:val="none" w:sz="0" w:space="0" w:color="auto"/>
        <w:left w:val="none" w:sz="0" w:space="0" w:color="auto"/>
        <w:bottom w:val="none" w:sz="0" w:space="0" w:color="auto"/>
        <w:right w:val="none" w:sz="0" w:space="0" w:color="auto"/>
      </w:divBdr>
    </w:div>
    <w:div w:id="1215849639">
      <w:bodyDiv w:val="1"/>
      <w:marLeft w:val="0"/>
      <w:marRight w:val="0"/>
      <w:marTop w:val="0"/>
      <w:marBottom w:val="0"/>
      <w:divBdr>
        <w:top w:val="none" w:sz="0" w:space="0" w:color="auto"/>
        <w:left w:val="none" w:sz="0" w:space="0" w:color="auto"/>
        <w:bottom w:val="none" w:sz="0" w:space="0" w:color="auto"/>
        <w:right w:val="none" w:sz="0" w:space="0" w:color="auto"/>
      </w:divBdr>
    </w:div>
    <w:div w:id="1220894657">
      <w:bodyDiv w:val="1"/>
      <w:marLeft w:val="0"/>
      <w:marRight w:val="0"/>
      <w:marTop w:val="0"/>
      <w:marBottom w:val="0"/>
      <w:divBdr>
        <w:top w:val="none" w:sz="0" w:space="0" w:color="auto"/>
        <w:left w:val="none" w:sz="0" w:space="0" w:color="auto"/>
        <w:bottom w:val="none" w:sz="0" w:space="0" w:color="auto"/>
        <w:right w:val="none" w:sz="0" w:space="0" w:color="auto"/>
      </w:divBdr>
    </w:div>
    <w:div w:id="1220939832">
      <w:bodyDiv w:val="1"/>
      <w:marLeft w:val="0"/>
      <w:marRight w:val="0"/>
      <w:marTop w:val="0"/>
      <w:marBottom w:val="0"/>
      <w:divBdr>
        <w:top w:val="none" w:sz="0" w:space="0" w:color="auto"/>
        <w:left w:val="none" w:sz="0" w:space="0" w:color="auto"/>
        <w:bottom w:val="none" w:sz="0" w:space="0" w:color="auto"/>
        <w:right w:val="none" w:sz="0" w:space="0" w:color="auto"/>
      </w:divBdr>
    </w:div>
    <w:div w:id="1227640700">
      <w:bodyDiv w:val="1"/>
      <w:marLeft w:val="0"/>
      <w:marRight w:val="0"/>
      <w:marTop w:val="0"/>
      <w:marBottom w:val="0"/>
      <w:divBdr>
        <w:top w:val="none" w:sz="0" w:space="0" w:color="auto"/>
        <w:left w:val="none" w:sz="0" w:space="0" w:color="auto"/>
        <w:bottom w:val="none" w:sz="0" w:space="0" w:color="auto"/>
        <w:right w:val="none" w:sz="0" w:space="0" w:color="auto"/>
      </w:divBdr>
    </w:div>
    <w:div w:id="1230964586">
      <w:bodyDiv w:val="1"/>
      <w:marLeft w:val="0"/>
      <w:marRight w:val="0"/>
      <w:marTop w:val="0"/>
      <w:marBottom w:val="0"/>
      <w:divBdr>
        <w:top w:val="none" w:sz="0" w:space="0" w:color="auto"/>
        <w:left w:val="none" w:sz="0" w:space="0" w:color="auto"/>
        <w:bottom w:val="none" w:sz="0" w:space="0" w:color="auto"/>
        <w:right w:val="none" w:sz="0" w:space="0" w:color="auto"/>
      </w:divBdr>
    </w:div>
    <w:div w:id="1232732222">
      <w:bodyDiv w:val="1"/>
      <w:marLeft w:val="0"/>
      <w:marRight w:val="0"/>
      <w:marTop w:val="0"/>
      <w:marBottom w:val="0"/>
      <w:divBdr>
        <w:top w:val="none" w:sz="0" w:space="0" w:color="auto"/>
        <w:left w:val="none" w:sz="0" w:space="0" w:color="auto"/>
        <w:bottom w:val="none" w:sz="0" w:space="0" w:color="auto"/>
        <w:right w:val="none" w:sz="0" w:space="0" w:color="auto"/>
      </w:divBdr>
    </w:div>
    <w:div w:id="1242833349">
      <w:bodyDiv w:val="1"/>
      <w:marLeft w:val="0"/>
      <w:marRight w:val="0"/>
      <w:marTop w:val="0"/>
      <w:marBottom w:val="0"/>
      <w:divBdr>
        <w:top w:val="none" w:sz="0" w:space="0" w:color="auto"/>
        <w:left w:val="none" w:sz="0" w:space="0" w:color="auto"/>
        <w:bottom w:val="none" w:sz="0" w:space="0" w:color="auto"/>
        <w:right w:val="none" w:sz="0" w:space="0" w:color="auto"/>
      </w:divBdr>
    </w:div>
    <w:div w:id="1243024688">
      <w:bodyDiv w:val="1"/>
      <w:marLeft w:val="0"/>
      <w:marRight w:val="0"/>
      <w:marTop w:val="0"/>
      <w:marBottom w:val="0"/>
      <w:divBdr>
        <w:top w:val="none" w:sz="0" w:space="0" w:color="auto"/>
        <w:left w:val="none" w:sz="0" w:space="0" w:color="auto"/>
        <w:bottom w:val="none" w:sz="0" w:space="0" w:color="auto"/>
        <w:right w:val="none" w:sz="0" w:space="0" w:color="auto"/>
      </w:divBdr>
    </w:div>
    <w:div w:id="1243293339">
      <w:bodyDiv w:val="1"/>
      <w:marLeft w:val="0"/>
      <w:marRight w:val="0"/>
      <w:marTop w:val="0"/>
      <w:marBottom w:val="0"/>
      <w:divBdr>
        <w:top w:val="none" w:sz="0" w:space="0" w:color="auto"/>
        <w:left w:val="none" w:sz="0" w:space="0" w:color="auto"/>
        <w:bottom w:val="none" w:sz="0" w:space="0" w:color="auto"/>
        <w:right w:val="none" w:sz="0" w:space="0" w:color="auto"/>
      </w:divBdr>
    </w:div>
    <w:div w:id="1245332699">
      <w:bodyDiv w:val="1"/>
      <w:marLeft w:val="0"/>
      <w:marRight w:val="0"/>
      <w:marTop w:val="0"/>
      <w:marBottom w:val="0"/>
      <w:divBdr>
        <w:top w:val="none" w:sz="0" w:space="0" w:color="auto"/>
        <w:left w:val="none" w:sz="0" w:space="0" w:color="auto"/>
        <w:bottom w:val="none" w:sz="0" w:space="0" w:color="auto"/>
        <w:right w:val="none" w:sz="0" w:space="0" w:color="auto"/>
      </w:divBdr>
    </w:div>
    <w:div w:id="1247882065">
      <w:bodyDiv w:val="1"/>
      <w:marLeft w:val="0"/>
      <w:marRight w:val="0"/>
      <w:marTop w:val="0"/>
      <w:marBottom w:val="0"/>
      <w:divBdr>
        <w:top w:val="none" w:sz="0" w:space="0" w:color="auto"/>
        <w:left w:val="none" w:sz="0" w:space="0" w:color="auto"/>
        <w:bottom w:val="none" w:sz="0" w:space="0" w:color="auto"/>
        <w:right w:val="none" w:sz="0" w:space="0" w:color="auto"/>
      </w:divBdr>
    </w:div>
    <w:div w:id="1253706104">
      <w:bodyDiv w:val="1"/>
      <w:marLeft w:val="0"/>
      <w:marRight w:val="0"/>
      <w:marTop w:val="0"/>
      <w:marBottom w:val="0"/>
      <w:divBdr>
        <w:top w:val="none" w:sz="0" w:space="0" w:color="auto"/>
        <w:left w:val="none" w:sz="0" w:space="0" w:color="auto"/>
        <w:bottom w:val="none" w:sz="0" w:space="0" w:color="auto"/>
        <w:right w:val="none" w:sz="0" w:space="0" w:color="auto"/>
      </w:divBdr>
    </w:div>
    <w:div w:id="1258633161">
      <w:bodyDiv w:val="1"/>
      <w:marLeft w:val="0"/>
      <w:marRight w:val="0"/>
      <w:marTop w:val="0"/>
      <w:marBottom w:val="0"/>
      <w:divBdr>
        <w:top w:val="none" w:sz="0" w:space="0" w:color="auto"/>
        <w:left w:val="none" w:sz="0" w:space="0" w:color="auto"/>
        <w:bottom w:val="none" w:sz="0" w:space="0" w:color="auto"/>
        <w:right w:val="none" w:sz="0" w:space="0" w:color="auto"/>
      </w:divBdr>
    </w:div>
    <w:div w:id="1262449287">
      <w:bodyDiv w:val="1"/>
      <w:marLeft w:val="0"/>
      <w:marRight w:val="0"/>
      <w:marTop w:val="0"/>
      <w:marBottom w:val="0"/>
      <w:divBdr>
        <w:top w:val="none" w:sz="0" w:space="0" w:color="auto"/>
        <w:left w:val="none" w:sz="0" w:space="0" w:color="auto"/>
        <w:bottom w:val="none" w:sz="0" w:space="0" w:color="auto"/>
        <w:right w:val="none" w:sz="0" w:space="0" w:color="auto"/>
      </w:divBdr>
    </w:div>
    <w:div w:id="1277563661">
      <w:bodyDiv w:val="1"/>
      <w:marLeft w:val="0"/>
      <w:marRight w:val="0"/>
      <w:marTop w:val="0"/>
      <w:marBottom w:val="0"/>
      <w:divBdr>
        <w:top w:val="none" w:sz="0" w:space="0" w:color="auto"/>
        <w:left w:val="none" w:sz="0" w:space="0" w:color="auto"/>
        <w:bottom w:val="none" w:sz="0" w:space="0" w:color="auto"/>
        <w:right w:val="none" w:sz="0" w:space="0" w:color="auto"/>
      </w:divBdr>
    </w:div>
    <w:div w:id="1286429333">
      <w:bodyDiv w:val="1"/>
      <w:marLeft w:val="0"/>
      <w:marRight w:val="0"/>
      <w:marTop w:val="0"/>
      <w:marBottom w:val="0"/>
      <w:divBdr>
        <w:top w:val="none" w:sz="0" w:space="0" w:color="auto"/>
        <w:left w:val="none" w:sz="0" w:space="0" w:color="auto"/>
        <w:bottom w:val="none" w:sz="0" w:space="0" w:color="auto"/>
        <w:right w:val="none" w:sz="0" w:space="0" w:color="auto"/>
      </w:divBdr>
    </w:div>
    <w:div w:id="1295481070">
      <w:bodyDiv w:val="1"/>
      <w:marLeft w:val="0"/>
      <w:marRight w:val="0"/>
      <w:marTop w:val="0"/>
      <w:marBottom w:val="0"/>
      <w:divBdr>
        <w:top w:val="none" w:sz="0" w:space="0" w:color="auto"/>
        <w:left w:val="none" w:sz="0" w:space="0" w:color="auto"/>
        <w:bottom w:val="none" w:sz="0" w:space="0" w:color="auto"/>
        <w:right w:val="none" w:sz="0" w:space="0" w:color="auto"/>
      </w:divBdr>
    </w:div>
    <w:div w:id="1307081890">
      <w:bodyDiv w:val="1"/>
      <w:marLeft w:val="0"/>
      <w:marRight w:val="0"/>
      <w:marTop w:val="0"/>
      <w:marBottom w:val="0"/>
      <w:divBdr>
        <w:top w:val="none" w:sz="0" w:space="0" w:color="auto"/>
        <w:left w:val="none" w:sz="0" w:space="0" w:color="auto"/>
        <w:bottom w:val="none" w:sz="0" w:space="0" w:color="auto"/>
        <w:right w:val="none" w:sz="0" w:space="0" w:color="auto"/>
      </w:divBdr>
    </w:div>
    <w:div w:id="1314797783">
      <w:bodyDiv w:val="1"/>
      <w:marLeft w:val="0"/>
      <w:marRight w:val="0"/>
      <w:marTop w:val="0"/>
      <w:marBottom w:val="0"/>
      <w:divBdr>
        <w:top w:val="none" w:sz="0" w:space="0" w:color="auto"/>
        <w:left w:val="none" w:sz="0" w:space="0" w:color="auto"/>
        <w:bottom w:val="none" w:sz="0" w:space="0" w:color="auto"/>
        <w:right w:val="none" w:sz="0" w:space="0" w:color="auto"/>
      </w:divBdr>
    </w:div>
    <w:div w:id="1326400055">
      <w:bodyDiv w:val="1"/>
      <w:marLeft w:val="0"/>
      <w:marRight w:val="0"/>
      <w:marTop w:val="0"/>
      <w:marBottom w:val="0"/>
      <w:divBdr>
        <w:top w:val="none" w:sz="0" w:space="0" w:color="auto"/>
        <w:left w:val="none" w:sz="0" w:space="0" w:color="auto"/>
        <w:bottom w:val="none" w:sz="0" w:space="0" w:color="auto"/>
        <w:right w:val="none" w:sz="0" w:space="0" w:color="auto"/>
      </w:divBdr>
    </w:div>
    <w:div w:id="1332417303">
      <w:bodyDiv w:val="1"/>
      <w:marLeft w:val="0"/>
      <w:marRight w:val="0"/>
      <w:marTop w:val="0"/>
      <w:marBottom w:val="0"/>
      <w:divBdr>
        <w:top w:val="none" w:sz="0" w:space="0" w:color="auto"/>
        <w:left w:val="none" w:sz="0" w:space="0" w:color="auto"/>
        <w:bottom w:val="none" w:sz="0" w:space="0" w:color="auto"/>
        <w:right w:val="none" w:sz="0" w:space="0" w:color="auto"/>
      </w:divBdr>
    </w:div>
    <w:div w:id="1333291539">
      <w:bodyDiv w:val="1"/>
      <w:marLeft w:val="0"/>
      <w:marRight w:val="0"/>
      <w:marTop w:val="0"/>
      <w:marBottom w:val="0"/>
      <w:divBdr>
        <w:top w:val="none" w:sz="0" w:space="0" w:color="auto"/>
        <w:left w:val="none" w:sz="0" w:space="0" w:color="auto"/>
        <w:bottom w:val="none" w:sz="0" w:space="0" w:color="auto"/>
        <w:right w:val="none" w:sz="0" w:space="0" w:color="auto"/>
      </w:divBdr>
      <w:divsChild>
        <w:div w:id="485098222">
          <w:marLeft w:val="0"/>
          <w:marRight w:val="0"/>
          <w:marTop w:val="195"/>
          <w:marBottom w:val="0"/>
          <w:divBdr>
            <w:top w:val="none" w:sz="0" w:space="0" w:color="auto"/>
            <w:left w:val="none" w:sz="0" w:space="0" w:color="auto"/>
            <w:bottom w:val="none" w:sz="0" w:space="0" w:color="auto"/>
            <w:right w:val="none" w:sz="0" w:space="0" w:color="auto"/>
          </w:divBdr>
        </w:div>
        <w:div w:id="1051803887">
          <w:marLeft w:val="0"/>
          <w:marRight w:val="0"/>
          <w:marTop w:val="195"/>
          <w:marBottom w:val="0"/>
          <w:divBdr>
            <w:top w:val="none" w:sz="0" w:space="0" w:color="auto"/>
            <w:left w:val="none" w:sz="0" w:space="0" w:color="auto"/>
            <w:bottom w:val="none" w:sz="0" w:space="0" w:color="auto"/>
            <w:right w:val="none" w:sz="0" w:space="0" w:color="auto"/>
          </w:divBdr>
        </w:div>
        <w:div w:id="1712529926">
          <w:marLeft w:val="0"/>
          <w:marRight w:val="0"/>
          <w:marTop w:val="195"/>
          <w:marBottom w:val="0"/>
          <w:divBdr>
            <w:top w:val="none" w:sz="0" w:space="0" w:color="auto"/>
            <w:left w:val="none" w:sz="0" w:space="0" w:color="auto"/>
            <w:bottom w:val="none" w:sz="0" w:space="0" w:color="auto"/>
            <w:right w:val="none" w:sz="0" w:space="0" w:color="auto"/>
          </w:divBdr>
        </w:div>
        <w:div w:id="1975866997">
          <w:marLeft w:val="0"/>
          <w:marRight w:val="0"/>
          <w:marTop w:val="195"/>
          <w:marBottom w:val="0"/>
          <w:divBdr>
            <w:top w:val="none" w:sz="0" w:space="0" w:color="auto"/>
            <w:left w:val="none" w:sz="0" w:space="0" w:color="auto"/>
            <w:bottom w:val="none" w:sz="0" w:space="0" w:color="auto"/>
            <w:right w:val="none" w:sz="0" w:space="0" w:color="auto"/>
          </w:divBdr>
        </w:div>
      </w:divsChild>
    </w:div>
    <w:div w:id="1333486555">
      <w:bodyDiv w:val="1"/>
      <w:marLeft w:val="0"/>
      <w:marRight w:val="0"/>
      <w:marTop w:val="0"/>
      <w:marBottom w:val="0"/>
      <w:divBdr>
        <w:top w:val="none" w:sz="0" w:space="0" w:color="auto"/>
        <w:left w:val="none" w:sz="0" w:space="0" w:color="auto"/>
        <w:bottom w:val="none" w:sz="0" w:space="0" w:color="auto"/>
        <w:right w:val="none" w:sz="0" w:space="0" w:color="auto"/>
      </w:divBdr>
    </w:div>
    <w:div w:id="1336419296">
      <w:bodyDiv w:val="1"/>
      <w:marLeft w:val="0"/>
      <w:marRight w:val="0"/>
      <w:marTop w:val="0"/>
      <w:marBottom w:val="0"/>
      <w:divBdr>
        <w:top w:val="none" w:sz="0" w:space="0" w:color="auto"/>
        <w:left w:val="none" w:sz="0" w:space="0" w:color="auto"/>
        <w:bottom w:val="none" w:sz="0" w:space="0" w:color="auto"/>
        <w:right w:val="none" w:sz="0" w:space="0" w:color="auto"/>
      </w:divBdr>
    </w:div>
    <w:div w:id="1339503004">
      <w:bodyDiv w:val="1"/>
      <w:marLeft w:val="0"/>
      <w:marRight w:val="0"/>
      <w:marTop w:val="0"/>
      <w:marBottom w:val="0"/>
      <w:divBdr>
        <w:top w:val="none" w:sz="0" w:space="0" w:color="auto"/>
        <w:left w:val="none" w:sz="0" w:space="0" w:color="auto"/>
        <w:bottom w:val="none" w:sz="0" w:space="0" w:color="auto"/>
        <w:right w:val="none" w:sz="0" w:space="0" w:color="auto"/>
      </w:divBdr>
    </w:div>
    <w:div w:id="1339960351">
      <w:bodyDiv w:val="1"/>
      <w:marLeft w:val="0"/>
      <w:marRight w:val="0"/>
      <w:marTop w:val="0"/>
      <w:marBottom w:val="0"/>
      <w:divBdr>
        <w:top w:val="none" w:sz="0" w:space="0" w:color="auto"/>
        <w:left w:val="none" w:sz="0" w:space="0" w:color="auto"/>
        <w:bottom w:val="none" w:sz="0" w:space="0" w:color="auto"/>
        <w:right w:val="none" w:sz="0" w:space="0" w:color="auto"/>
      </w:divBdr>
    </w:div>
    <w:div w:id="1350253082">
      <w:bodyDiv w:val="1"/>
      <w:marLeft w:val="0"/>
      <w:marRight w:val="0"/>
      <w:marTop w:val="0"/>
      <w:marBottom w:val="0"/>
      <w:divBdr>
        <w:top w:val="none" w:sz="0" w:space="0" w:color="auto"/>
        <w:left w:val="none" w:sz="0" w:space="0" w:color="auto"/>
        <w:bottom w:val="none" w:sz="0" w:space="0" w:color="auto"/>
        <w:right w:val="none" w:sz="0" w:space="0" w:color="auto"/>
      </w:divBdr>
    </w:div>
    <w:div w:id="1355764621">
      <w:bodyDiv w:val="1"/>
      <w:marLeft w:val="0"/>
      <w:marRight w:val="0"/>
      <w:marTop w:val="0"/>
      <w:marBottom w:val="0"/>
      <w:divBdr>
        <w:top w:val="none" w:sz="0" w:space="0" w:color="auto"/>
        <w:left w:val="none" w:sz="0" w:space="0" w:color="auto"/>
        <w:bottom w:val="none" w:sz="0" w:space="0" w:color="auto"/>
        <w:right w:val="none" w:sz="0" w:space="0" w:color="auto"/>
      </w:divBdr>
    </w:div>
    <w:div w:id="1360012988">
      <w:bodyDiv w:val="1"/>
      <w:marLeft w:val="0"/>
      <w:marRight w:val="0"/>
      <w:marTop w:val="0"/>
      <w:marBottom w:val="0"/>
      <w:divBdr>
        <w:top w:val="none" w:sz="0" w:space="0" w:color="auto"/>
        <w:left w:val="none" w:sz="0" w:space="0" w:color="auto"/>
        <w:bottom w:val="none" w:sz="0" w:space="0" w:color="auto"/>
        <w:right w:val="none" w:sz="0" w:space="0" w:color="auto"/>
      </w:divBdr>
    </w:div>
    <w:div w:id="1367222145">
      <w:bodyDiv w:val="1"/>
      <w:marLeft w:val="0"/>
      <w:marRight w:val="0"/>
      <w:marTop w:val="0"/>
      <w:marBottom w:val="0"/>
      <w:divBdr>
        <w:top w:val="none" w:sz="0" w:space="0" w:color="auto"/>
        <w:left w:val="none" w:sz="0" w:space="0" w:color="auto"/>
        <w:bottom w:val="none" w:sz="0" w:space="0" w:color="auto"/>
        <w:right w:val="none" w:sz="0" w:space="0" w:color="auto"/>
      </w:divBdr>
    </w:div>
    <w:div w:id="1378311384">
      <w:bodyDiv w:val="1"/>
      <w:marLeft w:val="0"/>
      <w:marRight w:val="0"/>
      <w:marTop w:val="0"/>
      <w:marBottom w:val="0"/>
      <w:divBdr>
        <w:top w:val="none" w:sz="0" w:space="0" w:color="auto"/>
        <w:left w:val="none" w:sz="0" w:space="0" w:color="auto"/>
        <w:bottom w:val="none" w:sz="0" w:space="0" w:color="auto"/>
        <w:right w:val="none" w:sz="0" w:space="0" w:color="auto"/>
      </w:divBdr>
    </w:div>
    <w:div w:id="1386639044">
      <w:bodyDiv w:val="1"/>
      <w:marLeft w:val="0"/>
      <w:marRight w:val="0"/>
      <w:marTop w:val="0"/>
      <w:marBottom w:val="0"/>
      <w:divBdr>
        <w:top w:val="none" w:sz="0" w:space="0" w:color="auto"/>
        <w:left w:val="none" w:sz="0" w:space="0" w:color="auto"/>
        <w:bottom w:val="none" w:sz="0" w:space="0" w:color="auto"/>
        <w:right w:val="none" w:sz="0" w:space="0" w:color="auto"/>
      </w:divBdr>
    </w:div>
    <w:div w:id="1386640000">
      <w:bodyDiv w:val="1"/>
      <w:marLeft w:val="0"/>
      <w:marRight w:val="0"/>
      <w:marTop w:val="0"/>
      <w:marBottom w:val="0"/>
      <w:divBdr>
        <w:top w:val="none" w:sz="0" w:space="0" w:color="auto"/>
        <w:left w:val="none" w:sz="0" w:space="0" w:color="auto"/>
        <w:bottom w:val="none" w:sz="0" w:space="0" w:color="auto"/>
        <w:right w:val="none" w:sz="0" w:space="0" w:color="auto"/>
      </w:divBdr>
    </w:div>
    <w:div w:id="1390495951">
      <w:bodyDiv w:val="1"/>
      <w:marLeft w:val="0"/>
      <w:marRight w:val="0"/>
      <w:marTop w:val="0"/>
      <w:marBottom w:val="0"/>
      <w:divBdr>
        <w:top w:val="none" w:sz="0" w:space="0" w:color="auto"/>
        <w:left w:val="none" w:sz="0" w:space="0" w:color="auto"/>
        <w:bottom w:val="none" w:sz="0" w:space="0" w:color="auto"/>
        <w:right w:val="none" w:sz="0" w:space="0" w:color="auto"/>
      </w:divBdr>
    </w:div>
    <w:div w:id="1390879334">
      <w:bodyDiv w:val="1"/>
      <w:marLeft w:val="0"/>
      <w:marRight w:val="0"/>
      <w:marTop w:val="0"/>
      <w:marBottom w:val="0"/>
      <w:divBdr>
        <w:top w:val="none" w:sz="0" w:space="0" w:color="auto"/>
        <w:left w:val="none" w:sz="0" w:space="0" w:color="auto"/>
        <w:bottom w:val="none" w:sz="0" w:space="0" w:color="auto"/>
        <w:right w:val="none" w:sz="0" w:space="0" w:color="auto"/>
      </w:divBdr>
    </w:div>
    <w:div w:id="1393576087">
      <w:bodyDiv w:val="1"/>
      <w:marLeft w:val="0"/>
      <w:marRight w:val="0"/>
      <w:marTop w:val="0"/>
      <w:marBottom w:val="0"/>
      <w:divBdr>
        <w:top w:val="none" w:sz="0" w:space="0" w:color="auto"/>
        <w:left w:val="none" w:sz="0" w:space="0" w:color="auto"/>
        <w:bottom w:val="none" w:sz="0" w:space="0" w:color="auto"/>
        <w:right w:val="none" w:sz="0" w:space="0" w:color="auto"/>
      </w:divBdr>
    </w:div>
    <w:div w:id="1397777003">
      <w:bodyDiv w:val="1"/>
      <w:marLeft w:val="0"/>
      <w:marRight w:val="0"/>
      <w:marTop w:val="0"/>
      <w:marBottom w:val="0"/>
      <w:divBdr>
        <w:top w:val="none" w:sz="0" w:space="0" w:color="auto"/>
        <w:left w:val="none" w:sz="0" w:space="0" w:color="auto"/>
        <w:bottom w:val="none" w:sz="0" w:space="0" w:color="auto"/>
        <w:right w:val="none" w:sz="0" w:space="0" w:color="auto"/>
      </w:divBdr>
    </w:div>
    <w:div w:id="1407536916">
      <w:bodyDiv w:val="1"/>
      <w:marLeft w:val="0"/>
      <w:marRight w:val="0"/>
      <w:marTop w:val="0"/>
      <w:marBottom w:val="0"/>
      <w:divBdr>
        <w:top w:val="none" w:sz="0" w:space="0" w:color="auto"/>
        <w:left w:val="none" w:sz="0" w:space="0" w:color="auto"/>
        <w:bottom w:val="none" w:sz="0" w:space="0" w:color="auto"/>
        <w:right w:val="none" w:sz="0" w:space="0" w:color="auto"/>
      </w:divBdr>
    </w:div>
    <w:div w:id="1410469600">
      <w:bodyDiv w:val="1"/>
      <w:marLeft w:val="0"/>
      <w:marRight w:val="0"/>
      <w:marTop w:val="0"/>
      <w:marBottom w:val="0"/>
      <w:divBdr>
        <w:top w:val="none" w:sz="0" w:space="0" w:color="auto"/>
        <w:left w:val="none" w:sz="0" w:space="0" w:color="auto"/>
        <w:bottom w:val="none" w:sz="0" w:space="0" w:color="auto"/>
        <w:right w:val="none" w:sz="0" w:space="0" w:color="auto"/>
      </w:divBdr>
    </w:div>
    <w:div w:id="1412509462">
      <w:bodyDiv w:val="1"/>
      <w:marLeft w:val="0"/>
      <w:marRight w:val="0"/>
      <w:marTop w:val="0"/>
      <w:marBottom w:val="0"/>
      <w:divBdr>
        <w:top w:val="none" w:sz="0" w:space="0" w:color="auto"/>
        <w:left w:val="none" w:sz="0" w:space="0" w:color="auto"/>
        <w:bottom w:val="none" w:sz="0" w:space="0" w:color="auto"/>
        <w:right w:val="none" w:sz="0" w:space="0" w:color="auto"/>
      </w:divBdr>
    </w:div>
    <w:div w:id="1413821619">
      <w:bodyDiv w:val="1"/>
      <w:marLeft w:val="0"/>
      <w:marRight w:val="0"/>
      <w:marTop w:val="0"/>
      <w:marBottom w:val="0"/>
      <w:divBdr>
        <w:top w:val="none" w:sz="0" w:space="0" w:color="auto"/>
        <w:left w:val="none" w:sz="0" w:space="0" w:color="auto"/>
        <w:bottom w:val="none" w:sz="0" w:space="0" w:color="auto"/>
        <w:right w:val="none" w:sz="0" w:space="0" w:color="auto"/>
      </w:divBdr>
    </w:div>
    <w:div w:id="1434745540">
      <w:bodyDiv w:val="1"/>
      <w:marLeft w:val="0"/>
      <w:marRight w:val="0"/>
      <w:marTop w:val="0"/>
      <w:marBottom w:val="0"/>
      <w:divBdr>
        <w:top w:val="none" w:sz="0" w:space="0" w:color="auto"/>
        <w:left w:val="none" w:sz="0" w:space="0" w:color="auto"/>
        <w:bottom w:val="none" w:sz="0" w:space="0" w:color="auto"/>
        <w:right w:val="none" w:sz="0" w:space="0" w:color="auto"/>
      </w:divBdr>
    </w:div>
    <w:div w:id="1444497275">
      <w:bodyDiv w:val="1"/>
      <w:marLeft w:val="0"/>
      <w:marRight w:val="0"/>
      <w:marTop w:val="0"/>
      <w:marBottom w:val="0"/>
      <w:divBdr>
        <w:top w:val="none" w:sz="0" w:space="0" w:color="auto"/>
        <w:left w:val="none" w:sz="0" w:space="0" w:color="auto"/>
        <w:bottom w:val="none" w:sz="0" w:space="0" w:color="auto"/>
        <w:right w:val="none" w:sz="0" w:space="0" w:color="auto"/>
      </w:divBdr>
    </w:div>
    <w:div w:id="1450929009">
      <w:bodyDiv w:val="1"/>
      <w:marLeft w:val="0"/>
      <w:marRight w:val="0"/>
      <w:marTop w:val="0"/>
      <w:marBottom w:val="0"/>
      <w:divBdr>
        <w:top w:val="none" w:sz="0" w:space="0" w:color="auto"/>
        <w:left w:val="none" w:sz="0" w:space="0" w:color="auto"/>
        <w:bottom w:val="none" w:sz="0" w:space="0" w:color="auto"/>
        <w:right w:val="none" w:sz="0" w:space="0" w:color="auto"/>
      </w:divBdr>
    </w:div>
    <w:div w:id="1467548008">
      <w:bodyDiv w:val="1"/>
      <w:marLeft w:val="0"/>
      <w:marRight w:val="0"/>
      <w:marTop w:val="0"/>
      <w:marBottom w:val="0"/>
      <w:divBdr>
        <w:top w:val="none" w:sz="0" w:space="0" w:color="auto"/>
        <w:left w:val="none" w:sz="0" w:space="0" w:color="auto"/>
        <w:bottom w:val="none" w:sz="0" w:space="0" w:color="auto"/>
        <w:right w:val="none" w:sz="0" w:space="0" w:color="auto"/>
      </w:divBdr>
    </w:div>
    <w:div w:id="1468356468">
      <w:bodyDiv w:val="1"/>
      <w:marLeft w:val="0"/>
      <w:marRight w:val="0"/>
      <w:marTop w:val="0"/>
      <w:marBottom w:val="0"/>
      <w:divBdr>
        <w:top w:val="none" w:sz="0" w:space="0" w:color="auto"/>
        <w:left w:val="none" w:sz="0" w:space="0" w:color="auto"/>
        <w:bottom w:val="none" w:sz="0" w:space="0" w:color="auto"/>
        <w:right w:val="none" w:sz="0" w:space="0" w:color="auto"/>
      </w:divBdr>
    </w:div>
    <w:div w:id="1474444706">
      <w:bodyDiv w:val="1"/>
      <w:marLeft w:val="0"/>
      <w:marRight w:val="0"/>
      <w:marTop w:val="0"/>
      <w:marBottom w:val="0"/>
      <w:divBdr>
        <w:top w:val="none" w:sz="0" w:space="0" w:color="auto"/>
        <w:left w:val="none" w:sz="0" w:space="0" w:color="auto"/>
        <w:bottom w:val="none" w:sz="0" w:space="0" w:color="auto"/>
        <w:right w:val="none" w:sz="0" w:space="0" w:color="auto"/>
      </w:divBdr>
      <w:divsChild>
        <w:div w:id="60836438">
          <w:marLeft w:val="0"/>
          <w:marRight w:val="0"/>
          <w:marTop w:val="0"/>
          <w:marBottom w:val="0"/>
          <w:divBdr>
            <w:top w:val="none" w:sz="0" w:space="0" w:color="auto"/>
            <w:left w:val="none" w:sz="0" w:space="0" w:color="auto"/>
            <w:bottom w:val="none" w:sz="0" w:space="0" w:color="auto"/>
            <w:right w:val="none" w:sz="0" w:space="0" w:color="auto"/>
          </w:divBdr>
        </w:div>
      </w:divsChild>
    </w:div>
    <w:div w:id="1474519665">
      <w:bodyDiv w:val="1"/>
      <w:marLeft w:val="0"/>
      <w:marRight w:val="0"/>
      <w:marTop w:val="0"/>
      <w:marBottom w:val="0"/>
      <w:divBdr>
        <w:top w:val="none" w:sz="0" w:space="0" w:color="auto"/>
        <w:left w:val="none" w:sz="0" w:space="0" w:color="auto"/>
        <w:bottom w:val="none" w:sz="0" w:space="0" w:color="auto"/>
        <w:right w:val="none" w:sz="0" w:space="0" w:color="auto"/>
      </w:divBdr>
    </w:div>
    <w:div w:id="1476218151">
      <w:bodyDiv w:val="1"/>
      <w:marLeft w:val="0"/>
      <w:marRight w:val="0"/>
      <w:marTop w:val="0"/>
      <w:marBottom w:val="0"/>
      <w:divBdr>
        <w:top w:val="none" w:sz="0" w:space="0" w:color="auto"/>
        <w:left w:val="none" w:sz="0" w:space="0" w:color="auto"/>
        <w:bottom w:val="none" w:sz="0" w:space="0" w:color="auto"/>
        <w:right w:val="none" w:sz="0" w:space="0" w:color="auto"/>
      </w:divBdr>
    </w:div>
    <w:div w:id="1481002435">
      <w:bodyDiv w:val="1"/>
      <w:marLeft w:val="0"/>
      <w:marRight w:val="0"/>
      <w:marTop w:val="0"/>
      <w:marBottom w:val="0"/>
      <w:divBdr>
        <w:top w:val="none" w:sz="0" w:space="0" w:color="auto"/>
        <w:left w:val="none" w:sz="0" w:space="0" w:color="auto"/>
        <w:bottom w:val="none" w:sz="0" w:space="0" w:color="auto"/>
        <w:right w:val="none" w:sz="0" w:space="0" w:color="auto"/>
      </w:divBdr>
    </w:div>
    <w:div w:id="1489201558">
      <w:bodyDiv w:val="1"/>
      <w:marLeft w:val="0"/>
      <w:marRight w:val="0"/>
      <w:marTop w:val="0"/>
      <w:marBottom w:val="0"/>
      <w:divBdr>
        <w:top w:val="none" w:sz="0" w:space="0" w:color="auto"/>
        <w:left w:val="none" w:sz="0" w:space="0" w:color="auto"/>
        <w:bottom w:val="none" w:sz="0" w:space="0" w:color="auto"/>
        <w:right w:val="none" w:sz="0" w:space="0" w:color="auto"/>
      </w:divBdr>
      <w:divsChild>
        <w:div w:id="945384728">
          <w:marLeft w:val="0"/>
          <w:marRight w:val="0"/>
          <w:marTop w:val="0"/>
          <w:marBottom w:val="0"/>
          <w:divBdr>
            <w:top w:val="none" w:sz="0" w:space="0" w:color="auto"/>
            <w:left w:val="none" w:sz="0" w:space="0" w:color="auto"/>
            <w:bottom w:val="none" w:sz="0" w:space="0" w:color="auto"/>
            <w:right w:val="none" w:sz="0" w:space="0" w:color="auto"/>
          </w:divBdr>
        </w:div>
        <w:div w:id="1087966344">
          <w:marLeft w:val="0"/>
          <w:marRight w:val="0"/>
          <w:marTop w:val="0"/>
          <w:marBottom w:val="0"/>
          <w:divBdr>
            <w:top w:val="none" w:sz="0" w:space="0" w:color="auto"/>
            <w:left w:val="none" w:sz="0" w:space="0" w:color="auto"/>
            <w:bottom w:val="none" w:sz="0" w:space="0" w:color="auto"/>
            <w:right w:val="none" w:sz="0" w:space="0" w:color="auto"/>
          </w:divBdr>
        </w:div>
      </w:divsChild>
    </w:div>
    <w:div w:id="1493569486">
      <w:bodyDiv w:val="1"/>
      <w:marLeft w:val="0"/>
      <w:marRight w:val="0"/>
      <w:marTop w:val="0"/>
      <w:marBottom w:val="0"/>
      <w:divBdr>
        <w:top w:val="none" w:sz="0" w:space="0" w:color="auto"/>
        <w:left w:val="none" w:sz="0" w:space="0" w:color="auto"/>
        <w:bottom w:val="none" w:sz="0" w:space="0" w:color="auto"/>
        <w:right w:val="none" w:sz="0" w:space="0" w:color="auto"/>
      </w:divBdr>
    </w:div>
    <w:div w:id="1501189631">
      <w:bodyDiv w:val="1"/>
      <w:marLeft w:val="0"/>
      <w:marRight w:val="0"/>
      <w:marTop w:val="0"/>
      <w:marBottom w:val="0"/>
      <w:divBdr>
        <w:top w:val="none" w:sz="0" w:space="0" w:color="auto"/>
        <w:left w:val="none" w:sz="0" w:space="0" w:color="auto"/>
        <w:bottom w:val="none" w:sz="0" w:space="0" w:color="auto"/>
        <w:right w:val="none" w:sz="0" w:space="0" w:color="auto"/>
      </w:divBdr>
    </w:div>
    <w:div w:id="1509910141">
      <w:bodyDiv w:val="1"/>
      <w:marLeft w:val="0"/>
      <w:marRight w:val="0"/>
      <w:marTop w:val="0"/>
      <w:marBottom w:val="0"/>
      <w:divBdr>
        <w:top w:val="none" w:sz="0" w:space="0" w:color="auto"/>
        <w:left w:val="none" w:sz="0" w:space="0" w:color="auto"/>
        <w:bottom w:val="none" w:sz="0" w:space="0" w:color="auto"/>
        <w:right w:val="none" w:sz="0" w:space="0" w:color="auto"/>
      </w:divBdr>
    </w:div>
    <w:div w:id="1512718080">
      <w:bodyDiv w:val="1"/>
      <w:marLeft w:val="0"/>
      <w:marRight w:val="0"/>
      <w:marTop w:val="0"/>
      <w:marBottom w:val="0"/>
      <w:divBdr>
        <w:top w:val="none" w:sz="0" w:space="0" w:color="auto"/>
        <w:left w:val="none" w:sz="0" w:space="0" w:color="auto"/>
        <w:bottom w:val="none" w:sz="0" w:space="0" w:color="auto"/>
        <w:right w:val="none" w:sz="0" w:space="0" w:color="auto"/>
      </w:divBdr>
    </w:div>
    <w:div w:id="1517695941">
      <w:bodyDiv w:val="1"/>
      <w:marLeft w:val="0"/>
      <w:marRight w:val="0"/>
      <w:marTop w:val="0"/>
      <w:marBottom w:val="0"/>
      <w:divBdr>
        <w:top w:val="none" w:sz="0" w:space="0" w:color="auto"/>
        <w:left w:val="none" w:sz="0" w:space="0" w:color="auto"/>
        <w:bottom w:val="none" w:sz="0" w:space="0" w:color="auto"/>
        <w:right w:val="none" w:sz="0" w:space="0" w:color="auto"/>
      </w:divBdr>
    </w:div>
    <w:div w:id="1522938581">
      <w:bodyDiv w:val="1"/>
      <w:marLeft w:val="0"/>
      <w:marRight w:val="0"/>
      <w:marTop w:val="0"/>
      <w:marBottom w:val="0"/>
      <w:divBdr>
        <w:top w:val="none" w:sz="0" w:space="0" w:color="auto"/>
        <w:left w:val="none" w:sz="0" w:space="0" w:color="auto"/>
        <w:bottom w:val="none" w:sz="0" w:space="0" w:color="auto"/>
        <w:right w:val="none" w:sz="0" w:space="0" w:color="auto"/>
      </w:divBdr>
    </w:div>
    <w:div w:id="1524858665">
      <w:bodyDiv w:val="1"/>
      <w:marLeft w:val="0"/>
      <w:marRight w:val="0"/>
      <w:marTop w:val="0"/>
      <w:marBottom w:val="0"/>
      <w:divBdr>
        <w:top w:val="none" w:sz="0" w:space="0" w:color="auto"/>
        <w:left w:val="none" w:sz="0" w:space="0" w:color="auto"/>
        <w:bottom w:val="none" w:sz="0" w:space="0" w:color="auto"/>
        <w:right w:val="none" w:sz="0" w:space="0" w:color="auto"/>
      </w:divBdr>
    </w:div>
    <w:div w:id="1525292910">
      <w:bodyDiv w:val="1"/>
      <w:marLeft w:val="0"/>
      <w:marRight w:val="0"/>
      <w:marTop w:val="0"/>
      <w:marBottom w:val="0"/>
      <w:divBdr>
        <w:top w:val="none" w:sz="0" w:space="0" w:color="auto"/>
        <w:left w:val="none" w:sz="0" w:space="0" w:color="auto"/>
        <w:bottom w:val="none" w:sz="0" w:space="0" w:color="auto"/>
        <w:right w:val="none" w:sz="0" w:space="0" w:color="auto"/>
      </w:divBdr>
    </w:div>
    <w:div w:id="1529291361">
      <w:bodyDiv w:val="1"/>
      <w:marLeft w:val="0"/>
      <w:marRight w:val="0"/>
      <w:marTop w:val="0"/>
      <w:marBottom w:val="0"/>
      <w:divBdr>
        <w:top w:val="none" w:sz="0" w:space="0" w:color="auto"/>
        <w:left w:val="none" w:sz="0" w:space="0" w:color="auto"/>
        <w:bottom w:val="none" w:sz="0" w:space="0" w:color="auto"/>
        <w:right w:val="none" w:sz="0" w:space="0" w:color="auto"/>
      </w:divBdr>
    </w:div>
    <w:div w:id="1542939239">
      <w:bodyDiv w:val="1"/>
      <w:marLeft w:val="0"/>
      <w:marRight w:val="0"/>
      <w:marTop w:val="0"/>
      <w:marBottom w:val="0"/>
      <w:divBdr>
        <w:top w:val="none" w:sz="0" w:space="0" w:color="auto"/>
        <w:left w:val="none" w:sz="0" w:space="0" w:color="auto"/>
        <w:bottom w:val="none" w:sz="0" w:space="0" w:color="auto"/>
        <w:right w:val="none" w:sz="0" w:space="0" w:color="auto"/>
      </w:divBdr>
    </w:div>
    <w:div w:id="1546677761">
      <w:bodyDiv w:val="1"/>
      <w:marLeft w:val="0"/>
      <w:marRight w:val="0"/>
      <w:marTop w:val="0"/>
      <w:marBottom w:val="0"/>
      <w:divBdr>
        <w:top w:val="none" w:sz="0" w:space="0" w:color="auto"/>
        <w:left w:val="none" w:sz="0" w:space="0" w:color="auto"/>
        <w:bottom w:val="none" w:sz="0" w:space="0" w:color="auto"/>
        <w:right w:val="none" w:sz="0" w:space="0" w:color="auto"/>
      </w:divBdr>
    </w:div>
    <w:div w:id="1548569848">
      <w:bodyDiv w:val="1"/>
      <w:marLeft w:val="0"/>
      <w:marRight w:val="0"/>
      <w:marTop w:val="0"/>
      <w:marBottom w:val="0"/>
      <w:divBdr>
        <w:top w:val="none" w:sz="0" w:space="0" w:color="auto"/>
        <w:left w:val="none" w:sz="0" w:space="0" w:color="auto"/>
        <w:bottom w:val="none" w:sz="0" w:space="0" w:color="auto"/>
        <w:right w:val="none" w:sz="0" w:space="0" w:color="auto"/>
      </w:divBdr>
    </w:div>
    <w:div w:id="1551335005">
      <w:bodyDiv w:val="1"/>
      <w:marLeft w:val="0"/>
      <w:marRight w:val="0"/>
      <w:marTop w:val="0"/>
      <w:marBottom w:val="0"/>
      <w:divBdr>
        <w:top w:val="none" w:sz="0" w:space="0" w:color="auto"/>
        <w:left w:val="none" w:sz="0" w:space="0" w:color="auto"/>
        <w:bottom w:val="none" w:sz="0" w:space="0" w:color="auto"/>
        <w:right w:val="none" w:sz="0" w:space="0" w:color="auto"/>
      </w:divBdr>
    </w:div>
    <w:div w:id="1552422508">
      <w:bodyDiv w:val="1"/>
      <w:marLeft w:val="0"/>
      <w:marRight w:val="0"/>
      <w:marTop w:val="0"/>
      <w:marBottom w:val="0"/>
      <w:divBdr>
        <w:top w:val="none" w:sz="0" w:space="0" w:color="auto"/>
        <w:left w:val="none" w:sz="0" w:space="0" w:color="auto"/>
        <w:bottom w:val="none" w:sz="0" w:space="0" w:color="auto"/>
        <w:right w:val="none" w:sz="0" w:space="0" w:color="auto"/>
      </w:divBdr>
    </w:div>
    <w:div w:id="1555584639">
      <w:bodyDiv w:val="1"/>
      <w:marLeft w:val="0"/>
      <w:marRight w:val="0"/>
      <w:marTop w:val="0"/>
      <w:marBottom w:val="0"/>
      <w:divBdr>
        <w:top w:val="none" w:sz="0" w:space="0" w:color="auto"/>
        <w:left w:val="none" w:sz="0" w:space="0" w:color="auto"/>
        <w:bottom w:val="none" w:sz="0" w:space="0" w:color="auto"/>
        <w:right w:val="none" w:sz="0" w:space="0" w:color="auto"/>
      </w:divBdr>
    </w:div>
    <w:div w:id="1563255243">
      <w:bodyDiv w:val="1"/>
      <w:marLeft w:val="0"/>
      <w:marRight w:val="0"/>
      <w:marTop w:val="0"/>
      <w:marBottom w:val="0"/>
      <w:divBdr>
        <w:top w:val="none" w:sz="0" w:space="0" w:color="auto"/>
        <w:left w:val="none" w:sz="0" w:space="0" w:color="auto"/>
        <w:bottom w:val="none" w:sz="0" w:space="0" w:color="auto"/>
        <w:right w:val="none" w:sz="0" w:space="0" w:color="auto"/>
      </w:divBdr>
    </w:div>
    <w:div w:id="1572306201">
      <w:bodyDiv w:val="1"/>
      <w:marLeft w:val="0"/>
      <w:marRight w:val="0"/>
      <w:marTop w:val="0"/>
      <w:marBottom w:val="0"/>
      <w:divBdr>
        <w:top w:val="none" w:sz="0" w:space="0" w:color="auto"/>
        <w:left w:val="none" w:sz="0" w:space="0" w:color="auto"/>
        <w:bottom w:val="none" w:sz="0" w:space="0" w:color="auto"/>
        <w:right w:val="none" w:sz="0" w:space="0" w:color="auto"/>
      </w:divBdr>
    </w:div>
    <w:div w:id="1585338336">
      <w:bodyDiv w:val="1"/>
      <w:marLeft w:val="0"/>
      <w:marRight w:val="0"/>
      <w:marTop w:val="0"/>
      <w:marBottom w:val="0"/>
      <w:divBdr>
        <w:top w:val="none" w:sz="0" w:space="0" w:color="auto"/>
        <w:left w:val="none" w:sz="0" w:space="0" w:color="auto"/>
        <w:bottom w:val="none" w:sz="0" w:space="0" w:color="auto"/>
        <w:right w:val="none" w:sz="0" w:space="0" w:color="auto"/>
      </w:divBdr>
    </w:div>
    <w:div w:id="1590390127">
      <w:bodyDiv w:val="1"/>
      <w:marLeft w:val="0"/>
      <w:marRight w:val="0"/>
      <w:marTop w:val="0"/>
      <w:marBottom w:val="0"/>
      <w:divBdr>
        <w:top w:val="none" w:sz="0" w:space="0" w:color="auto"/>
        <w:left w:val="none" w:sz="0" w:space="0" w:color="auto"/>
        <w:bottom w:val="none" w:sz="0" w:space="0" w:color="auto"/>
        <w:right w:val="none" w:sz="0" w:space="0" w:color="auto"/>
      </w:divBdr>
    </w:div>
    <w:div w:id="1600983391">
      <w:bodyDiv w:val="1"/>
      <w:marLeft w:val="0"/>
      <w:marRight w:val="0"/>
      <w:marTop w:val="0"/>
      <w:marBottom w:val="0"/>
      <w:divBdr>
        <w:top w:val="none" w:sz="0" w:space="0" w:color="auto"/>
        <w:left w:val="none" w:sz="0" w:space="0" w:color="auto"/>
        <w:bottom w:val="none" w:sz="0" w:space="0" w:color="auto"/>
        <w:right w:val="none" w:sz="0" w:space="0" w:color="auto"/>
      </w:divBdr>
    </w:div>
    <w:div w:id="1602761315">
      <w:bodyDiv w:val="1"/>
      <w:marLeft w:val="0"/>
      <w:marRight w:val="0"/>
      <w:marTop w:val="0"/>
      <w:marBottom w:val="0"/>
      <w:divBdr>
        <w:top w:val="none" w:sz="0" w:space="0" w:color="auto"/>
        <w:left w:val="none" w:sz="0" w:space="0" w:color="auto"/>
        <w:bottom w:val="none" w:sz="0" w:space="0" w:color="auto"/>
        <w:right w:val="none" w:sz="0" w:space="0" w:color="auto"/>
      </w:divBdr>
    </w:div>
    <w:div w:id="1608997477">
      <w:bodyDiv w:val="1"/>
      <w:marLeft w:val="0"/>
      <w:marRight w:val="0"/>
      <w:marTop w:val="0"/>
      <w:marBottom w:val="0"/>
      <w:divBdr>
        <w:top w:val="none" w:sz="0" w:space="0" w:color="auto"/>
        <w:left w:val="none" w:sz="0" w:space="0" w:color="auto"/>
        <w:bottom w:val="none" w:sz="0" w:space="0" w:color="auto"/>
        <w:right w:val="none" w:sz="0" w:space="0" w:color="auto"/>
      </w:divBdr>
    </w:div>
    <w:div w:id="1609237171">
      <w:bodyDiv w:val="1"/>
      <w:marLeft w:val="0"/>
      <w:marRight w:val="0"/>
      <w:marTop w:val="0"/>
      <w:marBottom w:val="0"/>
      <w:divBdr>
        <w:top w:val="none" w:sz="0" w:space="0" w:color="auto"/>
        <w:left w:val="none" w:sz="0" w:space="0" w:color="auto"/>
        <w:bottom w:val="none" w:sz="0" w:space="0" w:color="auto"/>
        <w:right w:val="none" w:sz="0" w:space="0" w:color="auto"/>
      </w:divBdr>
    </w:div>
    <w:div w:id="1612057041">
      <w:bodyDiv w:val="1"/>
      <w:marLeft w:val="0"/>
      <w:marRight w:val="0"/>
      <w:marTop w:val="0"/>
      <w:marBottom w:val="0"/>
      <w:divBdr>
        <w:top w:val="none" w:sz="0" w:space="0" w:color="auto"/>
        <w:left w:val="none" w:sz="0" w:space="0" w:color="auto"/>
        <w:bottom w:val="none" w:sz="0" w:space="0" w:color="auto"/>
        <w:right w:val="none" w:sz="0" w:space="0" w:color="auto"/>
      </w:divBdr>
    </w:div>
    <w:div w:id="1617982379">
      <w:bodyDiv w:val="1"/>
      <w:marLeft w:val="0"/>
      <w:marRight w:val="0"/>
      <w:marTop w:val="0"/>
      <w:marBottom w:val="0"/>
      <w:divBdr>
        <w:top w:val="none" w:sz="0" w:space="0" w:color="auto"/>
        <w:left w:val="none" w:sz="0" w:space="0" w:color="auto"/>
        <w:bottom w:val="none" w:sz="0" w:space="0" w:color="auto"/>
        <w:right w:val="none" w:sz="0" w:space="0" w:color="auto"/>
      </w:divBdr>
    </w:div>
    <w:div w:id="1618870778">
      <w:bodyDiv w:val="1"/>
      <w:marLeft w:val="0"/>
      <w:marRight w:val="0"/>
      <w:marTop w:val="0"/>
      <w:marBottom w:val="0"/>
      <w:divBdr>
        <w:top w:val="none" w:sz="0" w:space="0" w:color="auto"/>
        <w:left w:val="none" w:sz="0" w:space="0" w:color="auto"/>
        <w:bottom w:val="none" w:sz="0" w:space="0" w:color="auto"/>
        <w:right w:val="none" w:sz="0" w:space="0" w:color="auto"/>
      </w:divBdr>
    </w:div>
    <w:div w:id="1620529238">
      <w:bodyDiv w:val="1"/>
      <w:marLeft w:val="0"/>
      <w:marRight w:val="0"/>
      <w:marTop w:val="0"/>
      <w:marBottom w:val="0"/>
      <w:divBdr>
        <w:top w:val="none" w:sz="0" w:space="0" w:color="auto"/>
        <w:left w:val="none" w:sz="0" w:space="0" w:color="auto"/>
        <w:bottom w:val="none" w:sz="0" w:space="0" w:color="auto"/>
        <w:right w:val="none" w:sz="0" w:space="0" w:color="auto"/>
      </w:divBdr>
    </w:div>
    <w:div w:id="1624457407">
      <w:bodyDiv w:val="1"/>
      <w:marLeft w:val="0"/>
      <w:marRight w:val="0"/>
      <w:marTop w:val="0"/>
      <w:marBottom w:val="0"/>
      <w:divBdr>
        <w:top w:val="none" w:sz="0" w:space="0" w:color="auto"/>
        <w:left w:val="none" w:sz="0" w:space="0" w:color="auto"/>
        <w:bottom w:val="none" w:sz="0" w:space="0" w:color="auto"/>
        <w:right w:val="none" w:sz="0" w:space="0" w:color="auto"/>
      </w:divBdr>
    </w:div>
    <w:div w:id="1625111987">
      <w:bodyDiv w:val="1"/>
      <w:marLeft w:val="0"/>
      <w:marRight w:val="0"/>
      <w:marTop w:val="0"/>
      <w:marBottom w:val="0"/>
      <w:divBdr>
        <w:top w:val="none" w:sz="0" w:space="0" w:color="auto"/>
        <w:left w:val="none" w:sz="0" w:space="0" w:color="auto"/>
        <w:bottom w:val="none" w:sz="0" w:space="0" w:color="auto"/>
        <w:right w:val="none" w:sz="0" w:space="0" w:color="auto"/>
      </w:divBdr>
    </w:div>
    <w:div w:id="1634209536">
      <w:bodyDiv w:val="1"/>
      <w:marLeft w:val="0"/>
      <w:marRight w:val="0"/>
      <w:marTop w:val="0"/>
      <w:marBottom w:val="0"/>
      <w:divBdr>
        <w:top w:val="none" w:sz="0" w:space="0" w:color="auto"/>
        <w:left w:val="none" w:sz="0" w:space="0" w:color="auto"/>
        <w:bottom w:val="none" w:sz="0" w:space="0" w:color="auto"/>
        <w:right w:val="none" w:sz="0" w:space="0" w:color="auto"/>
      </w:divBdr>
    </w:div>
    <w:div w:id="1637560445">
      <w:bodyDiv w:val="1"/>
      <w:marLeft w:val="0"/>
      <w:marRight w:val="0"/>
      <w:marTop w:val="0"/>
      <w:marBottom w:val="0"/>
      <w:divBdr>
        <w:top w:val="none" w:sz="0" w:space="0" w:color="auto"/>
        <w:left w:val="none" w:sz="0" w:space="0" w:color="auto"/>
        <w:bottom w:val="none" w:sz="0" w:space="0" w:color="auto"/>
        <w:right w:val="none" w:sz="0" w:space="0" w:color="auto"/>
      </w:divBdr>
    </w:div>
    <w:div w:id="1646347756">
      <w:bodyDiv w:val="1"/>
      <w:marLeft w:val="0"/>
      <w:marRight w:val="0"/>
      <w:marTop w:val="0"/>
      <w:marBottom w:val="0"/>
      <w:divBdr>
        <w:top w:val="none" w:sz="0" w:space="0" w:color="auto"/>
        <w:left w:val="none" w:sz="0" w:space="0" w:color="auto"/>
        <w:bottom w:val="none" w:sz="0" w:space="0" w:color="auto"/>
        <w:right w:val="none" w:sz="0" w:space="0" w:color="auto"/>
      </w:divBdr>
    </w:div>
    <w:div w:id="1651666872">
      <w:bodyDiv w:val="1"/>
      <w:marLeft w:val="0"/>
      <w:marRight w:val="0"/>
      <w:marTop w:val="0"/>
      <w:marBottom w:val="0"/>
      <w:divBdr>
        <w:top w:val="none" w:sz="0" w:space="0" w:color="auto"/>
        <w:left w:val="none" w:sz="0" w:space="0" w:color="auto"/>
        <w:bottom w:val="none" w:sz="0" w:space="0" w:color="auto"/>
        <w:right w:val="none" w:sz="0" w:space="0" w:color="auto"/>
      </w:divBdr>
    </w:div>
    <w:div w:id="1657831044">
      <w:bodyDiv w:val="1"/>
      <w:marLeft w:val="0"/>
      <w:marRight w:val="0"/>
      <w:marTop w:val="0"/>
      <w:marBottom w:val="0"/>
      <w:divBdr>
        <w:top w:val="none" w:sz="0" w:space="0" w:color="auto"/>
        <w:left w:val="none" w:sz="0" w:space="0" w:color="auto"/>
        <w:bottom w:val="none" w:sz="0" w:space="0" w:color="auto"/>
        <w:right w:val="none" w:sz="0" w:space="0" w:color="auto"/>
      </w:divBdr>
    </w:div>
    <w:div w:id="1664118735">
      <w:bodyDiv w:val="1"/>
      <w:marLeft w:val="0"/>
      <w:marRight w:val="0"/>
      <w:marTop w:val="0"/>
      <w:marBottom w:val="0"/>
      <w:divBdr>
        <w:top w:val="none" w:sz="0" w:space="0" w:color="auto"/>
        <w:left w:val="none" w:sz="0" w:space="0" w:color="auto"/>
        <w:bottom w:val="none" w:sz="0" w:space="0" w:color="auto"/>
        <w:right w:val="none" w:sz="0" w:space="0" w:color="auto"/>
      </w:divBdr>
    </w:div>
    <w:div w:id="1669599499">
      <w:bodyDiv w:val="1"/>
      <w:marLeft w:val="0"/>
      <w:marRight w:val="0"/>
      <w:marTop w:val="0"/>
      <w:marBottom w:val="0"/>
      <w:divBdr>
        <w:top w:val="none" w:sz="0" w:space="0" w:color="auto"/>
        <w:left w:val="none" w:sz="0" w:space="0" w:color="auto"/>
        <w:bottom w:val="none" w:sz="0" w:space="0" w:color="auto"/>
        <w:right w:val="none" w:sz="0" w:space="0" w:color="auto"/>
      </w:divBdr>
    </w:div>
    <w:div w:id="1673797647">
      <w:bodyDiv w:val="1"/>
      <w:marLeft w:val="0"/>
      <w:marRight w:val="0"/>
      <w:marTop w:val="0"/>
      <w:marBottom w:val="0"/>
      <w:divBdr>
        <w:top w:val="none" w:sz="0" w:space="0" w:color="auto"/>
        <w:left w:val="none" w:sz="0" w:space="0" w:color="auto"/>
        <w:bottom w:val="none" w:sz="0" w:space="0" w:color="auto"/>
        <w:right w:val="none" w:sz="0" w:space="0" w:color="auto"/>
      </w:divBdr>
    </w:div>
    <w:div w:id="1676492366">
      <w:bodyDiv w:val="1"/>
      <w:marLeft w:val="0"/>
      <w:marRight w:val="0"/>
      <w:marTop w:val="0"/>
      <w:marBottom w:val="0"/>
      <w:divBdr>
        <w:top w:val="none" w:sz="0" w:space="0" w:color="auto"/>
        <w:left w:val="none" w:sz="0" w:space="0" w:color="auto"/>
        <w:bottom w:val="none" w:sz="0" w:space="0" w:color="auto"/>
        <w:right w:val="none" w:sz="0" w:space="0" w:color="auto"/>
      </w:divBdr>
    </w:div>
    <w:div w:id="1688411465">
      <w:bodyDiv w:val="1"/>
      <w:marLeft w:val="0"/>
      <w:marRight w:val="0"/>
      <w:marTop w:val="0"/>
      <w:marBottom w:val="0"/>
      <w:divBdr>
        <w:top w:val="none" w:sz="0" w:space="0" w:color="auto"/>
        <w:left w:val="none" w:sz="0" w:space="0" w:color="auto"/>
        <w:bottom w:val="none" w:sz="0" w:space="0" w:color="auto"/>
        <w:right w:val="none" w:sz="0" w:space="0" w:color="auto"/>
      </w:divBdr>
    </w:div>
    <w:div w:id="1690789119">
      <w:bodyDiv w:val="1"/>
      <w:marLeft w:val="0"/>
      <w:marRight w:val="0"/>
      <w:marTop w:val="0"/>
      <w:marBottom w:val="0"/>
      <w:divBdr>
        <w:top w:val="none" w:sz="0" w:space="0" w:color="auto"/>
        <w:left w:val="none" w:sz="0" w:space="0" w:color="auto"/>
        <w:bottom w:val="none" w:sz="0" w:space="0" w:color="auto"/>
        <w:right w:val="none" w:sz="0" w:space="0" w:color="auto"/>
      </w:divBdr>
    </w:div>
    <w:div w:id="1700398060">
      <w:bodyDiv w:val="1"/>
      <w:marLeft w:val="0"/>
      <w:marRight w:val="0"/>
      <w:marTop w:val="0"/>
      <w:marBottom w:val="0"/>
      <w:divBdr>
        <w:top w:val="none" w:sz="0" w:space="0" w:color="auto"/>
        <w:left w:val="none" w:sz="0" w:space="0" w:color="auto"/>
        <w:bottom w:val="none" w:sz="0" w:space="0" w:color="auto"/>
        <w:right w:val="none" w:sz="0" w:space="0" w:color="auto"/>
      </w:divBdr>
    </w:div>
    <w:div w:id="1708947117">
      <w:bodyDiv w:val="1"/>
      <w:marLeft w:val="0"/>
      <w:marRight w:val="0"/>
      <w:marTop w:val="0"/>
      <w:marBottom w:val="0"/>
      <w:divBdr>
        <w:top w:val="none" w:sz="0" w:space="0" w:color="auto"/>
        <w:left w:val="none" w:sz="0" w:space="0" w:color="auto"/>
        <w:bottom w:val="none" w:sz="0" w:space="0" w:color="auto"/>
        <w:right w:val="none" w:sz="0" w:space="0" w:color="auto"/>
      </w:divBdr>
    </w:div>
    <w:div w:id="1711681570">
      <w:bodyDiv w:val="1"/>
      <w:marLeft w:val="0"/>
      <w:marRight w:val="0"/>
      <w:marTop w:val="0"/>
      <w:marBottom w:val="0"/>
      <w:divBdr>
        <w:top w:val="none" w:sz="0" w:space="0" w:color="auto"/>
        <w:left w:val="none" w:sz="0" w:space="0" w:color="auto"/>
        <w:bottom w:val="none" w:sz="0" w:space="0" w:color="auto"/>
        <w:right w:val="none" w:sz="0" w:space="0" w:color="auto"/>
      </w:divBdr>
    </w:div>
    <w:div w:id="1719084688">
      <w:bodyDiv w:val="1"/>
      <w:marLeft w:val="0"/>
      <w:marRight w:val="0"/>
      <w:marTop w:val="0"/>
      <w:marBottom w:val="0"/>
      <w:divBdr>
        <w:top w:val="none" w:sz="0" w:space="0" w:color="auto"/>
        <w:left w:val="none" w:sz="0" w:space="0" w:color="auto"/>
        <w:bottom w:val="none" w:sz="0" w:space="0" w:color="auto"/>
        <w:right w:val="none" w:sz="0" w:space="0" w:color="auto"/>
      </w:divBdr>
    </w:div>
    <w:div w:id="1724409287">
      <w:bodyDiv w:val="1"/>
      <w:marLeft w:val="0"/>
      <w:marRight w:val="0"/>
      <w:marTop w:val="0"/>
      <w:marBottom w:val="0"/>
      <w:divBdr>
        <w:top w:val="none" w:sz="0" w:space="0" w:color="auto"/>
        <w:left w:val="none" w:sz="0" w:space="0" w:color="auto"/>
        <w:bottom w:val="none" w:sz="0" w:space="0" w:color="auto"/>
        <w:right w:val="none" w:sz="0" w:space="0" w:color="auto"/>
      </w:divBdr>
      <w:divsChild>
        <w:div w:id="1571769652">
          <w:marLeft w:val="0"/>
          <w:marRight w:val="0"/>
          <w:marTop w:val="0"/>
          <w:marBottom w:val="0"/>
          <w:divBdr>
            <w:top w:val="none" w:sz="0" w:space="0" w:color="auto"/>
            <w:left w:val="none" w:sz="0" w:space="0" w:color="auto"/>
            <w:bottom w:val="none" w:sz="0" w:space="0" w:color="auto"/>
            <w:right w:val="none" w:sz="0" w:space="0" w:color="auto"/>
          </w:divBdr>
        </w:div>
        <w:div w:id="1980567609">
          <w:marLeft w:val="0"/>
          <w:marRight w:val="0"/>
          <w:marTop w:val="0"/>
          <w:marBottom w:val="0"/>
          <w:divBdr>
            <w:top w:val="none" w:sz="0" w:space="0" w:color="auto"/>
            <w:left w:val="none" w:sz="0" w:space="0" w:color="auto"/>
            <w:bottom w:val="none" w:sz="0" w:space="0" w:color="auto"/>
            <w:right w:val="none" w:sz="0" w:space="0" w:color="auto"/>
          </w:divBdr>
        </w:div>
      </w:divsChild>
    </w:div>
    <w:div w:id="1726106356">
      <w:bodyDiv w:val="1"/>
      <w:marLeft w:val="0"/>
      <w:marRight w:val="0"/>
      <w:marTop w:val="0"/>
      <w:marBottom w:val="0"/>
      <w:divBdr>
        <w:top w:val="none" w:sz="0" w:space="0" w:color="auto"/>
        <w:left w:val="none" w:sz="0" w:space="0" w:color="auto"/>
        <w:bottom w:val="none" w:sz="0" w:space="0" w:color="auto"/>
        <w:right w:val="none" w:sz="0" w:space="0" w:color="auto"/>
      </w:divBdr>
    </w:div>
    <w:div w:id="1733961414">
      <w:bodyDiv w:val="1"/>
      <w:marLeft w:val="0"/>
      <w:marRight w:val="0"/>
      <w:marTop w:val="0"/>
      <w:marBottom w:val="0"/>
      <w:divBdr>
        <w:top w:val="none" w:sz="0" w:space="0" w:color="auto"/>
        <w:left w:val="none" w:sz="0" w:space="0" w:color="auto"/>
        <w:bottom w:val="none" w:sz="0" w:space="0" w:color="auto"/>
        <w:right w:val="none" w:sz="0" w:space="0" w:color="auto"/>
      </w:divBdr>
    </w:div>
    <w:div w:id="1751348288">
      <w:bodyDiv w:val="1"/>
      <w:marLeft w:val="0"/>
      <w:marRight w:val="0"/>
      <w:marTop w:val="0"/>
      <w:marBottom w:val="0"/>
      <w:divBdr>
        <w:top w:val="none" w:sz="0" w:space="0" w:color="auto"/>
        <w:left w:val="none" w:sz="0" w:space="0" w:color="auto"/>
        <w:bottom w:val="none" w:sz="0" w:space="0" w:color="auto"/>
        <w:right w:val="none" w:sz="0" w:space="0" w:color="auto"/>
      </w:divBdr>
    </w:div>
    <w:div w:id="1755206196">
      <w:bodyDiv w:val="1"/>
      <w:marLeft w:val="0"/>
      <w:marRight w:val="0"/>
      <w:marTop w:val="0"/>
      <w:marBottom w:val="0"/>
      <w:divBdr>
        <w:top w:val="none" w:sz="0" w:space="0" w:color="auto"/>
        <w:left w:val="none" w:sz="0" w:space="0" w:color="auto"/>
        <w:bottom w:val="none" w:sz="0" w:space="0" w:color="auto"/>
        <w:right w:val="none" w:sz="0" w:space="0" w:color="auto"/>
      </w:divBdr>
    </w:div>
    <w:div w:id="1755274393">
      <w:bodyDiv w:val="1"/>
      <w:marLeft w:val="0"/>
      <w:marRight w:val="0"/>
      <w:marTop w:val="0"/>
      <w:marBottom w:val="0"/>
      <w:divBdr>
        <w:top w:val="none" w:sz="0" w:space="0" w:color="auto"/>
        <w:left w:val="none" w:sz="0" w:space="0" w:color="auto"/>
        <w:bottom w:val="none" w:sz="0" w:space="0" w:color="auto"/>
        <w:right w:val="none" w:sz="0" w:space="0" w:color="auto"/>
      </w:divBdr>
    </w:div>
    <w:div w:id="1758553884">
      <w:bodyDiv w:val="1"/>
      <w:marLeft w:val="0"/>
      <w:marRight w:val="0"/>
      <w:marTop w:val="0"/>
      <w:marBottom w:val="0"/>
      <w:divBdr>
        <w:top w:val="none" w:sz="0" w:space="0" w:color="auto"/>
        <w:left w:val="none" w:sz="0" w:space="0" w:color="auto"/>
        <w:bottom w:val="none" w:sz="0" w:space="0" w:color="auto"/>
        <w:right w:val="none" w:sz="0" w:space="0" w:color="auto"/>
      </w:divBdr>
    </w:div>
    <w:div w:id="1758744524">
      <w:bodyDiv w:val="1"/>
      <w:marLeft w:val="0"/>
      <w:marRight w:val="0"/>
      <w:marTop w:val="0"/>
      <w:marBottom w:val="0"/>
      <w:divBdr>
        <w:top w:val="none" w:sz="0" w:space="0" w:color="auto"/>
        <w:left w:val="none" w:sz="0" w:space="0" w:color="auto"/>
        <w:bottom w:val="none" w:sz="0" w:space="0" w:color="auto"/>
        <w:right w:val="none" w:sz="0" w:space="0" w:color="auto"/>
      </w:divBdr>
    </w:div>
    <w:div w:id="1759867408">
      <w:bodyDiv w:val="1"/>
      <w:marLeft w:val="0"/>
      <w:marRight w:val="0"/>
      <w:marTop w:val="0"/>
      <w:marBottom w:val="0"/>
      <w:divBdr>
        <w:top w:val="none" w:sz="0" w:space="0" w:color="auto"/>
        <w:left w:val="none" w:sz="0" w:space="0" w:color="auto"/>
        <w:bottom w:val="none" w:sz="0" w:space="0" w:color="auto"/>
        <w:right w:val="none" w:sz="0" w:space="0" w:color="auto"/>
      </w:divBdr>
    </w:div>
    <w:div w:id="1760518117">
      <w:bodyDiv w:val="1"/>
      <w:marLeft w:val="0"/>
      <w:marRight w:val="0"/>
      <w:marTop w:val="0"/>
      <w:marBottom w:val="0"/>
      <w:divBdr>
        <w:top w:val="none" w:sz="0" w:space="0" w:color="auto"/>
        <w:left w:val="none" w:sz="0" w:space="0" w:color="auto"/>
        <w:bottom w:val="none" w:sz="0" w:space="0" w:color="auto"/>
        <w:right w:val="none" w:sz="0" w:space="0" w:color="auto"/>
      </w:divBdr>
    </w:div>
    <w:div w:id="1761950941">
      <w:bodyDiv w:val="1"/>
      <w:marLeft w:val="0"/>
      <w:marRight w:val="0"/>
      <w:marTop w:val="0"/>
      <w:marBottom w:val="0"/>
      <w:divBdr>
        <w:top w:val="none" w:sz="0" w:space="0" w:color="auto"/>
        <w:left w:val="none" w:sz="0" w:space="0" w:color="auto"/>
        <w:bottom w:val="none" w:sz="0" w:space="0" w:color="auto"/>
        <w:right w:val="none" w:sz="0" w:space="0" w:color="auto"/>
      </w:divBdr>
    </w:div>
    <w:div w:id="1768650541">
      <w:bodyDiv w:val="1"/>
      <w:marLeft w:val="0"/>
      <w:marRight w:val="0"/>
      <w:marTop w:val="0"/>
      <w:marBottom w:val="0"/>
      <w:divBdr>
        <w:top w:val="none" w:sz="0" w:space="0" w:color="auto"/>
        <w:left w:val="none" w:sz="0" w:space="0" w:color="auto"/>
        <w:bottom w:val="none" w:sz="0" w:space="0" w:color="auto"/>
        <w:right w:val="none" w:sz="0" w:space="0" w:color="auto"/>
      </w:divBdr>
    </w:div>
    <w:div w:id="1793160563">
      <w:bodyDiv w:val="1"/>
      <w:marLeft w:val="0"/>
      <w:marRight w:val="0"/>
      <w:marTop w:val="0"/>
      <w:marBottom w:val="0"/>
      <w:divBdr>
        <w:top w:val="none" w:sz="0" w:space="0" w:color="auto"/>
        <w:left w:val="none" w:sz="0" w:space="0" w:color="auto"/>
        <w:bottom w:val="none" w:sz="0" w:space="0" w:color="auto"/>
        <w:right w:val="none" w:sz="0" w:space="0" w:color="auto"/>
      </w:divBdr>
    </w:div>
    <w:div w:id="1793551871">
      <w:bodyDiv w:val="1"/>
      <w:marLeft w:val="0"/>
      <w:marRight w:val="0"/>
      <w:marTop w:val="0"/>
      <w:marBottom w:val="0"/>
      <w:divBdr>
        <w:top w:val="none" w:sz="0" w:space="0" w:color="auto"/>
        <w:left w:val="none" w:sz="0" w:space="0" w:color="auto"/>
        <w:bottom w:val="none" w:sz="0" w:space="0" w:color="auto"/>
        <w:right w:val="none" w:sz="0" w:space="0" w:color="auto"/>
      </w:divBdr>
    </w:div>
    <w:div w:id="1795055634">
      <w:bodyDiv w:val="1"/>
      <w:marLeft w:val="0"/>
      <w:marRight w:val="0"/>
      <w:marTop w:val="0"/>
      <w:marBottom w:val="0"/>
      <w:divBdr>
        <w:top w:val="none" w:sz="0" w:space="0" w:color="auto"/>
        <w:left w:val="none" w:sz="0" w:space="0" w:color="auto"/>
        <w:bottom w:val="none" w:sz="0" w:space="0" w:color="auto"/>
        <w:right w:val="none" w:sz="0" w:space="0" w:color="auto"/>
      </w:divBdr>
    </w:div>
    <w:div w:id="1798908008">
      <w:bodyDiv w:val="1"/>
      <w:marLeft w:val="0"/>
      <w:marRight w:val="0"/>
      <w:marTop w:val="0"/>
      <w:marBottom w:val="0"/>
      <w:divBdr>
        <w:top w:val="none" w:sz="0" w:space="0" w:color="auto"/>
        <w:left w:val="none" w:sz="0" w:space="0" w:color="auto"/>
        <w:bottom w:val="none" w:sz="0" w:space="0" w:color="auto"/>
        <w:right w:val="none" w:sz="0" w:space="0" w:color="auto"/>
      </w:divBdr>
      <w:divsChild>
        <w:div w:id="662663365">
          <w:marLeft w:val="0"/>
          <w:marRight w:val="0"/>
          <w:marTop w:val="0"/>
          <w:marBottom w:val="300"/>
          <w:divBdr>
            <w:top w:val="none" w:sz="0" w:space="0" w:color="auto"/>
            <w:left w:val="none" w:sz="0" w:space="0" w:color="auto"/>
            <w:bottom w:val="none" w:sz="0" w:space="0" w:color="auto"/>
            <w:right w:val="none" w:sz="0" w:space="0" w:color="auto"/>
          </w:divBdr>
          <w:divsChild>
            <w:div w:id="1668896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04496302">
      <w:bodyDiv w:val="1"/>
      <w:marLeft w:val="0"/>
      <w:marRight w:val="0"/>
      <w:marTop w:val="0"/>
      <w:marBottom w:val="0"/>
      <w:divBdr>
        <w:top w:val="none" w:sz="0" w:space="0" w:color="auto"/>
        <w:left w:val="none" w:sz="0" w:space="0" w:color="auto"/>
        <w:bottom w:val="none" w:sz="0" w:space="0" w:color="auto"/>
        <w:right w:val="none" w:sz="0" w:space="0" w:color="auto"/>
      </w:divBdr>
    </w:div>
    <w:div w:id="1842306710">
      <w:bodyDiv w:val="1"/>
      <w:marLeft w:val="0"/>
      <w:marRight w:val="0"/>
      <w:marTop w:val="0"/>
      <w:marBottom w:val="0"/>
      <w:divBdr>
        <w:top w:val="none" w:sz="0" w:space="0" w:color="auto"/>
        <w:left w:val="none" w:sz="0" w:space="0" w:color="auto"/>
        <w:bottom w:val="none" w:sz="0" w:space="0" w:color="auto"/>
        <w:right w:val="none" w:sz="0" w:space="0" w:color="auto"/>
      </w:divBdr>
    </w:div>
    <w:div w:id="1849517787">
      <w:bodyDiv w:val="1"/>
      <w:marLeft w:val="0"/>
      <w:marRight w:val="0"/>
      <w:marTop w:val="0"/>
      <w:marBottom w:val="0"/>
      <w:divBdr>
        <w:top w:val="none" w:sz="0" w:space="0" w:color="auto"/>
        <w:left w:val="none" w:sz="0" w:space="0" w:color="auto"/>
        <w:bottom w:val="none" w:sz="0" w:space="0" w:color="auto"/>
        <w:right w:val="none" w:sz="0" w:space="0" w:color="auto"/>
      </w:divBdr>
    </w:div>
    <w:div w:id="1856458611">
      <w:bodyDiv w:val="1"/>
      <w:marLeft w:val="0"/>
      <w:marRight w:val="0"/>
      <w:marTop w:val="0"/>
      <w:marBottom w:val="0"/>
      <w:divBdr>
        <w:top w:val="none" w:sz="0" w:space="0" w:color="auto"/>
        <w:left w:val="none" w:sz="0" w:space="0" w:color="auto"/>
        <w:bottom w:val="none" w:sz="0" w:space="0" w:color="auto"/>
        <w:right w:val="none" w:sz="0" w:space="0" w:color="auto"/>
      </w:divBdr>
    </w:div>
    <w:div w:id="1860923130">
      <w:bodyDiv w:val="1"/>
      <w:marLeft w:val="0"/>
      <w:marRight w:val="0"/>
      <w:marTop w:val="0"/>
      <w:marBottom w:val="0"/>
      <w:divBdr>
        <w:top w:val="none" w:sz="0" w:space="0" w:color="auto"/>
        <w:left w:val="none" w:sz="0" w:space="0" w:color="auto"/>
        <w:bottom w:val="none" w:sz="0" w:space="0" w:color="auto"/>
        <w:right w:val="none" w:sz="0" w:space="0" w:color="auto"/>
      </w:divBdr>
    </w:div>
    <w:div w:id="1864391854">
      <w:bodyDiv w:val="1"/>
      <w:marLeft w:val="0"/>
      <w:marRight w:val="0"/>
      <w:marTop w:val="0"/>
      <w:marBottom w:val="0"/>
      <w:divBdr>
        <w:top w:val="none" w:sz="0" w:space="0" w:color="auto"/>
        <w:left w:val="none" w:sz="0" w:space="0" w:color="auto"/>
        <w:bottom w:val="none" w:sz="0" w:space="0" w:color="auto"/>
        <w:right w:val="none" w:sz="0" w:space="0" w:color="auto"/>
      </w:divBdr>
    </w:div>
    <w:div w:id="1879197110">
      <w:bodyDiv w:val="1"/>
      <w:marLeft w:val="0"/>
      <w:marRight w:val="0"/>
      <w:marTop w:val="0"/>
      <w:marBottom w:val="0"/>
      <w:divBdr>
        <w:top w:val="none" w:sz="0" w:space="0" w:color="auto"/>
        <w:left w:val="none" w:sz="0" w:space="0" w:color="auto"/>
        <w:bottom w:val="none" w:sz="0" w:space="0" w:color="auto"/>
        <w:right w:val="none" w:sz="0" w:space="0" w:color="auto"/>
      </w:divBdr>
    </w:div>
    <w:div w:id="1882093379">
      <w:bodyDiv w:val="1"/>
      <w:marLeft w:val="0"/>
      <w:marRight w:val="0"/>
      <w:marTop w:val="0"/>
      <w:marBottom w:val="0"/>
      <w:divBdr>
        <w:top w:val="none" w:sz="0" w:space="0" w:color="auto"/>
        <w:left w:val="none" w:sz="0" w:space="0" w:color="auto"/>
        <w:bottom w:val="none" w:sz="0" w:space="0" w:color="auto"/>
        <w:right w:val="none" w:sz="0" w:space="0" w:color="auto"/>
      </w:divBdr>
    </w:div>
    <w:div w:id="1903131665">
      <w:bodyDiv w:val="1"/>
      <w:marLeft w:val="0"/>
      <w:marRight w:val="0"/>
      <w:marTop w:val="0"/>
      <w:marBottom w:val="0"/>
      <w:divBdr>
        <w:top w:val="none" w:sz="0" w:space="0" w:color="auto"/>
        <w:left w:val="none" w:sz="0" w:space="0" w:color="auto"/>
        <w:bottom w:val="none" w:sz="0" w:space="0" w:color="auto"/>
        <w:right w:val="none" w:sz="0" w:space="0" w:color="auto"/>
      </w:divBdr>
    </w:div>
    <w:div w:id="1910460573">
      <w:bodyDiv w:val="1"/>
      <w:marLeft w:val="0"/>
      <w:marRight w:val="0"/>
      <w:marTop w:val="0"/>
      <w:marBottom w:val="0"/>
      <w:divBdr>
        <w:top w:val="none" w:sz="0" w:space="0" w:color="auto"/>
        <w:left w:val="none" w:sz="0" w:space="0" w:color="auto"/>
        <w:bottom w:val="none" w:sz="0" w:space="0" w:color="auto"/>
        <w:right w:val="none" w:sz="0" w:space="0" w:color="auto"/>
      </w:divBdr>
    </w:div>
    <w:div w:id="1911117007">
      <w:bodyDiv w:val="1"/>
      <w:marLeft w:val="0"/>
      <w:marRight w:val="0"/>
      <w:marTop w:val="0"/>
      <w:marBottom w:val="0"/>
      <w:divBdr>
        <w:top w:val="none" w:sz="0" w:space="0" w:color="auto"/>
        <w:left w:val="none" w:sz="0" w:space="0" w:color="auto"/>
        <w:bottom w:val="none" w:sz="0" w:space="0" w:color="auto"/>
        <w:right w:val="none" w:sz="0" w:space="0" w:color="auto"/>
      </w:divBdr>
    </w:div>
    <w:div w:id="1912036119">
      <w:bodyDiv w:val="1"/>
      <w:marLeft w:val="0"/>
      <w:marRight w:val="0"/>
      <w:marTop w:val="0"/>
      <w:marBottom w:val="0"/>
      <w:divBdr>
        <w:top w:val="none" w:sz="0" w:space="0" w:color="auto"/>
        <w:left w:val="none" w:sz="0" w:space="0" w:color="auto"/>
        <w:bottom w:val="none" w:sz="0" w:space="0" w:color="auto"/>
        <w:right w:val="none" w:sz="0" w:space="0" w:color="auto"/>
      </w:divBdr>
    </w:div>
    <w:div w:id="1919556022">
      <w:bodyDiv w:val="1"/>
      <w:marLeft w:val="0"/>
      <w:marRight w:val="0"/>
      <w:marTop w:val="0"/>
      <w:marBottom w:val="0"/>
      <w:divBdr>
        <w:top w:val="none" w:sz="0" w:space="0" w:color="auto"/>
        <w:left w:val="none" w:sz="0" w:space="0" w:color="auto"/>
        <w:bottom w:val="none" w:sz="0" w:space="0" w:color="auto"/>
        <w:right w:val="none" w:sz="0" w:space="0" w:color="auto"/>
      </w:divBdr>
    </w:div>
    <w:div w:id="1925138378">
      <w:bodyDiv w:val="1"/>
      <w:marLeft w:val="0"/>
      <w:marRight w:val="0"/>
      <w:marTop w:val="0"/>
      <w:marBottom w:val="0"/>
      <w:divBdr>
        <w:top w:val="none" w:sz="0" w:space="0" w:color="auto"/>
        <w:left w:val="none" w:sz="0" w:space="0" w:color="auto"/>
        <w:bottom w:val="none" w:sz="0" w:space="0" w:color="auto"/>
        <w:right w:val="none" w:sz="0" w:space="0" w:color="auto"/>
      </w:divBdr>
    </w:div>
    <w:div w:id="1926262387">
      <w:bodyDiv w:val="1"/>
      <w:marLeft w:val="0"/>
      <w:marRight w:val="0"/>
      <w:marTop w:val="0"/>
      <w:marBottom w:val="0"/>
      <w:divBdr>
        <w:top w:val="none" w:sz="0" w:space="0" w:color="auto"/>
        <w:left w:val="none" w:sz="0" w:space="0" w:color="auto"/>
        <w:bottom w:val="none" w:sz="0" w:space="0" w:color="auto"/>
        <w:right w:val="none" w:sz="0" w:space="0" w:color="auto"/>
      </w:divBdr>
      <w:divsChild>
        <w:div w:id="813328454">
          <w:marLeft w:val="0"/>
          <w:marRight w:val="0"/>
          <w:marTop w:val="0"/>
          <w:marBottom w:val="0"/>
          <w:divBdr>
            <w:top w:val="none" w:sz="0" w:space="0" w:color="auto"/>
            <w:left w:val="none" w:sz="0" w:space="0" w:color="auto"/>
            <w:bottom w:val="none" w:sz="0" w:space="0" w:color="auto"/>
            <w:right w:val="none" w:sz="0" w:space="0" w:color="auto"/>
          </w:divBdr>
        </w:div>
        <w:div w:id="1685084774">
          <w:marLeft w:val="0"/>
          <w:marRight w:val="0"/>
          <w:marTop w:val="0"/>
          <w:marBottom w:val="0"/>
          <w:divBdr>
            <w:top w:val="none" w:sz="0" w:space="0" w:color="auto"/>
            <w:left w:val="none" w:sz="0" w:space="0" w:color="auto"/>
            <w:bottom w:val="none" w:sz="0" w:space="0" w:color="auto"/>
            <w:right w:val="none" w:sz="0" w:space="0" w:color="auto"/>
          </w:divBdr>
        </w:div>
      </w:divsChild>
    </w:div>
    <w:div w:id="1926378768">
      <w:bodyDiv w:val="1"/>
      <w:marLeft w:val="0"/>
      <w:marRight w:val="0"/>
      <w:marTop w:val="0"/>
      <w:marBottom w:val="0"/>
      <w:divBdr>
        <w:top w:val="none" w:sz="0" w:space="0" w:color="auto"/>
        <w:left w:val="none" w:sz="0" w:space="0" w:color="auto"/>
        <w:bottom w:val="none" w:sz="0" w:space="0" w:color="auto"/>
        <w:right w:val="none" w:sz="0" w:space="0" w:color="auto"/>
      </w:divBdr>
    </w:div>
    <w:div w:id="1931114780">
      <w:bodyDiv w:val="1"/>
      <w:marLeft w:val="0"/>
      <w:marRight w:val="0"/>
      <w:marTop w:val="0"/>
      <w:marBottom w:val="0"/>
      <w:divBdr>
        <w:top w:val="none" w:sz="0" w:space="0" w:color="auto"/>
        <w:left w:val="none" w:sz="0" w:space="0" w:color="auto"/>
        <w:bottom w:val="none" w:sz="0" w:space="0" w:color="auto"/>
        <w:right w:val="none" w:sz="0" w:space="0" w:color="auto"/>
      </w:divBdr>
    </w:div>
    <w:div w:id="1931348995">
      <w:bodyDiv w:val="1"/>
      <w:marLeft w:val="0"/>
      <w:marRight w:val="0"/>
      <w:marTop w:val="0"/>
      <w:marBottom w:val="0"/>
      <w:divBdr>
        <w:top w:val="none" w:sz="0" w:space="0" w:color="auto"/>
        <w:left w:val="none" w:sz="0" w:space="0" w:color="auto"/>
        <w:bottom w:val="none" w:sz="0" w:space="0" w:color="auto"/>
        <w:right w:val="none" w:sz="0" w:space="0" w:color="auto"/>
      </w:divBdr>
    </w:div>
    <w:div w:id="1931770372">
      <w:bodyDiv w:val="1"/>
      <w:marLeft w:val="0"/>
      <w:marRight w:val="0"/>
      <w:marTop w:val="0"/>
      <w:marBottom w:val="0"/>
      <w:divBdr>
        <w:top w:val="none" w:sz="0" w:space="0" w:color="auto"/>
        <w:left w:val="none" w:sz="0" w:space="0" w:color="auto"/>
        <w:bottom w:val="none" w:sz="0" w:space="0" w:color="auto"/>
        <w:right w:val="none" w:sz="0" w:space="0" w:color="auto"/>
      </w:divBdr>
    </w:div>
    <w:div w:id="1936934251">
      <w:bodyDiv w:val="1"/>
      <w:marLeft w:val="0"/>
      <w:marRight w:val="0"/>
      <w:marTop w:val="0"/>
      <w:marBottom w:val="0"/>
      <w:divBdr>
        <w:top w:val="none" w:sz="0" w:space="0" w:color="auto"/>
        <w:left w:val="none" w:sz="0" w:space="0" w:color="auto"/>
        <w:bottom w:val="none" w:sz="0" w:space="0" w:color="auto"/>
        <w:right w:val="none" w:sz="0" w:space="0" w:color="auto"/>
      </w:divBdr>
    </w:div>
    <w:div w:id="1938757725">
      <w:bodyDiv w:val="1"/>
      <w:marLeft w:val="0"/>
      <w:marRight w:val="0"/>
      <w:marTop w:val="0"/>
      <w:marBottom w:val="0"/>
      <w:divBdr>
        <w:top w:val="none" w:sz="0" w:space="0" w:color="auto"/>
        <w:left w:val="none" w:sz="0" w:space="0" w:color="auto"/>
        <w:bottom w:val="none" w:sz="0" w:space="0" w:color="auto"/>
        <w:right w:val="none" w:sz="0" w:space="0" w:color="auto"/>
      </w:divBdr>
    </w:div>
    <w:div w:id="1941720021">
      <w:bodyDiv w:val="1"/>
      <w:marLeft w:val="0"/>
      <w:marRight w:val="0"/>
      <w:marTop w:val="0"/>
      <w:marBottom w:val="0"/>
      <w:divBdr>
        <w:top w:val="none" w:sz="0" w:space="0" w:color="auto"/>
        <w:left w:val="none" w:sz="0" w:space="0" w:color="auto"/>
        <w:bottom w:val="none" w:sz="0" w:space="0" w:color="auto"/>
        <w:right w:val="none" w:sz="0" w:space="0" w:color="auto"/>
      </w:divBdr>
    </w:div>
    <w:div w:id="1947034138">
      <w:bodyDiv w:val="1"/>
      <w:marLeft w:val="0"/>
      <w:marRight w:val="0"/>
      <w:marTop w:val="0"/>
      <w:marBottom w:val="0"/>
      <w:divBdr>
        <w:top w:val="none" w:sz="0" w:space="0" w:color="auto"/>
        <w:left w:val="none" w:sz="0" w:space="0" w:color="auto"/>
        <w:bottom w:val="none" w:sz="0" w:space="0" w:color="auto"/>
        <w:right w:val="none" w:sz="0" w:space="0" w:color="auto"/>
      </w:divBdr>
    </w:div>
    <w:div w:id="1953785840">
      <w:bodyDiv w:val="1"/>
      <w:marLeft w:val="0"/>
      <w:marRight w:val="0"/>
      <w:marTop w:val="0"/>
      <w:marBottom w:val="0"/>
      <w:divBdr>
        <w:top w:val="none" w:sz="0" w:space="0" w:color="auto"/>
        <w:left w:val="none" w:sz="0" w:space="0" w:color="auto"/>
        <w:bottom w:val="none" w:sz="0" w:space="0" w:color="auto"/>
        <w:right w:val="none" w:sz="0" w:space="0" w:color="auto"/>
      </w:divBdr>
    </w:div>
    <w:div w:id="1954483344">
      <w:bodyDiv w:val="1"/>
      <w:marLeft w:val="0"/>
      <w:marRight w:val="0"/>
      <w:marTop w:val="0"/>
      <w:marBottom w:val="0"/>
      <w:divBdr>
        <w:top w:val="none" w:sz="0" w:space="0" w:color="auto"/>
        <w:left w:val="none" w:sz="0" w:space="0" w:color="auto"/>
        <w:bottom w:val="none" w:sz="0" w:space="0" w:color="auto"/>
        <w:right w:val="none" w:sz="0" w:space="0" w:color="auto"/>
      </w:divBdr>
    </w:div>
    <w:div w:id="1955163632">
      <w:bodyDiv w:val="1"/>
      <w:marLeft w:val="0"/>
      <w:marRight w:val="0"/>
      <w:marTop w:val="0"/>
      <w:marBottom w:val="0"/>
      <w:divBdr>
        <w:top w:val="none" w:sz="0" w:space="0" w:color="auto"/>
        <w:left w:val="none" w:sz="0" w:space="0" w:color="auto"/>
        <w:bottom w:val="none" w:sz="0" w:space="0" w:color="auto"/>
        <w:right w:val="none" w:sz="0" w:space="0" w:color="auto"/>
      </w:divBdr>
    </w:div>
    <w:div w:id="1967467928">
      <w:bodyDiv w:val="1"/>
      <w:marLeft w:val="0"/>
      <w:marRight w:val="0"/>
      <w:marTop w:val="0"/>
      <w:marBottom w:val="0"/>
      <w:divBdr>
        <w:top w:val="none" w:sz="0" w:space="0" w:color="auto"/>
        <w:left w:val="none" w:sz="0" w:space="0" w:color="auto"/>
        <w:bottom w:val="none" w:sz="0" w:space="0" w:color="auto"/>
        <w:right w:val="none" w:sz="0" w:space="0" w:color="auto"/>
      </w:divBdr>
    </w:div>
    <w:div w:id="1967928661">
      <w:bodyDiv w:val="1"/>
      <w:marLeft w:val="0"/>
      <w:marRight w:val="0"/>
      <w:marTop w:val="0"/>
      <w:marBottom w:val="0"/>
      <w:divBdr>
        <w:top w:val="none" w:sz="0" w:space="0" w:color="auto"/>
        <w:left w:val="none" w:sz="0" w:space="0" w:color="auto"/>
        <w:bottom w:val="none" w:sz="0" w:space="0" w:color="auto"/>
        <w:right w:val="none" w:sz="0" w:space="0" w:color="auto"/>
      </w:divBdr>
    </w:div>
    <w:div w:id="1970360956">
      <w:bodyDiv w:val="1"/>
      <w:marLeft w:val="0"/>
      <w:marRight w:val="0"/>
      <w:marTop w:val="0"/>
      <w:marBottom w:val="0"/>
      <w:divBdr>
        <w:top w:val="none" w:sz="0" w:space="0" w:color="auto"/>
        <w:left w:val="none" w:sz="0" w:space="0" w:color="auto"/>
        <w:bottom w:val="none" w:sz="0" w:space="0" w:color="auto"/>
        <w:right w:val="none" w:sz="0" w:space="0" w:color="auto"/>
      </w:divBdr>
    </w:div>
    <w:div w:id="1976794489">
      <w:bodyDiv w:val="1"/>
      <w:marLeft w:val="0"/>
      <w:marRight w:val="0"/>
      <w:marTop w:val="0"/>
      <w:marBottom w:val="0"/>
      <w:divBdr>
        <w:top w:val="none" w:sz="0" w:space="0" w:color="auto"/>
        <w:left w:val="none" w:sz="0" w:space="0" w:color="auto"/>
        <w:bottom w:val="none" w:sz="0" w:space="0" w:color="auto"/>
        <w:right w:val="none" w:sz="0" w:space="0" w:color="auto"/>
      </w:divBdr>
    </w:div>
    <w:div w:id="1984697437">
      <w:bodyDiv w:val="1"/>
      <w:marLeft w:val="0"/>
      <w:marRight w:val="0"/>
      <w:marTop w:val="0"/>
      <w:marBottom w:val="0"/>
      <w:divBdr>
        <w:top w:val="none" w:sz="0" w:space="0" w:color="auto"/>
        <w:left w:val="none" w:sz="0" w:space="0" w:color="auto"/>
        <w:bottom w:val="none" w:sz="0" w:space="0" w:color="auto"/>
        <w:right w:val="none" w:sz="0" w:space="0" w:color="auto"/>
      </w:divBdr>
    </w:div>
    <w:div w:id="1993559737">
      <w:bodyDiv w:val="1"/>
      <w:marLeft w:val="0"/>
      <w:marRight w:val="0"/>
      <w:marTop w:val="0"/>
      <w:marBottom w:val="0"/>
      <w:divBdr>
        <w:top w:val="none" w:sz="0" w:space="0" w:color="auto"/>
        <w:left w:val="none" w:sz="0" w:space="0" w:color="auto"/>
        <w:bottom w:val="none" w:sz="0" w:space="0" w:color="auto"/>
        <w:right w:val="none" w:sz="0" w:space="0" w:color="auto"/>
      </w:divBdr>
    </w:div>
    <w:div w:id="1998997532">
      <w:bodyDiv w:val="1"/>
      <w:marLeft w:val="0"/>
      <w:marRight w:val="0"/>
      <w:marTop w:val="0"/>
      <w:marBottom w:val="0"/>
      <w:divBdr>
        <w:top w:val="none" w:sz="0" w:space="0" w:color="auto"/>
        <w:left w:val="none" w:sz="0" w:space="0" w:color="auto"/>
        <w:bottom w:val="none" w:sz="0" w:space="0" w:color="auto"/>
        <w:right w:val="none" w:sz="0" w:space="0" w:color="auto"/>
      </w:divBdr>
    </w:div>
    <w:div w:id="2006585177">
      <w:bodyDiv w:val="1"/>
      <w:marLeft w:val="0"/>
      <w:marRight w:val="0"/>
      <w:marTop w:val="0"/>
      <w:marBottom w:val="0"/>
      <w:divBdr>
        <w:top w:val="none" w:sz="0" w:space="0" w:color="auto"/>
        <w:left w:val="none" w:sz="0" w:space="0" w:color="auto"/>
        <w:bottom w:val="none" w:sz="0" w:space="0" w:color="auto"/>
        <w:right w:val="none" w:sz="0" w:space="0" w:color="auto"/>
      </w:divBdr>
    </w:div>
    <w:div w:id="2006853553">
      <w:bodyDiv w:val="1"/>
      <w:marLeft w:val="0"/>
      <w:marRight w:val="0"/>
      <w:marTop w:val="0"/>
      <w:marBottom w:val="0"/>
      <w:divBdr>
        <w:top w:val="none" w:sz="0" w:space="0" w:color="auto"/>
        <w:left w:val="none" w:sz="0" w:space="0" w:color="auto"/>
        <w:bottom w:val="none" w:sz="0" w:space="0" w:color="auto"/>
        <w:right w:val="none" w:sz="0" w:space="0" w:color="auto"/>
      </w:divBdr>
    </w:div>
    <w:div w:id="2011249657">
      <w:bodyDiv w:val="1"/>
      <w:marLeft w:val="0"/>
      <w:marRight w:val="0"/>
      <w:marTop w:val="0"/>
      <w:marBottom w:val="0"/>
      <w:divBdr>
        <w:top w:val="none" w:sz="0" w:space="0" w:color="auto"/>
        <w:left w:val="none" w:sz="0" w:space="0" w:color="auto"/>
        <w:bottom w:val="none" w:sz="0" w:space="0" w:color="auto"/>
        <w:right w:val="none" w:sz="0" w:space="0" w:color="auto"/>
      </w:divBdr>
    </w:div>
    <w:div w:id="2017070240">
      <w:bodyDiv w:val="1"/>
      <w:marLeft w:val="0"/>
      <w:marRight w:val="0"/>
      <w:marTop w:val="0"/>
      <w:marBottom w:val="0"/>
      <w:divBdr>
        <w:top w:val="none" w:sz="0" w:space="0" w:color="auto"/>
        <w:left w:val="none" w:sz="0" w:space="0" w:color="auto"/>
        <w:bottom w:val="none" w:sz="0" w:space="0" w:color="auto"/>
        <w:right w:val="none" w:sz="0" w:space="0" w:color="auto"/>
      </w:divBdr>
    </w:div>
    <w:div w:id="2027634641">
      <w:bodyDiv w:val="1"/>
      <w:marLeft w:val="0"/>
      <w:marRight w:val="0"/>
      <w:marTop w:val="0"/>
      <w:marBottom w:val="0"/>
      <w:divBdr>
        <w:top w:val="none" w:sz="0" w:space="0" w:color="auto"/>
        <w:left w:val="none" w:sz="0" w:space="0" w:color="auto"/>
        <w:bottom w:val="none" w:sz="0" w:space="0" w:color="auto"/>
        <w:right w:val="none" w:sz="0" w:space="0" w:color="auto"/>
      </w:divBdr>
    </w:div>
    <w:div w:id="2028865037">
      <w:bodyDiv w:val="1"/>
      <w:marLeft w:val="0"/>
      <w:marRight w:val="0"/>
      <w:marTop w:val="0"/>
      <w:marBottom w:val="0"/>
      <w:divBdr>
        <w:top w:val="none" w:sz="0" w:space="0" w:color="auto"/>
        <w:left w:val="none" w:sz="0" w:space="0" w:color="auto"/>
        <w:bottom w:val="none" w:sz="0" w:space="0" w:color="auto"/>
        <w:right w:val="none" w:sz="0" w:space="0" w:color="auto"/>
      </w:divBdr>
    </w:div>
    <w:div w:id="2041936470">
      <w:bodyDiv w:val="1"/>
      <w:marLeft w:val="0"/>
      <w:marRight w:val="0"/>
      <w:marTop w:val="0"/>
      <w:marBottom w:val="0"/>
      <w:divBdr>
        <w:top w:val="none" w:sz="0" w:space="0" w:color="auto"/>
        <w:left w:val="none" w:sz="0" w:space="0" w:color="auto"/>
        <w:bottom w:val="none" w:sz="0" w:space="0" w:color="auto"/>
        <w:right w:val="none" w:sz="0" w:space="0" w:color="auto"/>
      </w:divBdr>
    </w:div>
    <w:div w:id="2048409083">
      <w:bodyDiv w:val="1"/>
      <w:marLeft w:val="0"/>
      <w:marRight w:val="0"/>
      <w:marTop w:val="0"/>
      <w:marBottom w:val="0"/>
      <w:divBdr>
        <w:top w:val="none" w:sz="0" w:space="0" w:color="auto"/>
        <w:left w:val="none" w:sz="0" w:space="0" w:color="auto"/>
        <w:bottom w:val="none" w:sz="0" w:space="0" w:color="auto"/>
        <w:right w:val="none" w:sz="0" w:space="0" w:color="auto"/>
      </w:divBdr>
    </w:div>
    <w:div w:id="2053846185">
      <w:bodyDiv w:val="1"/>
      <w:marLeft w:val="0"/>
      <w:marRight w:val="0"/>
      <w:marTop w:val="0"/>
      <w:marBottom w:val="0"/>
      <w:divBdr>
        <w:top w:val="none" w:sz="0" w:space="0" w:color="auto"/>
        <w:left w:val="none" w:sz="0" w:space="0" w:color="auto"/>
        <w:bottom w:val="none" w:sz="0" w:space="0" w:color="auto"/>
        <w:right w:val="none" w:sz="0" w:space="0" w:color="auto"/>
      </w:divBdr>
    </w:div>
    <w:div w:id="2060282238">
      <w:bodyDiv w:val="1"/>
      <w:marLeft w:val="0"/>
      <w:marRight w:val="0"/>
      <w:marTop w:val="0"/>
      <w:marBottom w:val="0"/>
      <w:divBdr>
        <w:top w:val="none" w:sz="0" w:space="0" w:color="auto"/>
        <w:left w:val="none" w:sz="0" w:space="0" w:color="auto"/>
        <w:bottom w:val="none" w:sz="0" w:space="0" w:color="auto"/>
        <w:right w:val="none" w:sz="0" w:space="0" w:color="auto"/>
      </w:divBdr>
    </w:div>
    <w:div w:id="2068020535">
      <w:bodyDiv w:val="1"/>
      <w:marLeft w:val="0"/>
      <w:marRight w:val="0"/>
      <w:marTop w:val="0"/>
      <w:marBottom w:val="0"/>
      <w:divBdr>
        <w:top w:val="none" w:sz="0" w:space="0" w:color="auto"/>
        <w:left w:val="none" w:sz="0" w:space="0" w:color="auto"/>
        <w:bottom w:val="none" w:sz="0" w:space="0" w:color="auto"/>
        <w:right w:val="none" w:sz="0" w:space="0" w:color="auto"/>
      </w:divBdr>
    </w:div>
    <w:div w:id="2069838534">
      <w:bodyDiv w:val="1"/>
      <w:marLeft w:val="0"/>
      <w:marRight w:val="0"/>
      <w:marTop w:val="0"/>
      <w:marBottom w:val="0"/>
      <w:divBdr>
        <w:top w:val="none" w:sz="0" w:space="0" w:color="auto"/>
        <w:left w:val="none" w:sz="0" w:space="0" w:color="auto"/>
        <w:bottom w:val="none" w:sz="0" w:space="0" w:color="auto"/>
        <w:right w:val="none" w:sz="0" w:space="0" w:color="auto"/>
      </w:divBdr>
    </w:div>
    <w:div w:id="2073844273">
      <w:bodyDiv w:val="1"/>
      <w:marLeft w:val="0"/>
      <w:marRight w:val="0"/>
      <w:marTop w:val="0"/>
      <w:marBottom w:val="0"/>
      <w:divBdr>
        <w:top w:val="none" w:sz="0" w:space="0" w:color="auto"/>
        <w:left w:val="none" w:sz="0" w:space="0" w:color="auto"/>
        <w:bottom w:val="none" w:sz="0" w:space="0" w:color="auto"/>
        <w:right w:val="none" w:sz="0" w:space="0" w:color="auto"/>
      </w:divBdr>
    </w:div>
    <w:div w:id="2075081669">
      <w:bodyDiv w:val="1"/>
      <w:marLeft w:val="0"/>
      <w:marRight w:val="0"/>
      <w:marTop w:val="0"/>
      <w:marBottom w:val="0"/>
      <w:divBdr>
        <w:top w:val="none" w:sz="0" w:space="0" w:color="auto"/>
        <w:left w:val="none" w:sz="0" w:space="0" w:color="auto"/>
        <w:bottom w:val="none" w:sz="0" w:space="0" w:color="auto"/>
        <w:right w:val="none" w:sz="0" w:space="0" w:color="auto"/>
      </w:divBdr>
    </w:div>
    <w:div w:id="2075736078">
      <w:bodyDiv w:val="1"/>
      <w:marLeft w:val="0"/>
      <w:marRight w:val="0"/>
      <w:marTop w:val="0"/>
      <w:marBottom w:val="0"/>
      <w:divBdr>
        <w:top w:val="none" w:sz="0" w:space="0" w:color="auto"/>
        <w:left w:val="none" w:sz="0" w:space="0" w:color="auto"/>
        <w:bottom w:val="none" w:sz="0" w:space="0" w:color="auto"/>
        <w:right w:val="none" w:sz="0" w:space="0" w:color="auto"/>
      </w:divBdr>
    </w:div>
    <w:div w:id="2090345853">
      <w:bodyDiv w:val="1"/>
      <w:marLeft w:val="0"/>
      <w:marRight w:val="0"/>
      <w:marTop w:val="0"/>
      <w:marBottom w:val="0"/>
      <w:divBdr>
        <w:top w:val="none" w:sz="0" w:space="0" w:color="auto"/>
        <w:left w:val="none" w:sz="0" w:space="0" w:color="auto"/>
        <w:bottom w:val="none" w:sz="0" w:space="0" w:color="auto"/>
        <w:right w:val="none" w:sz="0" w:space="0" w:color="auto"/>
      </w:divBdr>
    </w:div>
    <w:div w:id="2103256253">
      <w:bodyDiv w:val="1"/>
      <w:marLeft w:val="0"/>
      <w:marRight w:val="0"/>
      <w:marTop w:val="0"/>
      <w:marBottom w:val="0"/>
      <w:divBdr>
        <w:top w:val="none" w:sz="0" w:space="0" w:color="auto"/>
        <w:left w:val="none" w:sz="0" w:space="0" w:color="auto"/>
        <w:bottom w:val="none" w:sz="0" w:space="0" w:color="auto"/>
        <w:right w:val="none" w:sz="0" w:space="0" w:color="auto"/>
      </w:divBdr>
    </w:div>
    <w:div w:id="2115249788">
      <w:bodyDiv w:val="1"/>
      <w:marLeft w:val="0"/>
      <w:marRight w:val="0"/>
      <w:marTop w:val="0"/>
      <w:marBottom w:val="0"/>
      <w:divBdr>
        <w:top w:val="none" w:sz="0" w:space="0" w:color="auto"/>
        <w:left w:val="none" w:sz="0" w:space="0" w:color="auto"/>
        <w:bottom w:val="none" w:sz="0" w:space="0" w:color="auto"/>
        <w:right w:val="none" w:sz="0" w:space="0" w:color="auto"/>
      </w:divBdr>
    </w:div>
    <w:div w:id="2116827885">
      <w:bodyDiv w:val="1"/>
      <w:marLeft w:val="0"/>
      <w:marRight w:val="0"/>
      <w:marTop w:val="0"/>
      <w:marBottom w:val="0"/>
      <w:divBdr>
        <w:top w:val="none" w:sz="0" w:space="0" w:color="auto"/>
        <w:left w:val="none" w:sz="0" w:space="0" w:color="auto"/>
        <w:bottom w:val="none" w:sz="0" w:space="0" w:color="auto"/>
        <w:right w:val="none" w:sz="0" w:space="0" w:color="auto"/>
      </w:divBdr>
    </w:div>
    <w:div w:id="2117021560">
      <w:bodyDiv w:val="1"/>
      <w:marLeft w:val="0"/>
      <w:marRight w:val="0"/>
      <w:marTop w:val="0"/>
      <w:marBottom w:val="0"/>
      <w:divBdr>
        <w:top w:val="none" w:sz="0" w:space="0" w:color="auto"/>
        <w:left w:val="none" w:sz="0" w:space="0" w:color="auto"/>
        <w:bottom w:val="none" w:sz="0" w:space="0" w:color="auto"/>
        <w:right w:val="none" w:sz="0" w:space="0" w:color="auto"/>
      </w:divBdr>
    </w:div>
    <w:div w:id="2117208093">
      <w:bodyDiv w:val="1"/>
      <w:marLeft w:val="0"/>
      <w:marRight w:val="0"/>
      <w:marTop w:val="0"/>
      <w:marBottom w:val="0"/>
      <w:divBdr>
        <w:top w:val="none" w:sz="0" w:space="0" w:color="auto"/>
        <w:left w:val="none" w:sz="0" w:space="0" w:color="auto"/>
        <w:bottom w:val="none" w:sz="0" w:space="0" w:color="auto"/>
        <w:right w:val="none" w:sz="0" w:space="0" w:color="auto"/>
      </w:divBdr>
    </w:div>
    <w:div w:id="2130082664">
      <w:bodyDiv w:val="1"/>
      <w:marLeft w:val="0"/>
      <w:marRight w:val="0"/>
      <w:marTop w:val="0"/>
      <w:marBottom w:val="0"/>
      <w:divBdr>
        <w:top w:val="none" w:sz="0" w:space="0" w:color="auto"/>
        <w:left w:val="none" w:sz="0" w:space="0" w:color="auto"/>
        <w:bottom w:val="none" w:sz="0" w:space="0" w:color="auto"/>
        <w:right w:val="none" w:sz="0" w:space="0" w:color="auto"/>
      </w:divBdr>
    </w:div>
    <w:div w:id="2133088636">
      <w:bodyDiv w:val="1"/>
      <w:marLeft w:val="0"/>
      <w:marRight w:val="0"/>
      <w:marTop w:val="0"/>
      <w:marBottom w:val="0"/>
      <w:divBdr>
        <w:top w:val="none" w:sz="0" w:space="0" w:color="auto"/>
        <w:left w:val="none" w:sz="0" w:space="0" w:color="auto"/>
        <w:bottom w:val="none" w:sz="0" w:space="0" w:color="auto"/>
        <w:right w:val="none" w:sz="0" w:space="0" w:color="auto"/>
      </w:divBdr>
    </w:div>
    <w:div w:id="2136174371">
      <w:bodyDiv w:val="1"/>
      <w:marLeft w:val="0"/>
      <w:marRight w:val="0"/>
      <w:marTop w:val="0"/>
      <w:marBottom w:val="0"/>
      <w:divBdr>
        <w:top w:val="none" w:sz="0" w:space="0" w:color="auto"/>
        <w:left w:val="none" w:sz="0" w:space="0" w:color="auto"/>
        <w:bottom w:val="none" w:sz="0" w:space="0" w:color="auto"/>
        <w:right w:val="none" w:sz="0" w:space="0" w:color="auto"/>
      </w:divBdr>
    </w:div>
    <w:div w:id="2141722123">
      <w:bodyDiv w:val="1"/>
      <w:marLeft w:val="0"/>
      <w:marRight w:val="0"/>
      <w:marTop w:val="0"/>
      <w:marBottom w:val="0"/>
      <w:divBdr>
        <w:top w:val="none" w:sz="0" w:space="0" w:color="auto"/>
        <w:left w:val="none" w:sz="0" w:space="0" w:color="auto"/>
        <w:bottom w:val="none" w:sz="0" w:space="0" w:color="auto"/>
        <w:right w:val="none" w:sz="0" w:space="0" w:color="auto"/>
      </w:divBdr>
    </w:div>
    <w:div w:id="214461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estlaw.com/Document/IC51C7610248111EB84E3AFDEA08E8491/View/FullText.html?transitionType=Default&amp;contextData=%28sc.Default%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635A5D-75CD-2049-A211-C7E45852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14805</Words>
  <Characters>84391</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Fernandez de la Mora Hernandez</dc:creator>
  <cp:keywords/>
  <dc:description/>
  <cp:lastModifiedBy>Alvaro Fernandez De La Mora Hernandez</cp:lastModifiedBy>
  <cp:revision>3</cp:revision>
  <cp:lastPrinted>2019-07-02T14:10:00Z</cp:lastPrinted>
  <dcterms:created xsi:type="dcterms:W3CDTF">2021-11-10T18:03:00Z</dcterms:created>
  <dcterms:modified xsi:type="dcterms:W3CDTF">2021-11-10T18:04:00Z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id="walP2iQb"/&gt;&lt;style id="http://www.zotero.org/styles/oscola" hasBibliography="1" bibliographyStyleHasBeenSet="1"/&gt;&lt;prefs&gt;&lt;pref name="fieldType" value="Field"/&gt;&lt;pref name="storeReferences" value="tr</vt:lpwstr>
  </property>
  <property fmtid="{D5CDD505-2E9C-101B-9397-08002B2CF9AE}" pid="3" name="ZOTERO_PREF_2">
    <vt:lpwstr>ue"/&gt;&lt;pref name="noteType" value="1"/&gt;&lt;pref name="dontAskDelayCitationUpdates" value="true"/&gt;&lt;/prefs&gt;&lt;/data&gt;</vt:lpwstr>
  </property>
</Properties>
</file>