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2E7" w:rsidRPr="0037437C" w:rsidRDefault="0037437C">
      <w:r w:rsidRPr="0037437C">
        <w:t xml:space="preserve">Citation: Williams J, Leamy M, Pesola F, Bird V, Le Boutillier C, Slade M </w:t>
      </w:r>
      <w:r w:rsidRPr="0037437C">
        <w:rPr>
          <w:i/>
        </w:rPr>
        <w:t>Psychometric evaluation of the Questionnaire about the Process of Recovery (QPR)</w:t>
      </w:r>
      <w:r w:rsidRPr="0037437C">
        <w:t>, British Journal of Psychiatry, in press.</w:t>
      </w:r>
    </w:p>
    <w:p w:rsidR="0037437C" w:rsidRPr="0037437C" w:rsidRDefault="0037437C">
      <w:pPr>
        <w:rPr>
          <w:b/>
        </w:rPr>
      </w:pPr>
    </w:p>
    <w:p w:rsidR="0037437C" w:rsidRPr="0037437C" w:rsidRDefault="0037437C">
      <w:pPr>
        <w:rPr>
          <w:b/>
        </w:rPr>
      </w:pPr>
    </w:p>
    <w:p w:rsidR="00D002E7" w:rsidRPr="0037437C" w:rsidRDefault="00D002E7">
      <w:pPr>
        <w:rPr>
          <w:b/>
        </w:rPr>
      </w:pPr>
      <w:r w:rsidRPr="0037437C">
        <w:rPr>
          <w:b/>
        </w:rPr>
        <w:t xml:space="preserve">Psychometric evaluation of the </w:t>
      </w:r>
      <w:r w:rsidR="00DA1513" w:rsidRPr="0037437C">
        <w:rPr>
          <w:b/>
        </w:rPr>
        <w:t xml:space="preserve">Questionnaire about the </w:t>
      </w:r>
      <w:r w:rsidR="00E033FC" w:rsidRPr="0037437C">
        <w:rPr>
          <w:b/>
        </w:rPr>
        <w:t>Process of Recovery  (</w:t>
      </w:r>
      <w:r w:rsidRPr="0037437C">
        <w:rPr>
          <w:b/>
        </w:rPr>
        <w:t>QPR</w:t>
      </w:r>
      <w:r w:rsidR="00E033FC" w:rsidRPr="0037437C">
        <w:rPr>
          <w:b/>
        </w:rPr>
        <w:t>)</w:t>
      </w:r>
    </w:p>
    <w:p w:rsidR="00D002E7" w:rsidRPr="0037437C" w:rsidRDefault="00D002E7">
      <w:pPr>
        <w:rPr>
          <w:b/>
        </w:rPr>
      </w:pPr>
    </w:p>
    <w:p w:rsidR="00D002E7" w:rsidRPr="0037437C" w:rsidRDefault="00D002E7">
      <w:pPr>
        <w:rPr>
          <w:b/>
        </w:rPr>
      </w:pPr>
    </w:p>
    <w:p w:rsidR="00D002E7" w:rsidRPr="0037437C" w:rsidRDefault="00D002E7" w:rsidP="00D002E7">
      <w:pPr>
        <w:jc w:val="center"/>
        <w:rPr>
          <w:vertAlign w:val="superscript"/>
        </w:rPr>
      </w:pPr>
      <w:r w:rsidRPr="0037437C">
        <w:t>Julie Williams</w:t>
      </w:r>
      <w:r w:rsidRPr="0037437C">
        <w:rPr>
          <w:vertAlign w:val="superscript"/>
        </w:rPr>
        <w:t>1*</w:t>
      </w:r>
    </w:p>
    <w:p w:rsidR="00D002E7" w:rsidRPr="0037437C" w:rsidRDefault="00D002E7" w:rsidP="00D002E7">
      <w:pPr>
        <w:jc w:val="center"/>
        <w:rPr>
          <w:vertAlign w:val="superscript"/>
        </w:rPr>
      </w:pPr>
      <w:r w:rsidRPr="0037437C">
        <w:t>Mary Leamy</w:t>
      </w:r>
      <w:r w:rsidRPr="0037437C">
        <w:rPr>
          <w:vertAlign w:val="superscript"/>
        </w:rPr>
        <w:t>1</w:t>
      </w:r>
    </w:p>
    <w:p w:rsidR="00D002E7" w:rsidRPr="0037437C" w:rsidRDefault="0037223D" w:rsidP="00D002E7">
      <w:pPr>
        <w:jc w:val="center"/>
        <w:rPr>
          <w:vertAlign w:val="superscript"/>
        </w:rPr>
      </w:pPr>
      <w:r w:rsidRPr="0037437C">
        <w:t>Francesca Pesola</w:t>
      </w:r>
      <w:r w:rsidR="00D002E7" w:rsidRPr="0037437C">
        <w:rPr>
          <w:vertAlign w:val="superscript"/>
        </w:rPr>
        <w:t>1</w:t>
      </w:r>
    </w:p>
    <w:p w:rsidR="00D002E7" w:rsidRPr="0037437C" w:rsidRDefault="00D002E7" w:rsidP="00D002E7">
      <w:pPr>
        <w:jc w:val="center"/>
        <w:rPr>
          <w:vertAlign w:val="superscript"/>
        </w:rPr>
      </w:pPr>
      <w:r w:rsidRPr="0037437C">
        <w:t>Victoria Bird</w:t>
      </w:r>
      <w:r w:rsidRPr="0037437C">
        <w:rPr>
          <w:vertAlign w:val="superscript"/>
        </w:rPr>
        <w:t>1</w:t>
      </w:r>
    </w:p>
    <w:p w:rsidR="00D002E7" w:rsidRPr="0037437C" w:rsidRDefault="00D002E7" w:rsidP="00D002E7">
      <w:pPr>
        <w:jc w:val="center"/>
      </w:pPr>
      <w:r w:rsidRPr="0037437C">
        <w:t>Clair Le Boutillier</w:t>
      </w:r>
      <w:r w:rsidRPr="0037437C">
        <w:rPr>
          <w:vertAlign w:val="superscript"/>
        </w:rPr>
        <w:t>1</w:t>
      </w:r>
    </w:p>
    <w:p w:rsidR="00D002E7" w:rsidRPr="0037437C" w:rsidRDefault="00D002E7" w:rsidP="00D002E7">
      <w:pPr>
        <w:jc w:val="center"/>
      </w:pPr>
      <w:r w:rsidRPr="0037437C">
        <w:t>Mike Slade</w:t>
      </w:r>
      <w:r w:rsidRPr="0037437C">
        <w:rPr>
          <w:vertAlign w:val="superscript"/>
        </w:rPr>
        <w:t>1</w:t>
      </w:r>
    </w:p>
    <w:p w:rsidR="00D002E7" w:rsidRPr="0037437C" w:rsidRDefault="00D002E7" w:rsidP="00D002E7"/>
    <w:p w:rsidR="00D002E7" w:rsidRPr="0037437C" w:rsidRDefault="00D002E7" w:rsidP="00D002E7"/>
    <w:p w:rsidR="00D002E7" w:rsidRPr="0037437C" w:rsidRDefault="00D002E7" w:rsidP="00D002E7">
      <w:pPr>
        <w:jc w:val="both"/>
        <w:rPr>
          <w:rFonts w:cs="Arial"/>
        </w:rPr>
      </w:pPr>
      <w:r w:rsidRPr="0037437C">
        <w:rPr>
          <w:vertAlign w:val="superscript"/>
        </w:rPr>
        <w:t xml:space="preserve">1 </w:t>
      </w:r>
      <w:r w:rsidRPr="0037437C">
        <w:rPr>
          <w:rFonts w:cs="Arial"/>
        </w:rPr>
        <w:t xml:space="preserve">King’s College London, Health Service and Population Research Department, Institute of Psychiatry, </w:t>
      </w:r>
      <w:r w:rsidR="00F6318A" w:rsidRPr="0037437C">
        <w:rPr>
          <w:rFonts w:cs="Arial"/>
        </w:rPr>
        <w:t xml:space="preserve">Psychology &amp; Neuroscience, </w:t>
      </w:r>
      <w:r w:rsidRPr="0037437C">
        <w:rPr>
          <w:rFonts w:cs="Arial"/>
        </w:rPr>
        <w:t>Denmark Hill, London SE5 8AF, UK</w:t>
      </w:r>
    </w:p>
    <w:p w:rsidR="00D002E7" w:rsidRPr="0037437C" w:rsidRDefault="00D002E7" w:rsidP="00D002E7"/>
    <w:p w:rsidR="00D002E7" w:rsidRPr="0037437C" w:rsidRDefault="00D002E7" w:rsidP="00D002E7"/>
    <w:p w:rsidR="00D002E7" w:rsidRPr="0037437C" w:rsidRDefault="00D002E7" w:rsidP="00D002E7">
      <w:pPr>
        <w:jc w:val="both"/>
        <w:rPr>
          <w:rFonts w:cs="Arial"/>
        </w:rPr>
      </w:pPr>
      <w:r w:rsidRPr="0037437C">
        <w:rPr>
          <w:rFonts w:cs="Arial"/>
        </w:rPr>
        <w:t xml:space="preserve">* Corresponding author: Julie Williams, Health Service and Population Research Department (Box P029), Institute of Psychiatry, </w:t>
      </w:r>
      <w:r w:rsidR="00F6318A" w:rsidRPr="0037437C">
        <w:rPr>
          <w:rFonts w:cs="Arial"/>
        </w:rPr>
        <w:t xml:space="preserve">Psychology &amp; Neuroscience, </w:t>
      </w:r>
      <w:r w:rsidRPr="0037437C">
        <w:rPr>
          <w:rFonts w:cs="Arial"/>
        </w:rPr>
        <w:t>King’s College London, De Crespigny Park, Denmark Hill, London SE5 8AF</w:t>
      </w:r>
    </w:p>
    <w:p w:rsidR="00D002E7" w:rsidRPr="0037437C" w:rsidRDefault="00D002E7" w:rsidP="00D002E7">
      <w:pPr>
        <w:jc w:val="both"/>
        <w:rPr>
          <w:rFonts w:cs="Arial"/>
        </w:rPr>
      </w:pPr>
      <w:r w:rsidRPr="0037437C">
        <w:rPr>
          <w:rFonts w:cs="Arial"/>
        </w:rPr>
        <w:t>Tel: +44 (0)20 7848 0747</w:t>
      </w:r>
    </w:p>
    <w:p w:rsidR="00D002E7" w:rsidRPr="0037437C" w:rsidRDefault="00D002E7" w:rsidP="00D002E7">
      <w:pPr>
        <w:jc w:val="both"/>
        <w:rPr>
          <w:rFonts w:cs="Arial"/>
        </w:rPr>
      </w:pPr>
      <w:r w:rsidRPr="0037437C">
        <w:rPr>
          <w:rFonts w:cs="Arial"/>
        </w:rPr>
        <w:t xml:space="preserve">Email: </w:t>
      </w:r>
      <w:r w:rsidR="00E033FC" w:rsidRPr="0037437C">
        <w:rPr>
          <w:rFonts w:cs="Arial"/>
        </w:rPr>
        <w:t>j</w:t>
      </w:r>
      <w:r w:rsidRPr="0037437C">
        <w:rPr>
          <w:rFonts w:cs="Arial"/>
        </w:rPr>
        <w:t>ulie.williams</w:t>
      </w:r>
      <w:r w:rsidR="00E033FC" w:rsidRPr="0037437C">
        <w:rPr>
          <w:rFonts w:cs="Arial"/>
        </w:rPr>
        <w:t>@</w:t>
      </w:r>
      <w:r w:rsidRPr="0037437C">
        <w:rPr>
          <w:rFonts w:cs="Arial"/>
        </w:rPr>
        <w:t>kcl.ac.uk</w:t>
      </w:r>
    </w:p>
    <w:p w:rsidR="00EC2008" w:rsidRPr="0037437C" w:rsidRDefault="00EC2008" w:rsidP="00D002E7"/>
    <w:p w:rsidR="00D002E7" w:rsidRPr="0037437C" w:rsidRDefault="00F6318A">
      <w:pPr>
        <w:rPr>
          <w:b/>
        </w:rPr>
      </w:pPr>
      <w:r w:rsidRPr="0037437C">
        <w:rPr>
          <w:b/>
        </w:rPr>
        <w:br w:type="page"/>
      </w:r>
      <w:r w:rsidR="00D002E7" w:rsidRPr="0037437C">
        <w:rPr>
          <w:b/>
        </w:rPr>
        <w:lastRenderedPageBreak/>
        <w:t>Abstract</w:t>
      </w:r>
    </w:p>
    <w:p w:rsidR="00D002E7" w:rsidRPr="0037437C" w:rsidRDefault="00D002E7">
      <w:pPr>
        <w:rPr>
          <w:b/>
        </w:rPr>
      </w:pPr>
    </w:p>
    <w:p w:rsidR="00D002E7" w:rsidRPr="0037437C" w:rsidRDefault="00D002E7">
      <w:pPr>
        <w:rPr>
          <w:b/>
        </w:rPr>
      </w:pPr>
      <w:r w:rsidRPr="0037437C">
        <w:rPr>
          <w:b/>
        </w:rPr>
        <w:t>Background</w:t>
      </w:r>
    </w:p>
    <w:p w:rsidR="00FF2249" w:rsidRPr="0037437C" w:rsidRDefault="00613ED5">
      <w:r w:rsidRPr="0037437C">
        <w:t>Supporting r</w:t>
      </w:r>
      <w:r w:rsidR="00FF2249" w:rsidRPr="0037437C">
        <w:t xml:space="preserve">ecovery </w:t>
      </w:r>
      <w:r w:rsidRPr="0037437C">
        <w:t xml:space="preserve">is </w:t>
      </w:r>
      <w:r w:rsidR="00FF2249" w:rsidRPr="0037437C">
        <w:t xml:space="preserve">the aim of </w:t>
      </w:r>
      <w:r w:rsidRPr="0037437C">
        <w:t xml:space="preserve">national mental health </w:t>
      </w:r>
      <w:r w:rsidR="00FF2249" w:rsidRPr="0037437C">
        <w:t>policy in many countries</w:t>
      </w:r>
      <w:r w:rsidRPr="0037437C">
        <w:t>,</w:t>
      </w:r>
      <w:r w:rsidR="00FF2249" w:rsidRPr="0037437C">
        <w:t xml:space="preserve"> including England. There is a need for </w:t>
      </w:r>
      <w:r w:rsidR="00F6318A" w:rsidRPr="0037437C">
        <w:t xml:space="preserve">standardised </w:t>
      </w:r>
      <w:r w:rsidR="00FF2249" w:rsidRPr="0037437C">
        <w:t>measures of recovery</w:t>
      </w:r>
      <w:r w:rsidRPr="0037437C">
        <w:t>,</w:t>
      </w:r>
      <w:r w:rsidR="00FF2249" w:rsidRPr="0037437C">
        <w:t xml:space="preserve"> to assess </w:t>
      </w:r>
      <w:r w:rsidRPr="0037437C">
        <w:t>policy implementation</w:t>
      </w:r>
      <w:r w:rsidR="00F6318A" w:rsidRPr="0037437C">
        <w:t xml:space="preserve"> and inform clinical practice</w:t>
      </w:r>
      <w:r w:rsidR="00FF2249" w:rsidRPr="0037437C">
        <w:t xml:space="preserve">. </w:t>
      </w:r>
      <w:r w:rsidRPr="0037437C">
        <w:t>O</w:t>
      </w:r>
      <w:r w:rsidR="00FF2249" w:rsidRPr="0037437C">
        <w:t xml:space="preserve">nly one </w:t>
      </w:r>
      <w:r w:rsidRPr="0037437C">
        <w:t xml:space="preserve">measure of recovery </w:t>
      </w:r>
      <w:r w:rsidR="00FF2249" w:rsidRPr="0037437C">
        <w:t>has been developed in England</w:t>
      </w:r>
      <w:r w:rsidR="00F6318A" w:rsidRPr="0037437C">
        <w:t>:</w:t>
      </w:r>
      <w:r w:rsidR="00FF2249" w:rsidRPr="0037437C">
        <w:t xml:space="preserve"> the Questionnaire about the Process of Recovery (QPR)</w:t>
      </w:r>
      <w:r w:rsidR="001905A1" w:rsidRPr="0037437C">
        <w:t xml:space="preserve"> which </w:t>
      </w:r>
      <w:r w:rsidR="0069691C" w:rsidRPr="0037437C">
        <w:t>measure</w:t>
      </w:r>
      <w:r w:rsidR="00EE39D5" w:rsidRPr="0037437C">
        <w:t>s</w:t>
      </w:r>
      <w:r w:rsidR="0069691C" w:rsidRPr="0037437C">
        <w:t xml:space="preserve"> recovery from the </w:t>
      </w:r>
      <w:r w:rsidR="00EE39D5" w:rsidRPr="0037437C">
        <w:t xml:space="preserve">perspective </w:t>
      </w:r>
      <w:r w:rsidR="0069691C" w:rsidRPr="0037437C">
        <w:t xml:space="preserve">of </w:t>
      </w:r>
      <w:r w:rsidR="00EE39D5" w:rsidRPr="0037437C">
        <w:t xml:space="preserve">adult mental health </w:t>
      </w:r>
      <w:r w:rsidR="0069691C" w:rsidRPr="0037437C">
        <w:t>service users</w:t>
      </w:r>
      <w:r w:rsidR="00EE39D5" w:rsidRPr="0037437C">
        <w:t xml:space="preserve"> with a psychosis diagnosis</w:t>
      </w:r>
      <w:r w:rsidR="00FF2249" w:rsidRPr="0037437C">
        <w:t>.</w:t>
      </w:r>
    </w:p>
    <w:p w:rsidR="00FF2249" w:rsidRPr="0037437C" w:rsidRDefault="00FF2249"/>
    <w:p w:rsidR="00D002E7" w:rsidRPr="0037437C" w:rsidRDefault="00D002E7">
      <w:pPr>
        <w:rPr>
          <w:b/>
        </w:rPr>
      </w:pPr>
      <w:r w:rsidRPr="0037437C">
        <w:rPr>
          <w:b/>
        </w:rPr>
        <w:t>Aims</w:t>
      </w:r>
    </w:p>
    <w:p w:rsidR="00FF2249" w:rsidRPr="0037437C" w:rsidRDefault="00FF2249">
      <w:r w:rsidRPr="0037437C">
        <w:t xml:space="preserve">To </w:t>
      </w:r>
      <w:r w:rsidR="00EA43D9" w:rsidRPr="0037437C">
        <w:t xml:space="preserve">independently </w:t>
      </w:r>
      <w:r w:rsidRPr="0037437C">
        <w:t xml:space="preserve">evaluate the </w:t>
      </w:r>
      <w:r w:rsidR="00EA43D9" w:rsidRPr="0037437C">
        <w:t xml:space="preserve">psychometric properties </w:t>
      </w:r>
      <w:r w:rsidRPr="0037437C">
        <w:t>of</w:t>
      </w:r>
      <w:r w:rsidR="00523FDD" w:rsidRPr="0037437C">
        <w:t xml:space="preserve"> </w:t>
      </w:r>
      <w:r w:rsidRPr="0037437C">
        <w:t xml:space="preserve">the </w:t>
      </w:r>
      <w:r w:rsidR="00613ED5" w:rsidRPr="0037437C">
        <w:t xml:space="preserve">15-item and 22-item versions of </w:t>
      </w:r>
      <w:r w:rsidRPr="0037437C">
        <w:t xml:space="preserve">QPR. </w:t>
      </w:r>
    </w:p>
    <w:p w:rsidR="00FF2249" w:rsidRPr="0037437C" w:rsidRDefault="00FF2249">
      <w:pPr>
        <w:rPr>
          <w:b/>
        </w:rPr>
      </w:pPr>
    </w:p>
    <w:p w:rsidR="00D002E7" w:rsidRPr="0037437C" w:rsidRDefault="00D002E7">
      <w:pPr>
        <w:rPr>
          <w:b/>
        </w:rPr>
      </w:pPr>
      <w:r w:rsidRPr="0037437C">
        <w:rPr>
          <w:b/>
        </w:rPr>
        <w:t>Method</w:t>
      </w:r>
    </w:p>
    <w:p w:rsidR="00FF2249" w:rsidRPr="0037437C" w:rsidRDefault="00EA43D9">
      <w:r w:rsidRPr="0037437C">
        <w:t>T</w:t>
      </w:r>
      <w:r w:rsidR="005C3861" w:rsidRPr="0037437C">
        <w:t>wo samples</w:t>
      </w:r>
      <w:r w:rsidRPr="0037437C">
        <w:t xml:space="preserve"> were used:</w:t>
      </w:r>
      <w:r w:rsidR="00F6318A" w:rsidRPr="0037437C">
        <w:t xml:space="preserve"> </w:t>
      </w:r>
      <w:r w:rsidR="00DB7C5F" w:rsidRPr="0037437C">
        <w:t xml:space="preserve">Dataset 1 (n=88) </w:t>
      </w:r>
      <w:r w:rsidRPr="0037437C">
        <w:t xml:space="preserve">involved assessment of QPR at baseline, two weeks and three months. </w:t>
      </w:r>
      <w:r w:rsidR="00F6318A" w:rsidRPr="0037437C">
        <w:t xml:space="preserve">Dataset </w:t>
      </w:r>
      <w:r w:rsidR="00DB7C5F" w:rsidRPr="0037437C">
        <w:t>2</w:t>
      </w:r>
      <w:r w:rsidR="00613ED5" w:rsidRPr="0037437C">
        <w:t xml:space="preserve"> </w:t>
      </w:r>
      <w:r w:rsidR="00F6318A" w:rsidRPr="0037437C">
        <w:t>(n=399</w:t>
      </w:r>
      <w:r w:rsidR="000E702B" w:rsidRPr="0037437C">
        <w:t>; ISRCTN02507940</w:t>
      </w:r>
      <w:r w:rsidR="00B30BAC" w:rsidRPr="0037437C">
        <w:t xml:space="preserve">) </w:t>
      </w:r>
      <w:r w:rsidRPr="0037437C">
        <w:t>involved assessment of QPR at baseline and one year</w:t>
      </w:r>
      <w:r w:rsidR="00613ED5" w:rsidRPr="0037437C">
        <w:t xml:space="preserve">. </w:t>
      </w:r>
    </w:p>
    <w:p w:rsidR="00613ED5" w:rsidRPr="0037437C" w:rsidRDefault="00613ED5"/>
    <w:p w:rsidR="00D002E7" w:rsidRPr="0037437C" w:rsidRDefault="00D002E7">
      <w:pPr>
        <w:rPr>
          <w:b/>
        </w:rPr>
      </w:pPr>
      <w:r w:rsidRPr="0037437C">
        <w:rPr>
          <w:b/>
        </w:rPr>
        <w:t>Results</w:t>
      </w:r>
    </w:p>
    <w:p w:rsidR="00FF2249" w:rsidRPr="0037437C" w:rsidRDefault="000A58C8">
      <w:r w:rsidRPr="0037437C">
        <w:t xml:space="preserve">For the 15-item version, internal consistency </w:t>
      </w:r>
      <w:r w:rsidR="00F6318A" w:rsidRPr="0037437C">
        <w:t>wa</w:t>
      </w:r>
      <w:r w:rsidRPr="0037437C">
        <w:t xml:space="preserve">s 0.89, convergent validity </w:t>
      </w:r>
      <w:r w:rsidR="00F6318A" w:rsidRPr="0037437C">
        <w:t>wa</w:t>
      </w:r>
      <w:r w:rsidRPr="0037437C">
        <w:t xml:space="preserve">s 0.73, test-retest reliability </w:t>
      </w:r>
      <w:r w:rsidR="00F6318A" w:rsidRPr="0037437C">
        <w:t xml:space="preserve">was </w:t>
      </w:r>
      <w:r w:rsidRPr="0037437C">
        <w:t xml:space="preserve">0.74 and sensitivity to change </w:t>
      </w:r>
      <w:r w:rsidR="00F6318A" w:rsidRPr="0037437C">
        <w:t xml:space="preserve">was </w:t>
      </w:r>
      <w:r w:rsidRPr="0037437C">
        <w:t xml:space="preserve">0.40. Confirmatory </w:t>
      </w:r>
      <w:r w:rsidR="00F6318A" w:rsidRPr="0037437C">
        <w:t xml:space="preserve">factor analysis </w:t>
      </w:r>
      <w:r w:rsidRPr="0037437C">
        <w:t xml:space="preserve">showed the 15-item version offered a good </w:t>
      </w:r>
      <w:r w:rsidR="00F6318A" w:rsidRPr="0037437C">
        <w:t>f</w:t>
      </w:r>
      <w:r w:rsidRPr="0037437C">
        <w:t xml:space="preserve">it.  </w:t>
      </w:r>
      <w:r w:rsidR="00DD2275" w:rsidRPr="0037437C">
        <w:t>For the 22 item version</w:t>
      </w:r>
      <w:r w:rsidR="00EA43D9" w:rsidRPr="0037437C">
        <w:t xml:space="preserve"> comprising </w:t>
      </w:r>
      <w:r w:rsidR="00D1591C" w:rsidRPr="0037437C">
        <w:t>two sub-scales</w:t>
      </w:r>
      <w:r w:rsidR="00DD2275" w:rsidRPr="0037437C">
        <w:t>, the Interpersonal sub-scale was found to under</w:t>
      </w:r>
      <w:r w:rsidR="00EA43D9" w:rsidRPr="0037437C">
        <w:t>-</w:t>
      </w:r>
      <w:r w:rsidR="00DD2275" w:rsidRPr="0037437C">
        <w:t>perform</w:t>
      </w:r>
      <w:r w:rsidR="002A17D2" w:rsidRPr="0037437C">
        <w:t xml:space="preserve"> and t</w:t>
      </w:r>
      <w:r w:rsidR="00DD2275" w:rsidRPr="0037437C">
        <w:t xml:space="preserve">he Intrapersonal </w:t>
      </w:r>
      <w:r w:rsidR="00EA43D9" w:rsidRPr="0037437C">
        <w:t>sub-</w:t>
      </w:r>
      <w:r w:rsidR="00DD2275" w:rsidRPr="0037437C">
        <w:t xml:space="preserve">scale </w:t>
      </w:r>
      <w:r w:rsidR="00EA43D9" w:rsidRPr="0037437C">
        <w:t>overlaps substantially with</w:t>
      </w:r>
      <w:r w:rsidR="00DD2275" w:rsidRPr="0037437C">
        <w:t xml:space="preserve"> the 15 item version. </w:t>
      </w:r>
    </w:p>
    <w:p w:rsidR="000A58C8" w:rsidRPr="0037437C" w:rsidRDefault="000A58C8">
      <w:pPr>
        <w:rPr>
          <w:b/>
        </w:rPr>
      </w:pPr>
    </w:p>
    <w:p w:rsidR="00D002E7" w:rsidRPr="0037437C" w:rsidRDefault="00D002E7">
      <w:pPr>
        <w:rPr>
          <w:b/>
        </w:rPr>
      </w:pPr>
      <w:r w:rsidRPr="0037437C">
        <w:rPr>
          <w:b/>
        </w:rPr>
        <w:t>Conclusions</w:t>
      </w:r>
    </w:p>
    <w:p w:rsidR="00523FDD" w:rsidRPr="0037437C" w:rsidRDefault="00F6318A">
      <w:r w:rsidRPr="0037437C">
        <w:t xml:space="preserve">Both the 15-item and the </w:t>
      </w:r>
      <w:r w:rsidR="00DB7C5F" w:rsidRPr="0037437C">
        <w:t xml:space="preserve">Intrapersonal sub-scale of the </w:t>
      </w:r>
      <w:r w:rsidRPr="0037437C">
        <w:t>22-item versions of the QPR demonstrate</w:t>
      </w:r>
      <w:r w:rsidR="00EA43D9" w:rsidRPr="0037437C">
        <w:t>d</w:t>
      </w:r>
      <w:r w:rsidRPr="0037437C">
        <w:t xml:space="preserve"> satisfactory psychometric properties. The </w:t>
      </w:r>
      <w:r w:rsidR="00523FDD" w:rsidRPr="0037437C">
        <w:t>15</w:t>
      </w:r>
      <w:r w:rsidRPr="0037437C">
        <w:t>-</w:t>
      </w:r>
      <w:r w:rsidR="00523FDD" w:rsidRPr="0037437C">
        <w:t xml:space="preserve">item </w:t>
      </w:r>
      <w:r w:rsidRPr="0037437C">
        <w:t xml:space="preserve">version is slightly more robust and also </w:t>
      </w:r>
      <w:r w:rsidR="00523FDD" w:rsidRPr="0037437C">
        <w:t>less burdensome</w:t>
      </w:r>
      <w:r w:rsidRPr="0037437C">
        <w:t xml:space="preserve">, so </w:t>
      </w:r>
      <w:r w:rsidR="001905A1" w:rsidRPr="0037437C">
        <w:t xml:space="preserve">it </w:t>
      </w:r>
      <w:r w:rsidRPr="0037437C">
        <w:t xml:space="preserve">can be recommended for </w:t>
      </w:r>
      <w:r w:rsidR="00523FDD" w:rsidRPr="0037437C">
        <w:t xml:space="preserve">use in </w:t>
      </w:r>
      <w:r w:rsidR="002A17D2" w:rsidRPr="0037437C">
        <w:t xml:space="preserve">research and </w:t>
      </w:r>
      <w:r w:rsidRPr="0037437C">
        <w:t xml:space="preserve">clinical </w:t>
      </w:r>
      <w:r w:rsidR="00523FDD" w:rsidRPr="0037437C">
        <w:t>practice.</w:t>
      </w:r>
    </w:p>
    <w:p w:rsidR="00FF2249" w:rsidRPr="0037437C" w:rsidRDefault="00FF2249">
      <w:pPr>
        <w:rPr>
          <w:b/>
        </w:rPr>
      </w:pPr>
    </w:p>
    <w:p w:rsidR="00D002E7" w:rsidRPr="0037437C" w:rsidRDefault="00D002E7">
      <w:pPr>
        <w:rPr>
          <w:b/>
        </w:rPr>
      </w:pPr>
      <w:r w:rsidRPr="0037437C">
        <w:rPr>
          <w:b/>
        </w:rPr>
        <w:t>Declaration of interest</w:t>
      </w:r>
      <w:r w:rsidR="0044341B" w:rsidRPr="0037437C">
        <w:rPr>
          <w:b/>
        </w:rPr>
        <w:t xml:space="preserve"> </w:t>
      </w:r>
    </w:p>
    <w:p w:rsidR="00D002E7" w:rsidRPr="0037437C" w:rsidRDefault="00F6318A">
      <w:r w:rsidRPr="0037437C">
        <w:t>None.</w:t>
      </w:r>
    </w:p>
    <w:p w:rsidR="00D002E7" w:rsidRPr="0037437C" w:rsidRDefault="00D002E7">
      <w:pPr>
        <w:rPr>
          <w:b/>
        </w:rPr>
      </w:pPr>
    </w:p>
    <w:p w:rsidR="00D002E7" w:rsidRPr="0037437C" w:rsidRDefault="00D002E7">
      <w:pPr>
        <w:rPr>
          <w:b/>
        </w:rPr>
      </w:pPr>
    </w:p>
    <w:p w:rsidR="00D002E7" w:rsidRPr="0037437C" w:rsidRDefault="00D002E7">
      <w:pPr>
        <w:rPr>
          <w:b/>
        </w:rPr>
      </w:pPr>
    </w:p>
    <w:p w:rsidR="00D002E7" w:rsidRPr="0037437C" w:rsidRDefault="00D002E7">
      <w:pPr>
        <w:rPr>
          <w:b/>
        </w:rPr>
      </w:pPr>
    </w:p>
    <w:p w:rsidR="00D002E7" w:rsidRPr="0037437C" w:rsidRDefault="00D002E7">
      <w:pPr>
        <w:rPr>
          <w:b/>
        </w:rPr>
      </w:pPr>
    </w:p>
    <w:p w:rsidR="000E7348" w:rsidRPr="0037437C" w:rsidRDefault="000E7348" w:rsidP="000E7348">
      <w:pPr>
        <w:rPr>
          <w:b/>
        </w:rPr>
      </w:pPr>
      <w:r w:rsidRPr="0037437C">
        <w:rPr>
          <w:b/>
        </w:rPr>
        <w:br w:type="page"/>
      </w:r>
    </w:p>
    <w:p w:rsidR="00D002E7" w:rsidRPr="0037437C" w:rsidRDefault="00D002E7" w:rsidP="00583A0B">
      <w:pPr>
        <w:rPr>
          <w:b/>
        </w:rPr>
      </w:pPr>
      <w:r w:rsidRPr="0037437C">
        <w:rPr>
          <w:b/>
        </w:rPr>
        <w:lastRenderedPageBreak/>
        <w:t>Introduction</w:t>
      </w:r>
    </w:p>
    <w:p w:rsidR="00F37E08" w:rsidRPr="0037437C" w:rsidRDefault="0069691C" w:rsidP="00D0494C">
      <w:pPr>
        <w:spacing w:line="360" w:lineRule="auto"/>
        <w:rPr>
          <w:color w:val="000000"/>
        </w:rPr>
      </w:pPr>
      <w:r w:rsidRPr="0037437C">
        <w:t>Personal recovery has been defined as ‘</w:t>
      </w:r>
      <w:r w:rsidRPr="0037437C">
        <w:rPr>
          <w:rFonts w:cs="Arial"/>
          <w:i/>
          <w:color w:val="231F20"/>
        </w:rPr>
        <w:t xml:space="preserve">a deeply personal, unique process of changing one’s attitudes, values, feelings, goals, skills, and/or roles. It is a way of living a satisfying, hopeful, and contributing life even with limitations caused by illness’ </w:t>
      </w:r>
      <w:r w:rsidR="00835778" w:rsidRPr="0037437C">
        <w:rPr>
          <w:rFonts w:cs="Arial"/>
          <w:i/>
          <w:color w:val="231F20"/>
        </w:rPr>
        <w:fldChar w:fldCharType="begin"/>
      </w:r>
      <w:r w:rsidRPr="0037437C">
        <w:rPr>
          <w:rFonts w:cs="Arial"/>
          <w:i/>
          <w:color w:val="231F20"/>
        </w:rPr>
        <w:instrText xml:space="preserve"> ADDIN EN.CITE &lt;EndNote&gt;&lt;Cite&gt;&lt;Author&gt;Anthony&lt;/Author&gt;&lt;Year&gt;1993&lt;/Year&gt;&lt;RecNum&gt;4&lt;/RecNum&gt;&lt;DisplayText&gt;(1)&lt;/DisplayText&gt;&lt;record&gt;&lt;rec-number&gt;4&lt;/rec-number&gt;&lt;foreign-keys&gt;&lt;key app="EN" db-id="v9pf5rezaaedx8e552iv20572t5tt95drwf5"&gt;4&lt;/key&gt;&lt;/foreign-keys&gt;&lt;ref-type name="Journal Article"&gt;17&lt;/ref-type&gt;&lt;contributors&gt;&lt;authors&gt;&lt;author&gt;Anthony, W.&lt;/author&gt;&lt;/authors&gt;&lt;/contributors&gt;&lt;titles&gt;&lt;title&gt;Recovery from mental illness: The guiding vision of the mental health service system in the 1990s&lt;/title&gt;&lt;secondary-title&gt;Psychosocial Rehabilitation Journal&lt;/secondary-title&gt;&lt;/titles&gt;&lt;periodical&gt;&lt;full-title&gt;Psychosocial Rehabilitation Journal&lt;/full-title&gt;&lt;/periodical&gt;&lt;pages&gt;11-23&lt;/pages&gt;&lt;volume&gt;16&lt;/volume&gt;&lt;number&gt;4&lt;/number&gt;&lt;reprint-edition&gt;NOT IN FILE&lt;/reprint-edition&gt;&lt;dates&gt;&lt;year&gt;1993&lt;/year&gt;&lt;/dates&gt;&lt;urls&gt;&lt;/urls&gt;&lt;/record&gt;&lt;/Cite&gt;&lt;/EndNote&gt;</w:instrText>
      </w:r>
      <w:r w:rsidR="00835778" w:rsidRPr="0037437C">
        <w:rPr>
          <w:rFonts w:cs="Arial"/>
          <w:i/>
          <w:color w:val="231F20"/>
        </w:rPr>
        <w:fldChar w:fldCharType="separate"/>
      </w:r>
      <w:r w:rsidRPr="0037437C">
        <w:rPr>
          <w:rFonts w:cs="Arial"/>
          <w:i/>
          <w:noProof/>
          <w:color w:val="231F20"/>
        </w:rPr>
        <w:t>(</w:t>
      </w:r>
      <w:hyperlink w:anchor="_ENREF_1" w:tooltip="Anthony, 1993 #4" w:history="1">
        <w:r w:rsidR="00FA0BC2" w:rsidRPr="0037437C">
          <w:rPr>
            <w:rFonts w:cs="Arial"/>
            <w:i/>
            <w:noProof/>
            <w:color w:val="231F20"/>
          </w:rPr>
          <w:t>1</w:t>
        </w:r>
      </w:hyperlink>
      <w:r w:rsidRPr="0037437C">
        <w:rPr>
          <w:rFonts w:cs="Arial"/>
          <w:i/>
          <w:noProof/>
          <w:color w:val="231F20"/>
        </w:rPr>
        <w:t>)</w:t>
      </w:r>
      <w:r w:rsidR="00835778" w:rsidRPr="0037437C">
        <w:rPr>
          <w:rFonts w:cs="Arial"/>
          <w:i/>
          <w:color w:val="231F20"/>
        </w:rPr>
        <w:fldChar w:fldCharType="end"/>
      </w:r>
      <w:r w:rsidRPr="0037437C">
        <w:rPr>
          <w:rFonts w:cs="Arial"/>
          <w:i/>
          <w:color w:val="231F20"/>
        </w:rPr>
        <w:t xml:space="preserve"> . </w:t>
      </w:r>
      <w:r w:rsidR="000D153E" w:rsidRPr="0037437C">
        <w:t xml:space="preserve">Supporting personal recovery has become a </w:t>
      </w:r>
      <w:r w:rsidR="000E702B" w:rsidRPr="0037437C">
        <w:t xml:space="preserve">mental health </w:t>
      </w:r>
      <w:r w:rsidR="00F57751" w:rsidRPr="0037437C">
        <w:t xml:space="preserve">policy </w:t>
      </w:r>
      <w:r w:rsidR="000E702B" w:rsidRPr="0037437C">
        <w:t xml:space="preserve">goal in many countries </w:t>
      </w:r>
      <w:r w:rsidR="00835778" w:rsidRPr="0037437C">
        <w:fldChar w:fldCharType="begin"/>
      </w:r>
      <w:r w:rsidRPr="0037437C">
        <w:instrText xml:space="preserve"> ADDIN EN.CITE &lt;EndNote&gt;&lt;Cite&gt;&lt;Author&gt;Department of Health&lt;/Author&gt;&lt;Year&gt;2011&lt;/Year&gt;&lt;RecNum&gt;33&lt;/RecNum&gt;&lt;DisplayText&gt;(2)&lt;/DisplayText&gt;&lt;record&gt;&lt;rec-number&gt;33&lt;/rec-number&gt;&lt;foreign-keys&gt;&lt;key app="EN" db-id="v9pf5rezaaedx8e552iv20572t5tt95drwf5"&gt;33&lt;/key&gt;&lt;/foreign-keys&gt;&lt;ref-type name="Report"&gt;27&lt;/ref-type&gt;&lt;contributors&gt;&lt;authors&gt;&lt;author&gt;Department of Health,&lt;/author&gt;&lt;/authors&gt;&lt;/contributors&gt;&lt;titles&gt;&lt;title&gt;No health without mental health: a cross-government mental health outcomes strategy for people of all ages&lt;/title&gt;&lt;/titles&gt;&lt;dates&gt;&lt;year&gt;2011&lt;/year&gt;&lt;/dates&gt;&lt;pub-location&gt;London&lt;/pub-location&gt;&lt;publisher&gt;Department of Health&lt;/publisher&gt;&lt;urls&gt;&lt;/urls&gt;&lt;/record&gt;&lt;/Cite&gt;&lt;/EndNote&gt;</w:instrText>
      </w:r>
      <w:r w:rsidR="00835778" w:rsidRPr="0037437C">
        <w:fldChar w:fldCharType="separate"/>
      </w:r>
      <w:r w:rsidRPr="0037437C">
        <w:rPr>
          <w:noProof/>
        </w:rPr>
        <w:t>(</w:t>
      </w:r>
      <w:hyperlink w:anchor="_ENREF_2" w:tooltip="Department of Health, 2011 #33" w:history="1">
        <w:r w:rsidR="00FA0BC2" w:rsidRPr="0037437C">
          <w:rPr>
            <w:noProof/>
          </w:rPr>
          <w:t>2</w:t>
        </w:r>
      </w:hyperlink>
      <w:r w:rsidRPr="0037437C">
        <w:rPr>
          <w:noProof/>
        </w:rPr>
        <w:t>)</w:t>
      </w:r>
      <w:r w:rsidR="00835778" w:rsidRPr="0037437C">
        <w:fldChar w:fldCharType="end"/>
      </w:r>
      <w:r w:rsidR="00ED373E" w:rsidRPr="0037437C">
        <w:t>. R</w:t>
      </w:r>
      <w:r w:rsidR="000D153E" w:rsidRPr="0037437C">
        <w:t xml:space="preserve">esearch in recent years has helped to further define </w:t>
      </w:r>
      <w:r w:rsidR="004D5C3F" w:rsidRPr="0037437C">
        <w:t>recovery</w:t>
      </w:r>
      <w:r w:rsidR="000D153E" w:rsidRPr="0037437C">
        <w:t xml:space="preserve"> </w:t>
      </w:r>
      <w:r w:rsidR="00835778" w:rsidRPr="0037437C">
        <w:fldChar w:fldCharType="begin"/>
      </w:r>
      <w:r w:rsidRPr="0037437C">
        <w:instrText xml:space="preserve"> ADDIN EN.CITE &lt;EndNote&gt;&lt;Cite&gt;&lt;Author&gt;Leamy&lt;/Author&gt;&lt;Year&gt;2011&lt;/Year&gt;&lt;RecNum&gt;61&lt;/RecNum&gt;&lt;DisplayText&gt;(3)&lt;/DisplayText&gt;&lt;record&gt;&lt;rec-number&gt;61&lt;/rec-number&gt;&lt;foreign-keys&gt;&lt;key app="EN" db-id="v9pf5rezaaedx8e552iv20572t5tt95drwf5"&gt;61&lt;/key&gt;&lt;/foreign-keys&gt;&lt;ref-type name="Journal Article"&gt;17&lt;/ref-type&gt;&lt;contributors&gt;&lt;authors&gt;&lt;author&gt;Leamy, M.&lt;/author&gt;&lt;author&gt;Slade, M.&lt;/author&gt;&lt;author&gt;Le Boutillier, C.&lt;/author&gt;&lt;author&gt;Williams, J.&lt;/author&gt;&lt;author&gt;Bird, V.&lt;/author&gt;&lt;/authors&gt;&lt;/contributors&gt;&lt;titles&gt;&lt;title&gt;A conceptual framework for personal recovery in mental health: systematic review and narrative synthesis&lt;/title&gt;&lt;secondary-title&gt;British Journal of Psychiatry&lt;/secondary-title&gt;&lt;/titles&gt;&lt;periodical&gt;&lt;full-title&gt;British Journal of Psychiatry&lt;/full-title&gt;&lt;/periodical&gt;&lt;pages&gt;8&lt;/pages&gt;&lt;volume&gt;199&lt;/volume&gt;&lt;section&gt;445&lt;/section&gt;&lt;reprint-edition&gt;NOT IN FILE&lt;/reprint-edition&gt;&lt;dates&gt;&lt;year&gt;2011&lt;/year&gt;&lt;/dates&gt;&lt;urls&gt;&lt;/urls&gt;&lt;/record&gt;&lt;/Cite&gt;&lt;/EndNote&gt;</w:instrText>
      </w:r>
      <w:r w:rsidR="00835778" w:rsidRPr="0037437C">
        <w:fldChar w:fldCharType="separate"/>
      </w:r>
      <w:r w:rsidRPr="0037437C">
        <w:rPr>
          <w:noProof/>
        </w:rPr>
        <w:t>(</w:t>
      </w:r>
      <w:hyperlink w:anchor="_ENREF_3" w:tooltip="Leamy, 2011 #61" w:history="1">
        <w:r w:rsidR="00FA0BC2" w:rsidRPr="0037437C">
          <w:rPr>
            <w:noProof/>
          </w:rPr>
          <w:t>3</w:t>
        </w:r>
      </w:hyperlink>
      <w:r w:rsidRPr="0037437C">
        <w:rPr>
          <w:noProof/>
        </w:rPr>
        <w:t>)</w:t>
      </w:r>
      <w:r w:rsidR="00835778" w:rsidRPr="0037437C">
        <w:fldChar w:fldCharType="end"/>
      </w:r>
      <w:r w:rsidR="00C135A0" w:rsidRPr="0037437C">
        <w:t xml:space="preserve"> </w:t>
      </w:r>
      <w:r w:rsidR="000D153E" w:rsidRPr="0037437C">
        <w:t xml:space="preserve">and propose </w:t>
      </w:r>
      <w:r w:rsidR="00A602AF" w:rsidRPr="0037437C">
        <w:t xml:space="preserve">a conceptual framework of recovery oriented practice </w:t>
      </w:r>
      <w:r w:rsidR="00835778" w:rsidRPr="0037437C">
        <w:fldChar w:fldCharType="begin"/>
      </w:r>
      <w:r w:rsidRPr="0037437C">
        <w:instrText xml:space="preserve"> ADDIN EN.CITE &lt;EndNote&gt;&lt;Cite&gt;&lt;Author&gt;Le Boutillier&lt;/Author&gt;&lt;Year&gt;2011&lt;/Year&gt;&lt;RecNum&gt;124&lt;/RecNum&gt;&lt;DisplayText&gt;(4)&lt;/DisplayText&gt;&lt;record&gt;&lt;rec-number&gt;124&lt;/rec-number&gt;&lt;foreign-keys&gt;&lt;key app="EN" db-id="v9pf5rezaaedx8e552iv20572t5tt95drwf5"&gt;124&lt;/key&gt;&lt;/foreign-keys&gt;&lt;ref-type name="Journal Article"&gt;17&lt;/ref-type&gt;&lt;contributors&gt;&lt;authors&gt;&lt;author&gt;Le Boutillier, C.&lt;/author&gt;&lt;author&gt;Leamy, M.&lt;/author&gt;&lt;author&gt;Bird, V.&lt;/author&gt;&lt;author&gt;Davidson, L.&lt;/author&gt;&lt;author&gt;Williams, J.&lt;/author&gt;&lt;author&gt;Slade, M.&lt;/author&gt;&lt;/authors&gt;&lt;/contributors&gt;&lt;titles&gt;&lt;title&gt;What does recovery mean in practice? A qualitative analysis of international recovery-oriented practice guidance&lt;/title&gt;&lt;secondary-title&gt;Psychiatric Services&lt;/secondary-title&gt;&lt;/titles&gt;&lt;periodical&gt;&lt;full-title&gt;Psychiatric Services&lt;/full-title&gt;&lt;/periodical&gt;&lt;pages&gt;7&lt;/pages&gt;&lt;volume&gt;62&lt;/volume&gt;&lt;section&gt;1470&lt;/section&gt;&lt;dates&gt;&lt;year&gt;2011&lt;/year&gt;&lt;/dates&gt;&lt;urls&gt;&lt;/urls&gt;&lt;/record&gt;&lt;/Cite&gt;&lt;/EndNote&gt;</w:instrText>
      </w:r>
      <w:r w:rsidR="00835778" w:rsidRPr="0037437C">
        <w:fldChar w:fldCharType="separate"/>
      </w:r>
      <w:r w:rsidRPr="0037437C">
        <w:rPr>
          <w:noProof/>
        </w:rPr>
        <w:t>(</w:t>
      </w:r>
      <w:hyperlink w:anchor="_ENREF_4" w:tooltip="Le Boutillier, 2011 #124" w:history="1">
        <w:r w:rsidR="00FA0BC2" w:rsidRPr="0037437C">
          <w:rPr>
            <w:noProof/>
          </w:rPr>
          <w:t>4</w:t>
        </w:r>
      </w:hyperlink>
      <w:r w:rsidRPr="0037437C">
        <w:rPr>
          <w:noProof/>
        </w:rPr>
        <w:t>)</w:t>
      </w:r>
      <w:r w:rsidR="00835778" w:rsidRPr="0037437C">
        <w:fldChar w:fldCharType="end"/>
      </w:r>
      <w:r w:rsidR="000D153E" w:rsidRPr="0037437C">
        <w:t xml:space="preserve">. </w:t>
      </w:r>
      <w:r w:rsidR="00503C70" w:rsidRPr="0037437C">
        <w:t xml:space="preserve">Measures </w:t>
      </w:r>
      <w:r w:rsidR="000D153E" w:rsidRPr="0037437C">
        <w:t xml:space="preserve">are required to evaluate and assess </w:t>
      </w:r>
      <w:r w:rsidR="00E033FC" w:rsidRPr="0037437C">
        <w:t>how staff and services can support recovery</w:t>
      </w:r>
      <w:r w:rsidR="000D153E" w:rsidRPr="0037437C">
        <w:t>, from the viewpoint of people who use these services. Outcome measures have been developed to assess personal recovery</w:t>
      </w:r>
      <w:r w:rsidR="00E033FC" w:rsidRPr="0037437C">
        <w:t xml:space="preserve"> </w:t>
      </w:r>
      <w:r w:rsidR="00835778" w:rsidRPr="0037437C">
        <w:fldChar w:fldCharType="begin"/>
      </w:r>
      <w:r w:rsidRPr="0037437C">
        <w:instrText xml:space="preserve"> ADDIN EN.CITE &lt;EndNote&gt;&lt;Cite&gt;&lt;Author&gt;Shanks&lt;/Author&gt;&lt;Year&gt;2013&lt;/Year&gt;&lt;RecNum&gt;276&lt;/RecNum&gt;&lt;DisplayText&gt;(5, 6)&lt;/DisplayText&gt;&lt;record&gt;&lt;rec-number&gt;276&lt;/rec-number&gt;&lt;foreign-keys&gt;&lt;key app="EN" db-id="v9pf5rezaaedx8e552iv20572t5tt95drwf5"&gt;276&lt;/key&gt;&lt;/foreign-keys&gt;&lt;ref-type name="Journal Article"&gt;17&lt;/ref-type&gt;&lt;contributors&gt;&lt;authors&gt;&lt;author&gt;Shanks, V.&lt;/author&gt;&lt;author&gt;Williams, J.&lt;/author&gt;&lt;author&gt;Leamy, M.&lt;/author&gt;&lt;author&gt;Bird, V.&lt;/author&gt;&lt;author&gt;Le Boutillier, C.&lt;/author&gt;&lt;author&gt;Slade, M.&lt;/author&gt;&lt;/authors&gt;&lt;/contributors&gt;&lt;titles&gt;&lt;title&gt;Measures of Personal Recovery: A Systematic Review&lt;/title&gt;&lt;secondary-title&gt;Psychiatric Services&lt;/secondary-title&gt;&lt;/titles&gt;&lt;periodical&gt;&lt;full-title&gt;Psychiatric Services&lt;/full-title&gt;&lt;/periodical&gt;&lt;pages&gt;7&lt;/pages&gt;&lt;volume&gt;64&lt;/volume&gt;&lt;number&gt;10&lt;/number&gt;&lt;section&gt;974&lt;/section&gt;&lt;dates&gt;&lt;year&gt;2013&lt;/year&gt;&lt;/dates&gt;&lt;urls&gt;&lt;/urls&gt;&lt;/record&gt;&lt;/Cite&gt;&lt;Cite&gt;&lt;Author&gt;Sklar&lt;/Author&gt;&lt;Year&gt;2013&lt;/Year&gt;&lt;RecNum&gt;275&lt;/RecNum&gt;&lt;record&gt;&lt;rec-number&gt;275&lt;/rec-number&gt;&lt;foreign-keys&gt;&lt;key app="EN" db-id="v9pf5rezaaedx8e552iv20572t5tt95drwf5"&gt;275&lt;/key&gt;&lt;/foreign-keys&gt;&lt;ref-type name="Journal Article"&gt;17&lt;/ref-type&gt;&lt;contributors&gt;&lt;authors&gt;&lt;author&gt;Sklar, M.&lt;/author&gt;&lt;author&gt;Groessl, E.&lt;/author&gt;&lt;author&gt;O&amp;apos;Connell, M.&lt;/author&gt;&lt;author&gt;Davidson  L.&lt;/author&gt;&lt;author&gt;Aarons, G.&lt;/author&gt;&lt;/authors&gt;&lt;/contributors&gt;&lt;titles&gt;&lt;title&gt;Instruments for measuring mental health recovery: A systematic review&lt;/title&gt;&lt;secondary-title&gt;Clinical Psychology Review&lt;/secondary-title&gt;&lt;/titles&gt;&lt;periodical&gt;&lt;full-title&gt;Clinical Psychology Review&lt;/full-title&gt;&lt;/periodical&gt;&lt;pages&gt;12&lt;/pages&gt;&lt;volume&gt;33&lt;/volume&gt;&lt;section&gt;1082&lt;/section&gt;&lt;dates&gt;&lt;year&gt;2013&lt;/year&gt;&lt;/dates&gt;&lt;urls&gt;&lt;/urls&gt;&lt;/record&gt;&lt;/Cite&gt;&lt;/EndNote&gt;</w:instrText>
      </w:r>
      <w:r w:rsidR="00835778" w:rsidRPr="0037437C">
        <w:fldChar w:fldCharType="separate"/>
      </w:r>
      <w:r w:rsidRPr="0037437C">
        <w:rPr>
          <w:noProof/>
        </w:rPr>
        <w:t>(</w:t>
      </w:r>
      <w:hyperlink w:anchor="_ENREF_5" w:tooltip="Shanks, 2013 #276" w:history="1">
        <w:r w:rsidR="00FA0BC2" w:rsidRPr="0037437C">
          <w:rPr>
            <w:noProof/>
          </w:rPr>
          <w:t>5</w:t>
        </w:r>
      </w:hyperlink>
      <w:r w:rsidRPr="0037437C">
        <w:rPr>
          <w:noProof/>
        </w:rPr>
        <w:t xml:space="preserve">, </w:t>
      </w:r>
      <w:hyperlink w:anchor="_ENREF_6" w:tooltip="Sklar, 2013 #275" w:history="1">
        <w:r w:rsidR="00FA0BC2" w:rsidRPr="0037437C">
          <w:rPr>
            <w:noProof/>
          </w:rPr>
          <w:t>6</w:t>
        </w:r>
      </w:hyperlink>
      <w:r w:rsidRPr="0037437C">
        <w:rPr>
          <w:noProof/>
        </w:rPr>
        <w:t>)</w:t>
      </w:r>
      <w:r w:rsidR="00835778" w:rsidRPr="0037437C">
        <w:fldChar w:fldCharType="end"/>
      </w:r>
      <w:r w:rsidR="000D153E" w:rsidRPr="0037437C">
        <w:t xml:space="preserve">. </w:t>
      </w:r>
      <w:r w:rsidR="000E702B" w:rsidRPr="0037437C">
        <w:t>O</w:t>
      </w:r>
      <w:r w:rsidR="000D153E" w:rsidRPr="0037437C">
        <w:t xml:space="preserve">nly one measure </w:t>
      </w:r>
      <w:r w:rsidR="009F3245" w:rsidRPr="0037437C">
        <w:t xml:space="preserve">of recovery </w:t>
      </w:r>
      <w:r w:rsidR="000D153E" w:rsidRPr="0037437C">
        <w:t>has been developed in</w:t>
      </w:r>
      <w:r w:rsidR="004D5C3F" w:rsidRPr="0037437C">
        <w:t xml:space="preserve"> England </w:t>
      </w:r>
      <w:r w:rsidR="000D153E" w:rsidRPr="0037437C">
        <w:t xml:space="preserve"> – the Questionnaire about the Process of Recovery (QPR) </w:t>
      </w:r>
      <w:r w:rsidR="00835778" w:rsidRPr="0037437C">
        <w:fldChar w:fldCharType="begin"/>
      </w:r>
      <w:r w:rsidRPr="0037437C">
        <w:instrText xml:space="preserve"> ADDIN EN.CITE &lt;EndNote&gt;&lt;Cite&gt;&lt;Author&gt;Neil&lt;/Author&gt;&lt;Year&gt;2009&lt;/Year&gt;&lt;RecNum&gt;78&lt;/RecNum&gt;&lt;DisplayText&gt;(7)&lt;/DisplayText&gt;&lt;record&gt;&lt;rec-number&gt;78&lt;/rec-number&gt;&lt;foreign-keys&gt;&lt;key app="EN" db-id="v9pf5rezaaedx8e552iv20572t5tt95drwf5"&gt;78&lt;/key&gt;&lt;/foreign-keys&gt;&lt;ref-type name="Journal Article"&gt;17&lt;/ref-type&gt;&lt;contributors&gt;&lt;authors&gt;&lt;author&gt;Neil, S. &lt;/author&gt;&lt;author&gt;Kilbride, M.&lt;/author&gt;&lt;author&gt;Pitt, L.&lt;/author&gt;&lt;author&gt;Nothard, S.&lt;/author&gt;&lt;author&gt;Welford, M.&lt;/author&gt;&lt;author&gt;Sellwood, W.&lt;/author&gt;&lt;author&gt;Morrison, A. &lt;/author&gt;&lt;/authors&gt;&lt;/contributors&gt;&lt;titles&gt;&lt;title&gt;The questionnaire about the process of recovery (QPR): A measurement tool developed in collaboration with service users&lt;/title&gt;&lt;secondary-title&gt;Psychosis&lt;/secondary-title&gt;&lt;/titles&gt;&lt;periodical&gt;&lt;full-title&gt;Psychosis&lt;/full-title&gt;&lt;/periodical&gt;&lt;pages&gt;1-11&lt;/pages&gt;&lt;volume&gt;1&lt;/volume&gt;&lt;reprint-edition&gt;NOT IN FILE&lt;/reprint-edition&gt;&lt;dates&gt;&lt;year&gt;2009&lt;/year&gt;&lt;/dates&gt;&lt;urls&gt;&lt;/urls&gt;&lt;/record&gt;&lt;/Cite&gt;&lt;/EndNote&gt;</w:instrText>
      </w:r>
      <w:r w:rsidR="00835778" w:rsidRPr="0037437C">
        <w:fldChar w:fldCharType="separate"/>
      </w:r>
      <w:r w:rsidRPr="0037437C">
        <w:rPr>
          <w:noProof/>
        </w:rPr>
        <w:t>(</w:t>
      </w:r>
      <w:hyperlink w:anchor="_ENREF_7" w:tooltip="Neil, 2009 #78" w:history="1">
        <w:r w:rsidR="00FA0BC2" w:rsidRPr="0037437C">
          <w:rPr>
            <w:noProof/>
          </w:rPr>
          <w:t>7</w:t>
        </w:r>
      </w:hyperlink>
      <w:r w:rsidRPr="0037437C">
        <w:rPr>
          <w:noProof/>
        </w:rPr>
        <w:t>)</w:t>
      </w:r>
      <w:r w:rsidR="00835778" w:rsidRPr="0037437C">
        <w:fldChar w:fldCharType="end"/>
      </w:r>
      <w:r w:rsidR="000D153E" w:rsidRPr="0037437C">
        <w:t xml:space="preserve">. </w:t>
      </w:r>
      <w:r w:rsidR="002A17D2" w:rsidRPr="0037437C">
        <w:t>I</w:t>
      </w:r>
      <w:r w:rsidR="001135E6" w:rsidRPr="0037437C">
        <w:t xml:space="preserve">nitial psychometric </w:t>
      </w:r>
      <w:r w:rsidR="00BF6DBF" w:rsidRPr="0037437C">
        <w:t xml:space="preserve">evaluation </w:t>
      </w:r>
      <w:r w:rsidR="001135E6" w:rsidRPr="0037437C">
        <w:t>of t</w:t>
      </w:r>
      <w:r w:rsidR="000D153E" w:rsidRPr="0037437C">
        <w:t xml:space="preserve">he QPR </w:t>
      </w:r>
      <w:r w:rsidR="00017D04" w:rsidRPr="0037437C">
        <w:t xml:space="preserve">by its developers showed </w:t>
      </w:r>
      <w:r w:rsidR="000D153E" w:rsidRPr="0037437C">
        <w:t xml:space="preserve">good internal consistency, construct validity and </w:t>
      </w:r>
      <w:r w:rsidR="00BF6DBF" w:rsidRPr="0037437C">
        <w:t xml:space="preserve">test-retest </w:t>
      </w:r>
      <w:r w:rsidR="000D153E" w:rsidRPr="0037437C">
        <w:t>reliability</w:t>
      </w:r>
      <w:r w:rsidR="001135E6" w:rsidRPr="0037437C">
        <w:t xml:space="preserve">. </w:t>
      </w:r>
      <w:r w:rsidR="00C135A0" w:rsidRPr="0037437C">
        <w:t xml:space="preserve">An exploratory factor analysis </w:t>
      </w:r>
      <w:r w:rsidR="00A602AF" w:rsidRPr="0037437C">
        <w:t xml:space="preserve">identified </w:t>
      </w:r>
      <w:r w:rsidR="00C135A0" w:rsidRPr="0037437C">
        <w:t xml:space="preserve"> two factors which were labelled ‘</w:t>
      </w:r>
      <w:r w:rsidR="00BF6DBF" w:rsidRPr="0037437C">
        <w:t>intrapersonal’ and ‘interpersonal’. A subsequent re-evaluation of the QPR</w:t>
      </w:r>
      <w:r w:rsidR="002A17D2" w:rsidRPr="0037437C">
        <w:t xml:space="preserve">, </w:t>
      </w:r>
      <w:r w:rsidR="00A602AF" w:rsidRPr="0037437C">
        <w:t xml:space="preserve">conducted by </w:t>
      </w:r>
      <w:r w:rsidR="00401FAE" w:rsidRPr="0037437C">
        <w:t>its developers</w:t>
      </w:r>
      <w:r w:rsidR="002A17D2" w:rsidRPr="0037437C">
        <w:t>,</w:t>
      </w:r>
      <w:r w:rsidR="00BF6DBF" w:rsidRPr="0037437C">
        <w:t xml:space="preserve"> found similar results and  a 15-item one factor solution </w:t>
      </w:r>
      <w:r w:rsidR="00835778" w:rsidRPr="0037437C">
        <w:fldChar w:fldCharType="begin"/>
      </w:r>
      <w:r w:rsidRPr="0037437C">
        <w:instrText xml:space="preserve"> ADDIN EN.CITE &lt;EndNote&gt;&lt;Cite&gt;&lt;Author&gt;Law&lt;/Author&gt;&lt;Year&gt;2014&lt;/Year&gt;&lt;RecNum&gt;413&lt;/RecNum&gt;&lt;DisplayText&gt;(8)&lt;/DisplayText&gt;&lt;record&gt;&lt;rec-number&gt;413&lt;/rec-number&gt;&lt;foreign-keys&gt;&lt;key app="EN" db-id="v9pf5rezaaedx8e552iv20572t5tt95drwf5"&gt;413&lt;/key&gt;&lt;/foreign-keys&gt;&lt;ref-type name="Journal Article"&gt;17&lt;/ref-type&gt;&lt;contributors&gt;&lt;authors&gt;&lt;author&gt;Law, H.&lt;/author&gt;&lt;author&gt;Neil, S.&lt;/author&gt;&lt;author&gt;Dunn, G.&lt;/author&gt;&lt;author&gt;Morrison, A.&lt;/author&gt;&lt;/authors&gt;&lt;/contributors&gt;&lt;titles&gt;&lt;title&gt;Psychometric Properties of the Questionnaire about the Process of Recovery (QPR)&lt;/title&gt;&lt;secondary-title&gt;Schizophrenia Research&lt;/secondary-title&gt;&lt;/titles&gt;&lt;periodical&gt;&lt;full-title&gt;Schizophrenia Research&lt;/full-title&gt;&lt;/periodical&gt;&lt;dates&gt;&lt;year&gt;2014&lt;/year&gt;&lt;/dates&gt;&lt;urls&gt;&lt;/urls&gt;&lt;/record&gt;&lt;/Cite&gt;&lt;/EndNote&gt;</w:instrText>
      </w:r>
      <w:r w:rsidR="00835778" w:rsidRPr="0037437C">
        <w:fldChar w:fldCharType="separate"/>
      </w:r>
      <w:r w:rsidRPr="0037437C">
        <w:rPr>
          <w:noProof/>
        </w:rPr>
        <w:t>(</w:t>
      </w:r>
      <w:hyperlink w:anchor="_ENREF_8" w:tooltip="Law, 2014 #413" w:history="1">
        <w:r w:rsidR="00FA0BC2" w:rsidRPr="0037437C">
          <w:rPr>
            <w:noProof/>
          </w:rPr>
          <w:t>8</w:t>
        </w:r>
      </w:hyperlink>
      <w:r w:rsidRPr="0037437C">
        <w:rPr>
          <w:noProof/>
        </w:rPr>
        <w:t>)</w:t>
      </w:r>
      <w:r w:rsidR="00835778" w:rsidRPr="0037437C">
        <w:fldChar w:fldCharType="end"/>
      </w:r>
      <w:r w:rsidR="00BF6DBF" w:rsidRPr="0037437C">
        <w:t xml:space="preserve">. </w:t>
      </w:r>
      <w:r w:rsidR="00A602AF" w:rsidRPr="0037437C">
        <w:t>Th</w:t>
      </w:r>
      <w:r w:rsidR="00401FAE" w:rsidRPr="0037437C">
        <w:t>e current</w:t>
      </w:r>
      <w:r w:rsidR="00A602AF" w:rsidRPr="0037437C">
        <w:t xml:space="preserve"> study was undertaken to </w:t>
      </w:r>
      <w:r w:rsidR="00401FAE" w:rsidRPr="0037437C">
        <w:t xml:space="preserve">investigate whether </w:t>
      </w:r>
      <w:r w:rsidR="00A602AF" w:rsidRPr="0037437C">
        <w:t xml:space="preserve">these findings could be replicated in a different sample, and </w:t>
      </w:r>
      <w:r w:rsidR="00401FAE" w:rsidRPr="0037437C">
        <w:t xml:space="preserve">which of the </w:t>
      </w:r>
      <w:r w:rsidR="00A602AF" w:rsidRPr="0037437C">
        <w:t>original 22 item version or the 15 item version</w:t>
      </w:r>
      <w:r w:rsidR="00401FAE" w:rsidRPr="0037437C">
        <w:t xml:space="preserve"> can be recommended</w:t>
      </w:r>
      <w:r w:rsidR="00A602AF" w:rsidRPr="0037437C">
        <w:t>.</w:t>
      </w:r>
      <w:r w:rsidR="00401FAE" w:rsidRPr="0037437C">
        <w:t xml:space="preserve"> </w:t>
      </w:r>
      <w:r w:rsidR="007D5E75" w:rsidRPr="0037437C">
        <w:t>Th</w:t>
      </w:r>
      <w:r w:rsidR="00503C70" w:rsidRPr="0037437C">
        <w:t>e aim</w:t>
      </w:r>
      <w:r w:rsidR="00D1591C" w:rsidRPr="0037437C">
        <w:t>s</w:t>
      </w:r>
      <w:r w:rsidR="00503C70" w:rsidRPr="0037437C">
        <w:t xml:space="preserve"> were to </w:t>
      </w:r>
      <w:r w:rsidR="00017D04" w:rsidRPr="0037437C">
        <w:t xml:space="preserve">independently </w:t>
      </w:r>
      <w:r w:rsidR="00401FAE" w:rsidRPr="0037437C">
        <w:rPr>
          <w:color w:val="000000"/>
        </w:rPr>
        <w:t xml:space="preserve">evaluate the </w:t>
      </w:r>
      <w:r w:rsidR="00F37E08" w:rsidRPr="0037437C">
        <w:rPr>
          <w:color w:val="000000"/>
        </w:rPr>
        <w:t>internal consistency</w:t>
      </w:r>
      <w:r w:rsidR="00503C70" w:rsidRPr="0037437C">
        <w:rPr>
          <w:color w:val="000000"/>
        </w:rPr>
        <w:t xml:space="preserve">, convergent validity, </w:t>
      </w:r>
      <w:r w:rsidR="000E702B" w:rsidRPr="0037437C">
        <w:rPr>
          <w:color w:val="000000"/>
        </w:rPr>
        <w:t>two</w:t>
      </w:r>
      <w:r w:rsidR="00503C70" w:rsidRPr="0037437C">
        <w:rPr>
          <w:color w:val="000000"/>
        </w:rPr>
        <w:t xml:space="preserve">-week test-retest reliability, </w:t>
      </w:r>
      <w:r w:rsidR="000E702B" w:rsidRPr="0037437C">
        <w:rPr>
          <w:color w:val="000000"/>
        </w:rPr>
        <w:t>three</w:t>
      </w:r>
      <w:r w:rsidR="00503C70" w:rsidRPr="0037437C">
        <w:rPr>
          <w:color w:val="000000"/>
        </w:rPr>
        <w:t xml:space="preserve">-month </w:t>
      </w:r>
      <w:r w:rsidR="009F3245" w:rsidRPr="0037437C">
        <w:rPr>
          <w:color w:val="000000"/>
        </w:rPr>
        <w:t xml:space="preserve">and 12-month </w:t>
      </w:r>
      <w:r w:rsidR="00503C70" w:rsidRPr="0037437C">
        <w:rPr>
          <w:color w:val="000000"/>
        </w:rPr>
        <w:t>sensitivity to change</w:t>
      </w:r>
      <w:r w:rsidR="00D1591C" w:rsidRPr="0037437C">
        <w:rPr>
          <w:color w:val="000000"/>
        </w:rPr>
        <w:t xml:space="preserve"> of both </w:t>
      </w:r>
      <w:r w:rsidR="00A602AF" w:rsidRPr="0037437C">
        <w:rPr>
          <w:color w:val="000000"/>
        </w:rPr>
        <w:t xml:space="preserve">the 22 item and 15 item </w:t>
      </w:r>
      <w:r w:rsidR="00D1591C" w:rsidRPr="0037437C">
        <w:rPr>
          <w:color w:val="000000"/>
        </w:rPr>
        <w:t>versions of the QPR</w:t>
      </w:r>
      <w:r w:rsidR="00503C70" w:rsidRPr="0037437C">
        <w:rPr>
          <w:color w:val="000000"/>
        </w:rPr>
        <w:t>, and to e</w:t>
      </w:r>
      <w:r w:rsidR="00F37E08" w:rsidRPr="0037437C">
        <w:rPr>
          <w:color w:val="000000"/>
        </w:rPr>
        <w:t>xplore the factor structure</w:t>
      </w:r>
      <w:r w:rsidR="00DD2275" w:rsidRPr="0037437C">
        <w:rPr>
          <w:color w:val="000000"/>
        </w:rPr>
        <w:t xml:space="preserve"> </w:t>
      </w:r>
      <w:r w:rsidR="00D1591C" w:rsidRPr="0037437C">
        <w:rPr>
          <w:color w:val="000000"/>
        </w:rPr>
        <w:t>of both versions.</w:t>
      </w:r>
      <w:r w:rsidR="00A602AF" w:rsidRPr="0037437C">
        <w:rPr>
          <w:color w:val="000000"/>
        </w:rPr>
        <w:t xml:space="preserve"> </w:t>
      </w:r>
    </w:p>
    <w:p w:rsidR="00A602AF" w:rsidRPr="0037437C" w:rsidRDefault="00A602AF" w:rsidP="00D0494C">
      <w:pPr>
        <w:spacing w:line="360" w:lineRule="auto"/>
        <w:rPr>
          <w:color w:val="000000"/>
        </w:rPr>
      </w:pPr>
    </w:p>
    <w:p w:rsidR="00D002E7" w:rsidRPr="0037437C" w:rsidRDefault="00F37E08" w:rsidP="00583A0B">
      <w:pPr>
        <w:rPr>
          <w:b/>
        </w:rPr>
      </w:pPr>
      <w:r w:rsidRPr="0037437C">
        <w:rPr>
          <w:b/>
        </w:rPr>
        <w:t>M</w:t>
      </w:r>
      <w:r w:rsidR="00D002E7" w:rsidRPr="0037437C">
        <w:rPr>
          <w:b/>
        </w:rPr>
        <w:t>ethods</w:t>
      </w:r>
    </w:p>
    <w:p w:rsidR="004D1466" w:rsidRPr="0037437C" w:rsidRDefault="004D1466" w:rsidP="004D1466"/>
    <w:p w:rsidR="004D1466" w:rsidRPr="0037437C" w:rsidRDefault="004D1466" w:rsidP="00583A0B">
      <w:pPr>
        <w:rPr>
          <w:i/>
        </w:rPr>
      </w:pPr>
      <w:r w:rsidRPr="0037437C">
        <w:rPr>
          <w:i/>
        </w:rPr>
        <w:t>Design</w:t>
      </w:r>
    </w:p>
    <w:p w:rsidR="004D1466" w:rsidRPr="0037437C" w:rsidRDefault="000E702B" w:rsidP="00156E1F">
      <w:pPr>
        <w:spacing w:line="360" w:lineRule="auto"/>
      </w:pPr>
      <w:r w:rsidRPr="0037437C">
        <w:rPr>
          <w:lang w:eastAsia="en-US"/>
        </w:rPr>
        <w:t xml:space="preserve">Data from two studies </w:t>
      </w:r>
      <w:r w:rsidR="00017D04" w:rsidRPr="0037437C">
        <w:rPr>
          <w:lang w:eastAsia="en-US"/>
        </w:rPr>
        <w:t>we</w:t>
      </w:r>
      <w:r w:rsidRPr="0037437C">
        <w:rPr>
          <w:lang w:eastAsia="en-US"/>
        </w:rPr>
        <w:t xml:space="preserve">re </w:t>
      </w:r>
      <w:r w:rsidR="009F1CDB" w:rsidRPr="0037437C">
        <w:rPr>
          <w:lang w:eastAsia="en-US"/>
        </w:rPr>
        <w:t>used</w:t>
      </w:r>
      <w:r w:rsidRPr="0037437C">
        <w:rPr>
          <w:lang w:eastAsia="en-US"/>
        </w:rPr>
        <w:t xml:space="preserve">. </w:t>
      </w:r>
      <w:r w:rsidR="002D2077" w:rsidRPr="0037437C">
        <w:rPr>
          <w:lang w:eastAsia="en-US"/>
        </w:rPr>
        <w:t>Data</w:t>
      </w:r>
      <w:r w:rsidR="004D1466" w:rsidRPr="0037437C">
        <w:rPr>
          <w:lang w:eastAsia="en-US"/>
        </w:rPr>
        <w:t xml:space="preserve">set 1 </w:t>
      </w:r>
      <w:r w:rsidR="00401FAE" w:rsidRPr="0037437C">
        <w:rPr>
          <w:lang w:eastAsia="en-US"/>
        </w:rPr>
        <w:t xml:space="preserve">came </w:t>
      </w:r>
      <w:r w:rsidR="009F1CDB" w:rsidRPr="0037437C">
        <w:rPr>
          <w:lang w:eastAsia="en-US"/>
        </w:rPr>
        <w:t xml:space="preserve">from </w:t>
      </w:r>
      <w:r w:rsidR="004D1466" w:rsidRPr="0037437C">
        <w:rPr>
          <w:lang w:eastAsia="en-US"/>
        </w:rPr>
        <w:t xml:space="preserve">a </w:t>
      </w:r>
      <w:r w:rsidR="004D1466" w:rsidRPr="0037437C">
        <w:t xml:space="preserve">psychometric evaluation study </w:t>
      </w:r>
      <w:r w:rsidR="009F1CDB" w:rsidRPr="0037437C">
        <w:t>in South London</w:t>
      </w:r>
      <w:r w:rsidR="00017D04" w:rsidRPr="0037437C">
        <w:t xml:space="preserve">, with data collected between </w:t>
      </w:r>
      <w:r w:rsidR="006B37BA" w:rsidRPr="0037437C">
        <w:t xml:space="preserve">March 2011 </w:t>
      </w:r>
      <w:r w:rsidR="00017D04" w:rsidRPr="0037437C">
        <w:t xml:space="preserve">and </w:t>
      </w:r>
      <w:r w:rsidR="006B37BA" w:rsidRPr="0037437C">
        <w:t xml:space="preserve">May 2012. </w:t>
      </w:r>
      <w:r w:rsidR="00156E1F" w:rsidRPr="0037437C">
        <w:t xml:space="preserve">Dataset </w:t>
      </w:r>
      <w:r w:rsidR="004D1466" w:rsidRPr="0037437C">
        <w:t xml:space="preserve">2 </w:t>
      </w:r>
      <w:r w:rsidR="009F1CDB" w:rsidRPr="0037437C">
        <w:t xml:space="preserve">is </w:t>
      </w:r>
      <w:r w:rsidR="002A17D2" w:rsidRPr="0037437C">
        <w:t xml:space="preserve">pooled baseline and one-year follow-up data </w:t>
      </w:r>
      <w:r w:rsidR="00156E1F" w:rsidRPr="0037437C">
        <w:t xml:space="preserve">from a </w:t>
      </w:r>
      <w:r w:rsidR="004D1466" w:rsidRPr="0037437C">
        <w:t xml:space="preserve">cluster </w:t>
      </w:r>
      <w:r w:rsidR="002A17D2" w:rsidRPr="0037437C">
        <w:t xml:space="preserve">randomised controlled trial </w:t>
      </w:r>
      <w:r w:rsidR="00A602AF" w:rsidRPr="0037437C">
        <w:t>of a pro-recovery intervention</w:t>
      </w:r>
      <w:r w:rsidR="00835778" w:rsidRPr="0037437C">
        <w:fldChar w:fldCharType="begin"/>
      </w:r>
      <w:r w:rsidR="0069691C" w:rsidRPr="0037437C">
        <w:instrText xml:space="preserve"> ADDIN EN.CITE &lt;EndNote&gt;&lt;Cite&gt;&lt;Author&gt;Slade&lt;/Author&gt;&lt;Year&gt;2011&lt;/Year&gt;&lt;RecNum&gt;223&lt;/RecNum&gt;&lt;DisplayText&gt;(9)&lt;/DisplayText&gt;&lt;record&gt;&lt;rec-number&gt;223&lt;/rec-number&gt;&lt;foreign-keys&gt;&lt;key app="EN" db-id="v9pf5rezaaedx8e552iv20572t5tt95drwf5"&gt;223&lt;/key&gt;&lt;/foreign-keys&gt;&lt;ref-type name="Journal Article"&gt;17&lt;/ref-type&gt;&lt;contributors&gt;&lt;authors&gt;&lt;author&gt;Slade, M. &lt;/author&gt;&lt;author&gt;Bird, V. &lt;/author&gt;&lt;author&gt;Le Boutillier, C. &lt;/author&gt;&lt;author&gt;Williams, J. &lt;/author&gt;&lt;author&gt;McCrone, P. &lt;/author&gt;&lt;author&gt;Leamy, M.&lt;/author&gt;&lt;/authors&gt;&lt;/contributors&gt;&lt;titles&gt;&lt;title&gt;REFOCUS Trial: protocol for a cluster randomised controlled trial of a pro-recovery intervention within community based mental health teams&lt;/title&gt;&lt;secondary-title&gt;BMC Psychiatry&lt;/secondary-title&gt;&lt;/titles&gt;&lt;periodical&gt;&lt;full-title&gt;BMC Psychiatry&lt;/full-title&gt;&lt;/periodical&gt;&lt;volume&gt;11&lt;/volume&gt;&lt;section&gt;185&lt;/section&gt;&lt;dates&gt;&lt;year&gt;2011&lt;/year&gt;&lt;/dates&gt;&lt;urls&gt;&lt;/urls&gt;&lt;/record&gt;&lt;/Cite&gt;&lt;/EndNote&gt;</w:instrText>
      </w:r>
      <w:r w:rsidR="00835778" w:rsidRPr="0037437C">
        <w:fldChar w:fldCharType="separate"/>
      </w:r>
      <w:r w:rsidR="0069691C" w:rsidRPr="0037437C">
        <w:rPr>
          <w:noProof/>
        </w:rPr>
        <w:t>(</w:t>
      </w:r>
      <w:hyperlink w:anchor="_ENREF_9" w:tooltip="Slade, 2011 #223" w:history="1">
        <w:r w:rsidR="00FA0BC2" w:rsidRPr="0037437C">
          <w:rPr>
            <w:noProof/>
          </w:rPr>
          <w:t>9</w:t>
        </w:r>
      </w:hyperlink>
      <w:r w:rsidR="0069691C" w:rsidRPr="0037437C">
        <w:rPr>
          <w:noProof/>
        </w:rPr>
        <w:t>)</w:t>
      </w:r>
      <w:r w:rsidR="00835778" w:rsidRPr="0037437C">
        <w:fldChar w:fldCharType="end"/>
      </w:r>
      <w:r w:rsidR="00156E1F" w:rsidRPr="0037437C">
        <w:t xml:space="preserve"> </w:t>
      </w:r>
      <w:r w:rsidRPr="0037437C">
        <w:t>(</w:t>
      </w:r>
      <w:r w:rsidR="00156E1F" w:rsidRPr="0037437C">
        <w:t>ISRCTN02507940</w:t>
      </w:r>
      <w:r w:rsidRPr="0037437C">
        <w:t>)</w:t>
      </w:r>
      <w:r w:rsidR="00017D04" w:rsidRPr="0037437C">
        <w:t xml:space="preserve">, with data </w:t>
      </w:r>
      <w:r w:rsidR="004625F1" w:rsidRPr="0037437C">
        <w:t xml:space="preserve">from each team (cluster) </w:t>
      </w:r>
      <w:r w:rsidR="00017D04" w:rsidRPr="0037437C">
        <w:t xml:space="preserve">collected between </w:t>
      </w:r>
      <w:r w:rsidR="00C5348D" w:rsidRPr="0037437C">
        <w:t xml:space="preserve">April 2011 </w:t>
      </w:r>
      <w:r w:rsidR="00017D04" w:rsidRPr="0037437C">
        <w:t xml:space="preserve">and </w:t>
      </w:r>
      <w:r w:rsidR="00C5348D" w:rsidRPr="0037437C">
        <w:t>December 2013</w:t>
      </w:r>
      <w:r w:rsidR="00156E1F" w:rsidRPr="0037437C">
        <w:t>.</w:t>
      </w:r>
      <w:r w:rsidR="00032258" w:rsidRPr="0037437C">
        <w:t xml:space="preserve"> Ethical approval was obtained for both studies.</w:t>
      </w:r>
      <w:bookmarkStart w:id="0" w:name="_GoBack"/>
      <w:bookmarkEnd w:id="0"/>
    </w:p>
    <w:p w:rsidR="00583A0B" w:rsidRPr="0037437C" w:rsidRDefault="00583A0B" w:rsidP="00156E1F">
      <w:pPr>
        <w:spacing w:line="360" w:lineRule="auto"/>
        <w:rPr>
          <w:lang w:eastAsia="en-US"/>
        </w:rPr>
      </w:pPr>
    </w:p>
    <w:p w:rsidR="00D002E7" w:rsidRPr="0037437C" w:rsidRDefault="000D4C66" w:rsidP="00B30BAC">
      <w:pPr>
        <w:rPr>
          <w:i/>
        </w:rPr>
      </w:pPr>
      <w:r w:rsidRPr="0037437C">
        <w:rPr>
          <w:i/>
        </w:rPr>
        <w:t>Participants</w:t>
      </w:r>
    </w:p>
    <w:p w:rsidR="00E26F25" w:rsidRPr="0037437C" w:rsidRDefault="00DD2275" w:rsidP="00C7730C">
      <w:pPr>
        <w:spacing w:line="360" w:lineRule="auto"/>
        <w:jc w:val="both"/>
      </w:pPr>
      <w:r w:rsidRPr="0037437C">
        <w:t xml:space="preserve">Participants were recruited from adult community mental health teams. </w:t>
      </w:r>
      <w:r w:rsidR="000D4C66" w:rsidRPr="0037437C">
        <w:t xml:space="preserve">Inclusion criteria were </w:t>
      </w:r>
      <w:r w:rsidR="002E4F11" w:rsidRPr="0037437C">
        <w:t xml:space="preserve">(a) </w:t>
      </w:r>
      <w:r w:rsidR="00C70112" w:rsidRPr="0037437C">
        <w:t xml:space="preserve">aged between 18-65, </w:t>
      </w:r>
      <w:r w:rsidR="000D4C66" w:rsidRPr="0037437C">
        <w:t>(</w:t>
      </w:r>
      <w:r w:rsidR="00C70112" w:rsidRPr="0037437C">
        <w:t>b</w:t>
      </w:r>
      <w:r w:rsidR="000D4C66" w:rsidRPr="0037437C">
        <w:t xml:space="preserve">) well enough to participate and able to complete measures in </w:t>
      </w:r>
      <w:r w:rsidR="00122E91" w:rsidRPr="0037437C">
        <w:t xml:space="preserve">the </w:t>
      </w:r>
      <w:r w:rsidR="000D4C66" w:rsidRPr="0037437C">
        <w:t>view of staff, (</w:t>
      </w:r>
      <w:r w:rsidR="00C70112" w:rsidRPr="0037437C">
        <w:t>c</w:t>
      </w:r>
      <w:r w:rsidR="000D4C66" w:rsidRPr="0037437C">
        <w:t>) able to give informed consent, and (</w:t>
      </w:r>
      <w:r w:rsidR="00C70112" w:rsidRPr="0037437C">
        <w:t>d</w:t>
      </w:r>
      <w:r w:rsidR="000D4C66" w:rsidRPr="0037437C">
        <w:t xml:space="preserve">) were </w:t>
      </w:r>
      <w:r w:rsidR="000D4C66" w:rsidRPr="0037437C">
        <w:lastRenderedPageBreak/>
        <w:t xml:space="preserve">able to </w:t>
      </w:r>
      <w:r w:rsidR="00122E91" w:rsidRPr="0037437C">
        <w:t xml:space="preserve">speak and </w:t>
      </w:r>
      <w:r w:rsidR="000D4C66" w:rsidRPr="0037437C">
        <w:t xml:space="preserve">understand English well enough to complete the measures. </w:t>
      </w:r>
      <w:r w:rsidR="002A17D2" w:rsidRPr="0037437C">
        <w:t>Additional inclusion criteria f</w:t>
      </w:r>
      <w:r w:rsidRPr="0037437C">
        <w:t xml:space="preserve">or </w:t>
      </w:r>
      <w:r w:rsidR="00C70112" w:rsidRPr="0037437C">
        <w:t xml:space="preserve">dataset 1 was any mental disorder and for </w:t>
      </w:r>
      <w:r w:rsidRPr="0037437C">
        <w:t>dataset 2</w:t>
      </w:r>
      <w:r w:rsidR="00095E1A" w:rsidRPr="0037437C">
        <w:t xml:space="preserve"> </w:t>
      </w:r>
      <w:r w:rsidR="00C70112" w:rsidRPr="0037437C">
        <w:t xml:space="preserve">was </w:t>
      </w:r>
      <w:r w:rsidR="00095E1A" w:rsidRPr="0037437C">
        <w:t xml:space="preserve">a diagnosis of psychosis. </w:t>
      </w:r>
    </w:p>
    <w:p w:rsidR="00EE39D5" w:rsidRPr="0037437C" w:rsidRDefault="00EE39D5" w:rsidP="002A17D2">
      <w:pPr>
        <w:spacing w:line="360" w:lineRule="auto"/>
      </w:pPr>
    </w:p>
    <w:p w:rsidR="001905A1" w:rsidRPr="0037437C" w:rsidRDefault="001905A1" w:rsidP="001905A1">
      <w:pPr>
        <w:rPr>
          <w:i/>
        </w:rPr>
      </w:pPr>
      <w:r w:rsidRPr="0037437C">
        <w:rPr>
          <w:i/>
        </w:rPr>
        <w:t>Procedures</w:t>
      </w:r>
    </w:p>
    <w:p w:rsidR="00032258" w:rsidRPr="0037437C" w:rsidRDefault="00032258" w:rsidP="001905A1"/>
    <w:p w:rsidR="001905A1" w:rsidRPr="0037437C" w:rsidRDefault="001905A1" w:rsidP="001905A1">
      <w:pPr>
        <w:spacing w:line="360" w:lineRule="auto"/>
        <w:jc w:val="both"/>
        <w:rPr>
          <w:rFonts w:cs="Arial"/>
        </w:rPr>
      </w:pPr>
      <w:r w:rsidRPr="0037437C">
        <w:t xml:space="preserve">Participants were recruited via their care co-ordinator from community adult mental health teams in South London (Dataset 1 and 2) and Gloucestershire (Dataset 2). </w:t>
      </w:r>
      <w:r w:rsidRPr="0037437C">
        <w:rPr>
          <w:rFonts w:cs="Arial"/>
        </w:rPr>
        <w:t xml:space="preserve">All participants received payment of £10 for each round of data collection. </w:t>
      </w:r>
    </w:p>
    <w:p w:rsidR="001905A1" w:rsidRPr="0037437C" w:rsidRDefault="001905A1" w:rsidP="001905A1">
      <w:pPr>
        <w:spacing w:line="360" w:lineRule="auto"/>
        <w:jc w:val="both"/>
        <w:rPr>
          <w:rFonts w:cs="Arial"/>
        </w:rPr>
      </w:pPr>
    </w:p>
    <w:p w:rsidR="001905A1" w:rsidRPr="0037437C" w:rsidRDefault="001905A1" w:rsidP="001905A1">
      <w:pPr>
        <w:spacing w:line="360" w:lineRule="auto"/>
        <w:jc w:val="both"/>
        <w:rPr>
          <w:rFonts w:cs="Arial"/>
        </w:rPr>
      </w:pPr>
      <w:r w:rsidRPr="0037437C">
        <w:t xml:space="preserve">Dataset 1 comprised a convenience sample with care co-ordinators identifying people on their caseload who matched the inclusion criteria and who would be willing to participate. Willing participants </w:t>
      </w:r>
      <w:r w:rsidRPr="0037437C">
        <w:rPr>
          <w:rFonts w:cs="Arial"/>
        </w:rPr>
        <w:t>were then contacted by a researcher who explained the study and answered any questions, before taking informed consent. Participants completed measures with a researcher at three time points: baseline, two weeks and three months. At baseline, participants completed a battery of measures including the QPR</w:t>
      </w:r>
      <w:r w:rsidR="008F71C0" w:rsidRPr="0037437C">
        <w:rPr>
          <w:rFonts w:cs="Arial"/>
        </w:rPr>
        <w:t xml:space="preserve"> (22-item version)</w:t>
      </w:r>
      <w:r w:rsidRPr="0037437C">
        <w:rPr>
          <w:rFonts w:cs="Arial"/>
        </w:rPr>
        <w:t xml:space="preserve">, WEMWBS and RAS. Two weeks later, they completed the QPR. Three months after baseline they completed the QPR and WEMWBS. If participants did not complete the measures at the two week point, they were still invited to complete the measures at the three month point. </w:t>
      </w:r>
    </w:p>
    <w:p w:rsidR="001905A1" w:rsidRPr="0037437C" w:rsidRDefault="001905A1" w:rsidP="001905A1">
      <w:pPr>
        <w:spacing w:line="360" w:lineRule="auto"/>
        <w:jc w:val="both"/>
        <w:rPr>
          <w:rFonts w:cs="Arial"/>
        </w:rPr>
      </w:pPr>
    </w:p>
    <w:p w:rsidR="001905A1" w:rsidRPr="0037437C" w:rsidRDefault="001905A1" w:rsidP="001905A1">
      <w:pPr>
        <w:spacing w:line="360" w:lineRule="auto"/>
        <w:jc w:val="both"/>
        <w:rPr>
          <w:rFonts w:cs="Arial"/>
        </w:rPr>
      </w:pPr>
      <w:r w:rsidRPr="0037437C">
        <w:rPr>
          <w:rFonts w:cs="Arial"/>
        </w:rPr>
        <w:t xml:space="preserve">For Dataset 2, the caseload for each team was randomly ordered. Researchers then contacted the care co-ordinator of each randomised person in sequence until the required 15 participants per team were recruited. The recruitment procedure was as per Dataset 1. Participants completed an extensive assessment battery including the QPR </w:t>
      </w:r>
      <w:r w:rsidR="008F71C0" w:rsidRPr="0037437C">
        <w:rPr>
          <w:rFonts w:cs="Arial"/>
        </w:rPr>
        <w:t xml:space="preserve">(22-item version) </w:t>
      </w:r>
      <w:r w:rsidRPr="0037437C">
        <w:rPr>
          <w:rFonts w:cs="Arial"/>
        </w:rPr>
        <w:t xml:space="preserve">and WEMWBS at baseline. One year later participants completed the same assessment battery including the QPR and WEMWBS. </w:t>
      </w:r>
    </w:p>
    <w:p w:rsidR="001905A1" w:rsidRPr="0037437C" w:rsidRDefault="001905A1" w:rsidP="002A17D2">
      <w:pPr>
        <w:spacing w:line="360" w:lineRule="auto"/>
      </w:pPr>
    </w:p>
    <w:p w:rsidR="00583A0B" w:rsidRPr="0037437C" w:rsidRDefault="00583A0B" w:rsidP="00D002E7">
      <w:pPr>
        <w:spacing w:line="360" w:lineRule="auto"/>
      </w:pPr>
    </w:p>
    <w:p w:rsidR="000D4C66" w:rsidRPr="0037437C" w:rsidRDefault="000D4C66" w:rsidP="00B30BAC">
      <w:pPr>
        <w:rPr>
          <w:i/>
        </w:rPr>
      </w:pPr>
      <w:r w:rsidRPr="0037437C">
        <w:rPr>
          <w:i/>
        </w:rPr>
        <w:t>Measures</w:t>
      </w:r>
    </w:p>
    <w:p w:rsidR="00095E1A" w:rsidRPr="0037437C" w:rsidRDefault="00C00C56" w:rsidP="000D4C66">
      <w:pPr>
        <w:spacing w:line="360" w:lineRule="auto"/>
        <w:jc w:val="both"/>
        <w:rPr>
          <w:rFonts w:cs="Arial"/>
        </w:rPr>
      </w:pPr>
      <w:r w:rsidRPr="0037437C">
        <w:rPr>
          <w:rFonts w:cs="Arial"/>
        </w:rPr>
        <w:t xml:space="preserve">The </w:t>
      </w:r>
      <w:r w:rsidR="00122E91" w:rsidRPr="0037437C">
        <w:rPr>
          <w:rFonts w:cs="Arial"/>
        </w:rPr>
        <w:t xml:space="preserve">original </w:t>
      </w:r>
      <w:r w:rsidR="000D4C66" w:rsidRPr="0037437C">
        <w:rPr>
          <w:rFonts w:cs="Arial"/>
        </w:rPr>
        <w:t xml:space="preserve">Questionnaire about the Process of Recovery (QPR) </w:t>
      </w:r>
      <w:r w:rsidRPr="0037437C">
        <w:rPr>
          <w:rFonts w:cs="Arial"/>
        </w:rPr>
        <w:t xml:space="preserve">is a 22-item, service user-rated measure of personal recovery developed in the UK </w:t>
      </w:r>
      <w:r w:rsidR="00835778" w:rsidRPr="0037437C">
        <w:rPr>
          <w:rFonts w:cs="Arial"/>
        </w:rPr>
        <w:fldChar w:fldCharType="begin"/>
      </w:r>
      <w:r w:rsidR="0069691C" w:rsidRPr="0037437C">
        <w:rPr>
          <w:rFonts w:cs="Arial"/>
        </w:rPr>
        <w:instrText xml:space="preserve"> ADDIN EN.CITE &lt;EndNote&gt;&lt;Cite&gt;&lt;Author&gt;Neil&lt;/Author&gt;&lt;Year&gt;2009&lt;/Year&gt;&lt;RecNum&gt;78&lt;/RecNum&gt;&lt;DisplayText&gt;(7)&lt;/DisplayText&gt;&lt;record&gt;&lt;rec-number&gt;78&lt;/rec-number&gt;&lt;foreign-keys&gt;&lt;key app="EN" db-id="v9pf5rezaaedx8e552iv20572t5tt95drwf5"&gt;78&lt;/key&gt;&lt;/foreign-keys&gt;&lt;ref-type name="Journal Article"&gt;17&lt;/ref-type&gt;&lt;contributors&gt;&lt;authors&gt;&lt;author&gt;Neil, S. &lt;/author&gt;&lt;author&gt;Kilbride, M.&lt;/author&gt;&lt;author&gt;Pitt, L.&lt;/author&gt;&lt;author&gt;Nothard, S.&lt;/author&gt;&lt;author&gt;Welford, M.&lt;/author&gt;&lt;author&gt;Sellwood, W.&lt;/author&gt;&lt;author&gt;Morrison, A. &lt;/author&gt;&lt;/authors&gt;&lt;/contributors&gt;&lt;titles&gt;&lt;title&gt;The questionnaire about the process of recovery (QPR): A measurement tool developed in collaboration with service users&lt;/title&gt;&lt;secondary-title&gt;Psychosis&lt;/secondary-title&gt;&lt;/titles&gt;&lt;periodical&gt;&lt;full-title&gt;Psychosis&lt;/full-title&gt;&lt;/periodical&gt;&lt;pages&gt;1-11&lt;/pages&gt;&lt;volume&gt;1&lt;/volume&gt;&lt;reprint-edition&gt;NOT IN FILE&lt;/reprint-edition&gt;&lt;dates&gt;&lt;year&gt;2009&lt;/year&gt;&lt;/dates&gt;&lt;urls&gt;&lt;/urls&gt;&lt;/record&gt;&lt;/Cite&gt;&lt;/EndNote&gt;</w:instrText>
      </w:r>
      <w:r w:rsidR="00835778" w:rsidRPr="0037437C">
        <w:rPr>
          <w:rFonts w:cs="Arial"/>
        </w:rPr>
        <w:fldChar w:fldCharType="separate"/>
      </w:r>
      <w:r w:rsidR="0069691C" w:rsidRPr="0037437C">
        <w:rPr>
          <w:rFonts w:cs="Arial"/>
          <w:noProof/>
        </w:rPr>
        <w:t>(</w:t>
      </w:r>
      <w:hyperlink w:anchor="_ENREF_7" w:tooltip="Neil, 2009 #78" w:history="1">
        <w:r w:rsidR="00FA0BC2" w:rsidRPr="0037437C">
          <w:rPr>
            <w:rFonts w:cs="Arial"/>
            <w:noProof/>
          </w:rPr>
          <w:t>7</w:t>
        </w:r>
      </w:hyperlink>
      <w:r w:rsidR="0069691C" w:rsidRPr="0037437C">
        <w:rPr>
          <w:rFonts w:cs="Arial"/>
          <w:noProof/>
        </w:rPr>
        <w:t>)</w:t>
      </w:r>
      <w:r w:rsidR="00835778" w:rsidRPr="0037437C">
        <w:rPr>
          <w:rFonts w:cs="Arial"/>
        </w:rPr>
        <w:fldChar w:fldCharType="end"/>
      </w:r>
      <w:r w:rsidRPr="0037437C">
        <w:rPr>
          <w:rFonts w:cs="Arial"/>
        </w:rPr>
        <w:t xml:space="preserve">. </w:t>
      </w:r>
      <w:r w:rsidR="00DA1513" w:rsidRPr="0037437C">
        <w:rPr>
          <w:rFonts w:cs="Arial"/>
        </w:rPr>
        <w:t xml:space="preserve">The measure was developed from a qualitative study </w:t>
      </w:r>
      <w:r w:rsidRPr="0037437C">
        <w:rPr>
          <w:rFonts w:cs="Arial"/>
        </w:rPr>
        <w:t xml:space="preserve">led </w:t>
      </w:r>
      <w:r w:rsidR="00DA1513" w:rsidRPr="0037437C">
        <w:rPr>
          <w:rFonts w:cs="Arial"/>
        </w:rPr>
        <w:t xml:space="preserve">by service user-researchers. </w:t>
      </w:r>
      <w:r w:rsidR="000D4C66" w:rsidRPr="0037437C">
        <w:rPr>
          <w:rFonts w:cs="Arial"/>
        </w:rPr>
        <w:t xml:space="preserve">Each item is scored using a 5-point Likert scale ranging from </w:t>
      </w:r>
      <w:r w:rsidR="00095E1A" w:rsidRPr="0037437C">
        <w:rPr>
          <w:rFonts w:cs="Arial"/>
        </w:rPr>
        <w:t>0</w:t>
      </w:r>
      <w:r w:rsidR="000D4C66" w:rsidRPr="0037437C">
        <w:rPr>
          <w:rFonts w:cs="Arial"/>
        </w:rPr>
        <w:t xml:space="preserve"> (disagree strongly) to </w:t>
      </w:r>
      <w:r w:rsidR="00095E1A" w:rsidRPr="0037437C">
        <w:rPr>
          <w:rFonts w:cs="Arial"/>
        </w:rPr>
        <w:t>4</w:t>
      </w:r>
      <w:r w:rsidR="000D4C66" w:rsidRPr="0037437C">
        <w:rPr>
          <w:rFonts w:cs="Arial"/>
        </w:rPr>
        <w:t xml:space="preserve"> (agree strongly). </w:t>
      </w:r>
      <w:r w:rsidR="00FA143B" w:rsidRPr="0037437C">
        <w:rPr>
          <w:rFonts w:cs="Arial"/>
        </w:rPr>
        <w:t xml:space="preserve">The initial version </w:t>
      </w:r>
      <w:r w:rsidRPr="0037437C">
        <w:rPr>
          <w:rFonts w:cs="Arial"/>
        </w:rPr>
        <w:t xml:space="preserve">comprised </w:t>
      </w:r>
      <w:r w:rsidR="003B656F" w:rsidRPr="0037437C">
        <w:rPr>
          <w:rFonts w:cs="Arial"/>
        </w:rPr>
        <w:t xml:space="preserve">two sub-scales: </w:t>
      </w:r>
      <w:r w:rsidR="004625F1" w:rsidRPr="0037437C">
        <w:rPr>
          <w:rFonts w:cs="Arial"/>
        </w:rPr>
        <w:t xml:space="preserve">QPR </w:t>
      </w:r>
      <w:r w:rsidR="003B656F" w:rsidRPr="0037437C">
        <w:rPr>
          <w:rFonts w:cs="Arial"/>
        </w:rPr>
        <w:t>I</w:t>
      </w:r>
      <w:r w:rsidR="000D4C66" w:rsidRPr="0037437C">
        <w:rPr>
          <w:rFonts w:cs="Arial"/>
        </w:rPr>
        <w:t>ntrapersonal</w:t>
      </w:r>
      <w:r w:rsidR="003B656F" w:rsidRPr="0037437C">
        <w:rPr>
          <w:rFonts w:cs="Arial"/>
        </w:rPr>
        <w:t xml:space="preserve"> (17 items) </w:t>
      </w:r>
      <w:r w:rsidR="00095E1A" w:rsidRPr="0037437C">
        <w:rPr>
          <w:rFonts w:cs="Arial"/>
        </w:rPr>
        <w:t xml:space="preserve">(range 0-68) </w:t>
      </w:r>
      <w:r w:rsidR="003B656F" w:rsidRPr="0037437C">
        <w:rPr>
          <w:rFonts w:cs="Arial"/>
        </w:rPr>
        <w:t xml:space="preserve">and </w:t>
      </w:r>
      <w:r w:rsidR="004625F1" w:rsidRPr="0037437C">
        <w:rPr>
          <w:rFonts w:cs="Arial"/>
        </w:rPr>
        <w:t xml:space="preserve">QPR </w:t>
      </w:r>
      <w:r w:rsidR="003B656F" w:rsidRPr="0037437C">
        <w:rPr>
          <w:rFonts w:cs="Arial"/>
        </w:rPr>
        <w:t>I</w:t>
      </w:r>
      <w:r w:rsidR="00DA1513" w:rsidRPr="0037437C">
        <w:rPr>
          <w:rFonts w:cs="Arial"/>
        </w:rPr>
        <w:t>nterpersonal (5 items)</w:t>
      </w:r>
      <w:r w:rsidR="00095E1A" w:rsidRPr="0037437C">
        <w:rPr>
          <w:rFonts w:cs="Arial"/>
        </w:rPr>
        <w:t xml:space="preserve"> (range 0-20)</w:t>
      </w:r>
      <w:r w:rsidRPr="0037437C">
        <w:rPr>
          <w:rFonts w:cs="Arial"/>
        </w:rPr>
        <w:t>,</w:t>
      </w:r>
      <w:r w:rsidR="00095E1A" w:rsidRPr="0037437C">
        <w:rPr>
          <w:rFonts w:cs="Arial"/>
        </w:rPr>
        <w:t xml:space="preserve"> </w:t>
      </w:r>
      <w:r w:rsidR="002A17D2" w:rsidRPr="0037437C">
        <w:rPr>
          <w:rFonts w:cs="Arial"/>
        </w:rPr>
        <w:t xml:space="preserve">with </w:t>
      </w:r>
      <w:r w:rsidR="00095E1A" w:rsidRPr="0037437C">
        <w:rPr>
          <w:rFonts w:cs="Arial"/>
        </w:rPr>
        <w:t xml:space="preserve">higher scores </w:t>
      </w:r>
      <w:r w:rsidR="002A17D2" w:rsidRPr="0037437C">
        <w:rPr>
          <w:rFonts w:cs="Arial"/>
        </w:rPr>
        <w:lastRenderedPageBreak/>
        <w:t xml:space="preserve">indicating </w:t>
      </w:r>
      <w:r w:rsidR="00122E91" w:rsidRPr="0037437C">
        <w:rPr>
          <w:rFonts w:cs="Arial"/>
        </w:rPr>
        <w:t>increased</w:t>
      </w:r>
      <w:r w:rsidR="00095E1A" w:rsidRPr="0037437C">
        <w:rPr>
          <w:rFonts w:cs="Arial"/>
        </w:rPr>
        <w:t xml:space="preserve"> recovery</w:t>
      </w:r>
      <w:r w:rsidR="002A17D2" w:rsidRPr="0037437C">
        <w:rPr>
          <w:rFonts w:cs="Arial"/>
        </w:rPr>
        <w:t xml:space="preserve"> in both subscales. A</w:t>
      </w:r>
      <w:r w:rsidRPr="0037437C">
        <w:rPr>
          <w:rFonts w:cs="Arial"/>
        </w:rPr>
        <w:t xml:space="preserve">dequate </w:t>
      </w:r>
      <w:r w:rsidR="000D4C66" w:rsidRPr="0037437C">
        <w:rPr>
          <w:rFonts w:cs="Arial"/>
        </w:rPr>
        <w:t>internal consistency</w:t>
      </w:r>
      <w:r w:rsidR="00DA1513" w:rsidRPr="0037437C">
        <w:rPr>
          <w:rFonts w:cs="Arial"/>
        </w:rPr>
        <w:t xml:space="preserve"> (Intrapersonal </w:t>
      </w:r>
      <w:r w:rsidR="00712623" w:rsidRPr="0037437C">
        <w:rPr>
          <w:rFonts w:cs="Arial"/>
        </w:rPr>
        <w:t xml:space="preserve">α = </w:t>
      </w:r>
      <w:r w:rsidR="00DA1513" w:rsidRPr="0037437C">
        <w:rPr>
          <w:rFonts w:cs="Arial"/>
        </w:rPr>
        <w:t xml:space="preserve">0.94, Interpersonal </w:t>
      </w:r>
      <w:r w:rsidR="00712623" w:rsidRPr="0037437C">
        <w:rPr>
          <w:rFonts w:cs="Arial"/>
        </w:rPr>
        <w:t xml:space="preserve">α = </w:t>
      </w:r>
      <w:r w:rsidR="00DA1513" w:rsidRPr="0037437C">
        <w:rPr>
          <w:rFonts w:cs="Arial"/>
        </w:rPr>
        <w:t>0.77)</w:t>
      </w:r>
      <w:r w:rsidR="000D4C66" w:rsidRPr="0037437C">
        <w:rPr>
          <w:rFonts w:cs="Arial"/>
        </w:rPr>
        <w:t>, construct validity</w:t>
      </w:r>
      <w:r w:rsidR="00DA1513" w:rsidRPr="0037437C">
        <w:rPr>
          <w:rFonts w:cs="Arial"/>
        </w:rPr>
        <w:t>,</w:t>
      </w:r>
      <w:r w:rsidR="000D4C66" w:rsidRPr="0037437C">
        <w:rPr>
          <w:rFonts w:cs="Arial"/>
        </w:rPr>
        <w:t xml:space="preserve"> and </w:t>
      </w:r>
      <w:r w:rsidR="00DA1513" w:rsidRPr="0037437C">
        <w:rPr>
          <w:rFonts w:cs="Arial"/>
        </w:rPr>
        <w:t xml:space="preserve">test-retest </w:t>
      </w:r>
      <w:r w:rsidR="000D4C66" w:rsidRPr="0037437C">
        <w:rPr>
          <w:rFonts w:cs="Arial"/>
        </w:rPr>
        <w:t>reliability</w:t>
      </w:r>
      <w:r w:rsidR="00DA1513" w:rsidRPr="0037437C">
        <w:rPr>
          <w:rFonts w:cs="Arial"/>
        </w:rPr>
        <w:t xml:space="preserve"> (Intrapersonal </w:t>
      </w:r>
      <w:r w:rsidR="00712623" w:rsidRPr="0037437C">
        <w:rPr>
          <w:rFonts w:cs="Arial"/>
        </w:rPr>
        <w:t xml:space="preserve">r = </w:t>
      </w:r>
      <w:r w:rsidR="00DA1513" w:rsidRPr="0037437C">
        <w:rPr>
          <w:rFonts w:cs="Arial"/>
        </w:rPr>
        <w:t xml:space="preserve">0.87, Interpersonal </w:t>
      </w:r>
      <w:r w:rsidR="00712623" w:rsidRPr="0037437C">
        <w:rPr>
          <w:rFonts w:cs="Arial"/>
        </w:rPr>
        <w:t xml:space="preserve">r = </w:t>
      </w:r>
      <w:r w:rsidR="00DA1513" w:rsidRPr="0037437C">
        <w:rPr>
          <w:rFonts w:cs="Arial"/>
        </w:rPr>
        <w:t>0.76)</w:t>
      </w:r>
      <w:r w:rsidR="00D0382E" w:rsidRPr="0037437C">
        <w:rPr>
          <w:rFonts w:cs="Arial"/>
        </w:rPr>
        <w:t xml:space="preserve"> </w:t>
      </w:r>
      <w:r w:rsidR="002A17D2" w:rsidRPr="0037437C">
        <w:rPr>
          <w:rFonts w:cs="Arial"/>
        </w:rPr>
        <w:t>were shown</w:t>
      </w:r>
      <w:r w:rsidR="000D4C66" w:rsidRPr="0037437C">
        <w:rPr>
          <w:rFonts w:cs="Arial"/>
        </w:rPr>
        <w:t>.</w:t>
      </w:r>
      <w:r w:rsidR="0037223D" w:rsidRPr="0037437C">
        <w:rPr>
          <w:rFonts w:cs="Arial"/>
        </w:rPr>
        <w:t xml:space="preserve"> </w:t>
      </w:r>
      <w:r w:rsidR="00DA1513" w:rsidRPr="0037437C">
        <w:rPr>
          <w:rFonts w:cs="Arial"/>
        </w:rPr>
        <w:t xml:space="preserve">A subsequent evaluation </w:t>
      </w:r>
      <w:r w:rsidRPr="0037437C">
        <w:rPr>
          <w:rFonts w:cs="Arial"/>
        </w:rPr>
        <w:t>by the develop</w:t>
      </w:r>
      <w:r w:rsidR="00017D04" w:rsidRPr="0037437C">
        <w:rPr>
          <w:rFonts w:cs="Arial"/>
        </w:rPr>
        <w:t xml:space="preserve">ers </w:t>
      </w:r>
      <w:r w:rsidR="00DA1513" w:rsidRPr="0037437C">
        <w:rPr>
          <w:rFonts w:cs="Arial"/>
        </w:rPr>
        <w:t xml:space="preserve">of the psychometric properties </w:t>
      </w:r>
      <w:r w:rsidRPr="0037437C">
        <w:rPr>
          <w:rFonts w:cs="Arial"/>
        </w:rPr>
        <w:t xml:space="preserve">using a new dataset </w:t>
      </w:r>
      <w:r w:rsidR="00DA1513" w:rsidRPr="0037437C">
        <w:rPr>
          <w:rFonts w:cs="Arial"/>
        </w:rPr>
        <w:t xml:space="preserve">found a </w:t>
      </w:r>
      <w:r w:rsidRPr="0037437C">
        <w:rPr>
          <w:rFonts w:cs="Arial"/>
        </w:rPr>
        <w:t>15-</w:t>
      </w:r>
      <w:r w:rsidR="00DA1513" w:rsidRPr="0037437C">
        <w:rPr>
          <w:rFonts w:cs="Arial"/>
        </w:rPr>
        <w:t xml:space="preserve">item </w:t>
      </w:r>
      <w:r w:rsidR="00095E1A" w:rsidRPr="0037437C">
        <w:rPr>
          <w:rFonts w:cs="Arial"/>
        </w:rPr>
        <w:t xml:space="preserve">(range 0-60) </w:t>
      </w:r>
      <w:r w:rsidR="00DA1513" w:rsidRPr="0037437C">
        <w:rPr>
          <w:rFonts w:cs="Arial"/>
        </w:rPr>
        <w:t>one factor solution</w:t>
      </w:r>
      <w:r w:rsidR="004625F1" w:rsidRPr="0037437C">
        <w:rPr>
          <w:rFonts w:cs="Arial"/>
        </w:rPr>
        <w:t xml:space="preserve"> called QPR Total</w:t>
      </w:r>
      <w:r w:rsidRPr="0037437C">
        <w:rPr>
          <w:rFonts w:cs="Arial"/>
        </w:rPr>
        <w:t xml:space="preserve">, which </w:t>
      </w:r>
      <w:r w:rsidR="00DA1513" w:rsidRPr="0037437C">
        <w:rPr>
          <w:rFonts w:cs="Arial"/>
        </w:rPr>
        <w:t xml:space="preserve">demonstrated </w:t>
      </w:r>
      <w:r w:rsidRPr="0037437C">
        <w:rPr>
          <w:rFonts w:cs="Arial"/>
        </w:rPr>
        <w:t xml:space="preserve">adequate </w:t>
      </w:r>
      <w:r w:rsidR="00DA1513" w:rsidRPr="0037437C">
        <w:rPr>
          <w:rFonts w:cs="Arial"/>
        </w:rPr>
        <w:t xml:space="preserve">internal consistency </w:t>
      </w:r>
      <w:r w:rsidRPr="0037437C">
        <w:rPr>
          <w:rFonts w:cs="Arial"/>
        </w:rPr>
        <w:t>(</w:t>
      </w:r>
      <w:r w:rsidR="00712623" w:rsidRPr="0037437C">
        <w:rPr>
          <w:rFonts w:cs="Arial"/>
        </w:rPr>
        <w:t xml:space="preserve">α = </w:t>
      </w:r>
      <w:r w:rsidR="00DA1513" w:rsidRPr="0037437C">
        <w:rPr>
          <w:rFonts w:cs="Arial"/>
        </w:rPr>
        <w:t>0.93</w:t>
      </w:r>
      <w:r w:rsidRPr="0037437C">
        <w:rPr>
          <w:rFonts w:cs="Arial"/>
        </w:rPr>
        <w:t>)</w:t>
      </w:r>
      <w:r w:rsidR="00DA1513" w:rsidRPr="0037437C">
        <w:rPr>
          <w:rFonts w:cs="Arial"/>
        </w:rPr>
        <w:t xml:space="preserve"> and </w:t>
      </w:r>
      <w:r w:rsidR="00D80A53" w:rsidRPr="0037437C">
        <w:rPr>
          <w:rFonts w:cs="Arial"/>
        </w:rPr>
        <w:t xml:space="preserve">test-retest reliability </w:t>
      </w:r>
      <w:r w:rsidR="00DD487F" w:rsidRPr="0037437C">
        <w:rPr>
          <w:rFonts w:cs="Arial"/>
        </w:rPr>
        <w:t xml:space="preserve">using Pearson’s correlation </w:t>
      </w:r>
      <w:r w:rsidR="00D80A53" w:rsidRPr="0037437C">
        <w:rPr>
          <w:rFonts w:cs="Arial"/>
        </w:rPr>
        <w:t>(</w:t>
      </w:r>
      <w:r w:rsidR="00712623" w:rsidRPr="0037437C">
        <w:rPr>
          <w:rFonts w:cs="Arial"/>
        </w:rPr>
        <w:t xml:space="preserve">r = </w:t>
      </w:r>
      <w:r w:rsidR="00D80A53" w:rsidRPr="0037437C">
        <w:rPr>
          <w:rFonts w:cs="Arial"/>
        </w:rPr>
        <w:t>0.70)</w:t>
      </w:r>
      <w:r w:rsidR="00DA1513" w:rsidRPr="0037437C">
        <w:rPr>
          <w:rFonts w:cs="Arial"/>
        </w:rPr>
        <w:t xml:space="preserve"> </w:t>
      </w:r>
      <w:r w:rsidR="00835778" w:rsidRPr="0037437C">
        <w:rPr>
          <w:rFonts w:cs="Arial"/>
        </w:rPr>
        <w:fldChar w:fldCharType="begin"/>
      </w:r>
      <w:r w:rsidR="0069691C" w:rsidRPr="0037437C">
        <w:rPr>
          <w:rFonts w:cs="Arial"/>
        </w:rPr>
        <w:instrText xml:space="preserve"> ADDIN EN.CITE &lt;EndNote&gt;&lt;Cite&gt;&lt;Author&gt;Law&lt;/Author&gt;&lt;Year&gt;2014&lt;/Year&gt;&lt;RecNum&gt;413&lt;/RecNum&gt;&lt;DisplayText&gt;(8)&lt;/DisplayText&gt;&lt;record&gt;&lt;rec-number&gt;413&lt;/rec-number&gt;&lt;foreign-keys&gt;&lt;key app="EN" db-id="v9pf5rezaaedx8e552iv20572t5tt95drwf5"&gt;413&lt;/key&gt;&lt;/foreign-keys&gt;&lt;ref-type name="Journal Article"&gt;17&lt;/ref-type&gt;&lt;contributors&gt;&lt;authors&gt;&lt;author&gt;Law, H.&lt;/author&gt;&lt;author&gt;Neil, S.&lt;/author&gt;&lt;author&gt;Dunn, G.&lt;/author&gt;&lt;author&gt;Morrison, A.&lt;/author&gt;&lt;/authors&gt;&lt;/contributors&gt;&lt;titles&gt;&lt;title&gt;Psychometric Properties of the Questionnaire about the Process of Recovery (QPR)&lt;/title&gt;&lt;secondary-title&gt;Schizophrenia Research&lt;/secondary-title&gt;&lt;/titles&gt;&lt;periodical&gt;&lt;full-title&gt;Schizophrenia Research&lt;/full-title&gt;&lt;/periodical&gt;&lt;dates&gt;&lt;year&gt;2014&lt;/year&gt;&lt;/dates&gt;&lt;urls&gt;&lt;/urls&gt;&lt;/record&gt;&lt;/Cite&gt;&lt;/EndNote&gt;</w:instrText>
      </w:r>
      <w:r w:rsidR="00835778" w:rsidRPr="0037437C">
        <w:rPr>
          <w:rFonts w:cs="Arial"/>
        </w:rPr>
        <w:fldChar w:fldCharType="separate"/>
      </w:r>
      <w:r w:rsidR="0069691C" w:rsidRPr="0037437C">
        <w:rPr>
          <w:rFonts w:cs="Arial"/>
          <w:noProof/>
        </w:rPr>
        <w:t>(</w:t>
      </w:r>
      <w:hyperlink w:anchor="_ENREF_8" w:tooltip="Law, 2014 #413" w:history="1">
        <w:r w:rsidR="00FA0BC2" w:rsidRPr="0037437C">
          <w:rPr>
            <w:rFonts w:cs="Arial"/>
            <w:noProof/>
          </w:rPr>
          <w:t>8</w:t>
        </w:r>
      </w:hyperlink>
      <w:r w:rsidR="0069691C" w:rsidRPr="0037437C">
        <w:rPr>
          <w:rFonts w:cs="Arial"/>
          <w:noProof/>
        </w:rPr>
        <w:t>)</w:t>
      </w:r>
      <w:r w:rsidR="00835778" w:rsidRPr="0037437C">
        <w:rPr>
          <w:rFonts w:cs="Arial"/>
        </w:rPr>
        <w:fldChar w:fldCharType="end"/>
      </w:r>
      <w:r w:rsidR="002F350B" w:rsidRPr="0037437C">
        <w:rPr>
          <w:rFonts w:cs="Arial"/>
        </w:rPr>
        <w:t xml:space="preserve">. </w:t>
      </w:r>
      <w:r w:rsidR="00DF3155" w:rsidRPr="0037437C">
        <w:rPr>
          <w:rFonts w:cs="Arial"/>
        </w:rPr>
        <w:t>In this study b</w:t>
      </w:r>
      <w:r w:rsidR="002F350B" w:rsidRPr="0037437C">
        <w:rPr>
          <w:rFonts w:cs="Arial"/>
        </w:rPr>
        <w:t xml:space="preserve">oth datasets </w:t>
      </w:r>
      <w:r w:rsidR="00401FAE" w:rsidRPr="0037437C">
        <w:rPr>
          <w:rFonts w:cs="Arial"/>
        </w:rPr>
        <w:t xml:space="preserve">were collected using </w:t>
      </w:r>
      <w:r w:rsidR="002F350B" w:rsidRPr="0037437C">
        <w:rPr>
          <w:rFonts w:cs="Arial"/>
        </w:rPr>
        <w:t>the 22</w:t>
      </w:r>
      <w:r w:rsidR="00401FAE" w:rsidRPr="0037437C">
        <w:rPr>
          <w:rFonts w:cs="Arial"/>
        </w:rPr>
        <w:t>-</w:t>
      </w:r>
      <w:r w:rsidR="002F350B" w:rsidRPr="0037437C">
        <w:rPr>
          <w:rFonts w:cs="Arial"/>
        </w:rPr>
        <w:t>item QPR</w:t>
      </w:r>
      <w:r w:rsidR="00401FAE" w:rsidRPr="0037437C">
        <w:rPr>
          <w:rFonts w:cs="Arial"/>
        </w:rPr>
        <w:t xml:space="preserve">, with </w:t>
      </w:r>
      <w:r w:rsidR="002F350B" w:rsidRPr="0037437C">
        <w:rPr>
          <w:rFonts w:cs="Arial"/>
        </w:rPr>
        <w:t xml:space="preserve">the </w:t>
      </w:r>
      <w:r w:rsidR="00401FAE" w:rsidRPr="0037437C">
        <w:rPr>
          <w:rFonts w:cs="Arial"/>
        </w:rPr>
        <w:t>15-</w:t>
      </w:r>
      <w:r w:rsidR="002F350B" w:rsidRPr="0037437C">
        <w:rPr>
          <w:rFonts w:cs="Arial"/>
        </w:rPr>
        <w:t xml:space="preserve">item QPR </w:t>
      </w:r>
      <w:r w:rsidR="00401FAE" w:rsidRPr="0037437C">
        <w:rPr>
          <w:rFonts w:cs="Arial"/>
        </w:rPr>
        <w:t xml:space="preserve">Total score being </w:t>
      </w:r>
      <w:r w:rsidR="002F350B" w:rsidRPr="0037437C">
        <w:rPr>
          <w:rFonts w:cs="Arial"/>
        </w:rPr>
        <w:t xml:space="preserve">extrapolated. In this analysis we refer to the two sub-scales of the 22 item QPR as QPR Intrapersonal and QPR Interpersonal, and the </w:t>
      </w:r>
      <w:r w:rsidR="00401FAE" w:rsidRPr="0037437C">
        <w:rPr>
          <w:rFonts w:cs="Arial"/>
        </w:rPr>
        <w:t>15-</w:t>
      </w:r>
      <w:r w:rsidR="002F350B" w:rsidRPr="0037437C">
        <w:rPr>
          <w:rFonts w:cs="Arial"/>
        </w:rPr>
        <w:t>item QPR as QPR Total.</w:t>
      </w:r>
    </w:p>
    <w:p w:rsidR="000D4C66" w:rsidRPr="0037437C" w:rsidRDefault="00095E1A" w:rsidP="000D4C66">
      <w:pPr>
        <w:spacing w:line="360" w:lineRule="auto"/>
        <w:jc w:val="both"/>
        <w:rPr>
          <w:rFonts w:cs="Arial"/>
        </w:rPr>
      </w:pPr>
      <w:r w:rsidRPr="0037437C">
        <w:rPr>
          <w:rFonts w:cs="Arial"/>
        </w:rPr>
        <w:t xml:space="preserve"> </w:t>
      </w:r>
    </w:p>
    <w:p w:rsidR="000D4C66" w:rsidRPr="0037437C" w:rsidRDefault="00C00C56" w:rsidP="00017D04">
      <w:pPr>
        <w:spacing w:line="360" w:lineRule="auto"/>
        <w:jc w:val="both"/>
        <w:rPr>
          <w:rFonts w:cs="Arial"/>
        </w:rPr>
      </w:pPr>
      <w:r w:rsidRPr="0037437C">
        <w:rPr>
          <w:rFonts w:cs="Arial"/>
        </w:rPr>
        <w:t xml:space="preserve">The </w:t>
      </w:r>
      <w:r w:rsidR="000D4C66" w:rsidRPr="0037437C">
        <w:rPr>
          <w:rFonts w:cs="Arial"/>
        </w:rPr>
        <w:t>Recovery Assessment Scale</w:t>
      </w:r>
      <w:r w:rsidR="003766B3" w:rsidRPr="0037437C">
        <w:rPr>
          <w:rFonts w:cs="Arial"/>
        </w:rPr>
        <w:t xml:space="preserve"> (RAS)</w:t>
      </w:r>
      <w:r w:rsidR="000D4C66" w:rsidRPr="0037437C">
        <w:rPr>
          <w:rFonts w:cs="Arial"/>
        </w:rPr>
        <w:t xml:space="preserve"> </w:t>
      </w:r>
      <w:r w:rsidR="00C005C1" w:rsidRPr="0037437C">
        <w:rPr>
          <w:rFonts w:cs="Arial"/>
        </w:rPr>
        <w:t xml:space="preserve">is a 41-item service user-rated measure assessing </w:t>
      </w:r>
      <w:r w:rsidR="00122E91" w:rsidRPr="0037437C">
        <w:rPr>
          <w:rFonts w:cs="Arial"/>
        </w:rPr>
        <w:t xml:space="preserve">five domains of </w:t>
      </w:r>
      <w:r w:rsidR="00C005C1" w:rsidRPr="0037437C">
        <w:rPr>
          <w:rFonts w:cs="Arial"/>
        </w:rPr>
        <w:t xml:space="preserve">recovery: personal confidence and hope, willingness to ask for help, goal and success orientation, reliance on others and no domination by symptoms </w:t>
      </w:r>
      <w:r w:rsidR="00835778" w:rsidRPr="0037437C">
        <w:rPr>
          <w:rFonts w:cs="Arial"/>
        </w:rPr>
        <w:fldChar w:fldCharType="begin"/>
      </w:r>
      <w:r w:rsidR="0069691C" w:rsidRPr="0037437C">
        <w:rPr>
          <w:rFonts w:cs="Arial"/>
        </w:rPr>
        <w:instrText xml:space="preserve"> ADDIN EN.CITE &lt;EndNote&gt;&lt;Cite&gt;&lt;Author&gt;Corrigan&lt;/Author&gt;&lt;Year&gt;1999&lt;/Year&gt;&lt;RecNum&gt;24&lt;/RecNum&gt;&lt;DisplayText&gt;(10)&lt;/DisplayText&gt;&lt;record&gt;&lt;rec-number&gt;24&lt;/rec-number&gt;&lt;foreign-keys&gt;&lt;key app="EN" db-id="v9pf5rezaaedx8e552iv20572t5tt95drwf5"&gt;24&lt;/key&gt;&lt;/foreign-keys&gt;&lt;ref-type name="Journal Article"&gt;17&lt;/ref-type&gt;&lt;contributors&gt;&lt;authors&gt;&lt;author&gt;Corrigan, P.&lt;/author&gt;&lt;author&gt;Giffort, D.&lt;/author&gt;&lt;author&gt;Rashid, F.&lt;/author&gt;&lt;author&gt;Leary, M.&lt;/author&gt;&lt;author&gt;Okeke, I.&lt;/author&gt;&lt;/authors&gt;&lt;/contributors&gt;&lt;titles&gt;&lt;title&gt;Recovery as a Psychological Construct&lt;/title&gt;&lt;secondary-title&gt;Community Mental Health Journal&lt;/secondary-title&gt;&lt;/titles&gt;&lt;periodical&gt;&lt;full-title&gt;Community Mental Health Journal&lt;/full-title&gt;&lt;/periodical&gt;&lt;pages&gt;231-239&lt;/pages&gt;&lt;volume&gt;35&lt;/volume&gt;&lt;number&gt;3&lt;/number&gt;&lt;reprint-edition&gt;NOT IN FILE&lt;/reprint-edition&gt;&lt;dates&gt;&lt;year&gt;1999&lt;/year&gt;&lt;/dates&gt;&lt;urls&gt;&lt;/urls&gt;&lt;/record&gt;&lt;/Cite&gt;&lt;/EndNote&gt;</w:instrText>
      </w:r>
      <w:r w:rsidR="00835778" w:rsidRPr="0037437C">
        <w:rPr>
          <w:rFonts w:cs="Arial"/>
        </w:rPr>
        <w:fldChar w:fldCharType="separate"/>
      </w:r>
      <w:r w:rsidR="0069691C" w:rsidRPr="0037437C">
        <w:rPr>
          <w:rFonts w:cs="Arial"/>
          <w:noProof/>
        </w:rPr>
        <w:t>(</w:t>
      </w:r>
      <w:hyperlink w:anchor="_ENREF_10" w:tooltip="Corrigan, 1999 #24" w:history="1">
        <w:r w:rsidR="00FA0BC2" w:rsidRPr="0037437C">
          <w:rPr>
            <w:rFonts w:cs="Arial"/>
            <w:noProof/>
          </w:rPr>
          <w:t>10</w:t>
        </w:r>
      </w:hyperlink>
      <w:r w:rsidR="0069691C" w:rsidRPr="0037437C">
        <w:rPr>
          <w:rFonts w:cs="Arial"/>
          <w:noProof/>
        </w:rPr>
        <w:t>)</w:t>
      </w:r>
      <w:r w:rsidR="00835778" w:rsidRPr="0037437C">
        <w:rPr>
          <w:rFonts w:cs="Arial"/>
        </w:rPr>
        <w:fldChar w:fldCharType="end"/>
      </w:r>
      <w:r w:rsidR="000D4C66" w:rsidRPr="0037437C">
        <w:rPr>
          <w:rFonts w:cs="Arial"/>
        </w:rPr>
        <w:t xml:space="preserve">. </w:t>
      </w:r>
      <w:r w:rsidR="004D1466" w:rsidRPr="0037437C">
        <w:rPr>
          <w:rFonts w:cs="Arial"/>
        </w:rPr>
        <w:t xml:space="preserve">Each item is scored </w:t>
      </w:r>
      <w:r w:rsidR="00122E91" w:rsidRPr="0037437C">
        <w:rPr>
          <w:rFonts w:cs="Arial"/>
        </w:rPr>
        <w:t xml:space="preserve">on </w:t>
      </w:r>
      <w:r w:rsidR="004D1466" w:rsidRPr="0037437C">
        <w:rPr>
          <w:rFonts w:cs="Arial"/>
        </w:rPr>
        <w:t xml:space="preserve">a 5-point Likert scale ranging from 1 (strongly disagree) to 5 (strongly agree) with the total score ranging from 41 </w:t>
      </w:r>
      <w:r w:rsidR="000E702B" w:rsidRPr="0037437C">
        <w:rPr>
          <w:rFonts w:cs="Arial"/>
        </w:rPr>
        <w:t xml:space="preserve">(low recovery) </w:t>
      </w:r>
      <w:r w:rsidR="004D1466" w:rsidRPr="0037437C">
        <w:rPr>
          <w:rFonts w:cs="Arial"/>
        </w:rPr>
        <w:t xml:space="preserve">to 205. </w:t>
      </w:r>
      <w:r w:rsidR="00122E91" w:rsidRPr="0037437C">
        <w:rPr>
          <w:rFonts w:cs="Arial"/>
        </w:rPr>
        <w:t xml:space="preserve">Good </w:t>
      </w:r>
      <w:r w:rsidR="000D4C66" w:rsidRPr="0037437C">
        <w:rPr>
          <w:rFonts w:cs="Arial"/>
        </w:rPr>
        <w:t xml:space="preserve">internal consistency of </w:t>
      </w:r>
      <w:r w:rsidR="00DD487F" w:rsidRPr="0037437C">
        <w:rPr>
          <w:rFonts w:cs="Arial"/>
        </w:rPr>
        <w:t xml:space="preserve">α = </w:t>
      </w:r>
      <w:r w:rsidR="000D4C66" w:rsidRPr="0037437C">
        <w:rPr>
          <w:rFonts w:cs="Arial"/>
        </w:rPr>
        <w:t xml:space="preserve">0.93 and test-retest reliability </w:t>
      </w:r>
      <w:r w:rsidR="00DD487F" w:rsidRPr="0037437C">
        <w:rPr>
          <w:rFonts w:cs="Arial"/>
        </w:rPr>
        <w:t xml:space="preserve">using Pearson’s correlation </w:t>
      </w:r>
      <w:r w:rsidR="000D4C66" w:rsidRPr="0037437C">
        <w:rPr>
          <w:rFonts w:cs="Arial"/>
        </w:rPr>
        <w:t>of</w:t>
      </w:r>
      <w:r w:rsidR="00DD487F" w:rsidRPr="0037437C">
        <w:rPr>
          <w:rFonts w:cs="Arial"/>
        </w:rPr>
        <w:t xml:space="preserve"> r = </w:t>
      </w:r>
      <w:r w:rsidR="000D4C66" w:rsidRPr="0037437C">
        <w:rPr>
          <w:rFonts w:cs="Arial"/>
        </w:rPr>
        <w:t xml:space="preserve"> 0.88</w:t>
      </w:r>
      <w:r w:rsidR="008B3712" w:rsidRPr="0037437C">
        <w:rPr>
          <w:rFonts w:cs="Arial"/>
        </w:rPr>
        <w:t xml:space="preserve"> </w:t>
      </w:r>
      <w:r w:rsidR="00401FAE" w:rsidRPr="0037437C">
        <w:rPr>
          <w:rFonts w:cs="Arial"/>
        </w:rPr>
        <w:t xml:space="preserve">have been demonstrated </w:t>
      </w:r>
      <w:r w:rsidR="00835778" w:rsidRPr="0037437C">
        <w:rPr>
          <w:rFonts w:cs="Arial"/>
        </w:rPr>
        <w:fldChar w:fldCharType="begin"/>
      </w:r>
      <w:r w:rsidR="0069691C" w:rsidRPr="0037437C">
        <w:rPr>
          <w:rFonts w:cs="Arial"/>
        </w:rPr>
        <w:instrText xml:space="preserve"> ADDIN EN.CITE &lt;EndNote&gt;&lt;Cite&gt;&lt;Author&gt;Corrigan&lt;/Author&gt;&lt;Year&gt;1999&lt;/Year&gt;&lt;RecNum&gt;24&lt;/RecNum&gt;&lt;DisplayText&gt;(10)&lt;/DisplayText&gt;&lt;record&gt;&lt;rec-number&gt;24&lt;/rec-number&gt;&lt;foreign-keys&gt;&lt;key app="EN" db-id="v9pf5rezaaedx8e552iv20572t5tt95drwf5"&gt;24&lt;/key&gt;&lt;/foreign-keys&gt;&lt;ref-type name="Journal Article"&gt;17&lt;/ref-type&gt;&lt;contributors&gt;&lt;authors&gt;&lt;author&gt;Corrigan, P.&lt;/author&gt;&lt;author&gt;Giffort, D.&lt;/author&gt;&lt;author&gt;Rashid, F.&lt;/author&gt;&lt;author&gt;Leary, M.&lt;/author&gt;&lt;author&gt;Okeke, I.&lt;/author&gt;&lt;/authors&gt;&lt;/contributors&gt;&lt;titles&gt;&lt;title&gt;Recovery as a Psychological Construct&lt;/title&gt;&lt;secondary-title&gt;Community Mental Health Journal&lt;/secondary-title&gt;&lt;/titles&gt;&lt;periodical&gt;&lt;full-title&gt;Community Mental Health Journal&lt;/full-title&gt;&lt;/periodical&gt;&lt;pages&gt;231-239&lt;/pages&gt;&lt;volume&gt;35&lt;/volume&gt;&lt;number&gt;3&lt;/number&gt;&lt;reprint-edition&gt;NOT IN FILE&lt;/reprint-edition&gt;&lt;dates&gt;&lt;year&gt;1999&lt;/year&gt;&lt;/dates&gt;&lt;urls&gt;&lt;/urls&gt;&lt;/record&gt;&lt;/Cite&gt;&lt;/EndNote&gt;</w:instrText>
      </w:r>
      <w:r w:rsidR="00835778" w:rsidRPr="0037437C">
        <w:rPr>
          <w:rFonts w:cs="Arial"/>
        </w:rPr>
        <w:fldChar w:fldCharType="separate"/>
      </w:r>
      <w:r w:rsidR="0069691C" w:rsidRPr="0037437C">
        <w:rPr>
          <w:rFonts w:cs="Arial"/>
          <w:noProof/>
        </w:rPr>
        <w:t>(</w:t>
      </w:r>
      <w:hyperlink w:anchor="_ENREF_10" w:tooltip="Corrigan, 1999 #24" w:history="1">
        <w:r w:rsidR="00FA0BC2" w:rsidRPr="0037437C">
          <w:rPr>
            <w:rFonts w:cs="Arial"/>
            <w:noProof/>
          </w:rPr>
          <w:t>10</w:t>
        </w:r>
      </w:hyperlink>
      <w:r w:rsidR="0069691C" w:rsidRPr="0037437C">
        <w:rPr>
          <w:rFonts w:cs="Arial"/>
          <w:noProof/>
        </w:rPr>
        <w:t>)</w:t>
      </w:r>
      <w:r w:rsidR="00835778" w:rsidRPr="0037437C">
        <w:rPr>
          <w:rFonts w:cs="Arial"/>
        </w:rPr>
        <w:fldChar w:fldCharType="end"/>
      </w:r>
      <w:r w:rsidR="008B3712" w:rsidRPr="0037437C">
        <w:rPr>
          <w:rFonts w:cs="Arial"/>
        </w:rPr>
        <w:t>.</w:t>
      </w:r>
      <w:r w:rsidR="000D4C66" w:rsidRPr="0037437C">
        <w:rPr>
          <w:rFonts w:cs="Arial"/>
        </w:rPr>
        <w:t xml:space="preserve">  </w:t>
      </w:r>
    </w:p>
    <w:p w:rsidR="003766B3" w:rsidRPr="0037437C" w:rsidRDefault="003766B3" w:rsidP="000D4C66">
      <w:pPr>
        <w:spacing w:line="360" w:lineRule="auto"/>
        <w:rPr>
          <w:rFonts w:cs="Arial"/>
        </w:rPr>
      </w:pPr>
    </w:p>
    <w:p w:rsidR="00AC64AF" w:rsidRPr="0037437C" w:rsidRDefault="00C005C1" w:rsidP="00C005C1">
      <w:pPr>
        <w:spacing w:line="360" w:lineRule="auto"/>
      </w:pPr>
      <w:r w:rsidRPr="0037437C">
        <w:rPr>
          <w:rFonts w:cs="Arial"/>
        </w:rPr>
        <w:t xml:space="preserve">The </w:t>
      </w:r>
      <w:r w:rsidR="001135E6" w:rsidRPr="0037437C">
        <w:rPr>
          <w:rFonts w:cs="Arial"/>
        </w:rPr>
        <w:t>Warwick-Edinburgh Wellbeing Scale (WEMWBS)</w:t>
      </w:r>
      <w:r w:rsidR="00657F18" w:rsidRPr="0037437C">
        <w:rPr>
          <w:rFonts w:cs="Arial"/>
        </w:rPr>
        <w:t xml:space="preserve"> </w:t>
      </w:r>
      <w:r w:rsidRPr="0037437C">
        <w:t xml:space="preserve">is a 14-item self-report measure </w:t>
      </w:r>
      <w:r w:rsidR="00122E91" w:rsidRPr="0037437C">
        <w:t>assessing</w:t>
      </w:r>
      <w:r w:rsidRPr="0037437C">
        <w:t xml:space="preserve"> well-being</w:t>
      </w:r>
      <w:r w:rsidRPr="0037437C">
        <w:rPr>
          <w:rFonts w:cs="Arial"/>
        </w:rPr>
        <w:t xml:space="preserve"> </w:t>
      </w:r>
      <w:r w:rsidR="00835778" w:rsidRPr="0037437C">
        <w:rPr>
          <w:rFonts w:cs="Arial"/>
        </w:rPr>
        <w:fldChar w:fldCharType="begin"/>
      </w:r>
      <w:r w:rsidR="0069691C" w:rsidRPr="0037437C">
        <w:rPr>
          <w:rFonts w:cs="Arial"/>
        </w:rPr>
        <w:instrText xml:space="preserve"> ADDIN EN.CITE &lt;EndNote&gt;&lt;Cite&gt;&lt;Author&gt;Tennant&lt;/Author&gt;&lt;Year&gt;2007&lt;/Year&gt;&lt;RecNum&gt;110&lt;/RecNum&gt;&lt;DisplayText&gt;(11)&lt;/DisplayText&gt;&lt;record&gt;&lt;rec-number&gt;110&lt;/rec-number&gt;&lt;foreign-keys&gt;&lt;key app="EN" db-id="v9pf5rezaaedx8e552iv20572t5tt95drwf5"&gt;110&lt;/key&gt;&lt;/foreign-keys&gt;&lt;ref-type name="Journal Article"&gt;17&lt;/ref-type&gt;&lt;contributors&gt;&lt;authors&gt;&lt;author&gt;Tennant, R.&lt;/author&gt;&lt;author&gt;Hiller, L.&lt;/author&gt;&lt;author&gt;Fishwick, R.&lt;/author&gt;&lt;author&gt;Platt, S.&lt;/author&gt;&lt;author&gt;Joseph, S.&lt;/author&gt;&lt;author&gt;Weich, S.&lt;/author&gt;&lt;author&gt;Parkinson, J.&lt;/author&gt;&lt;author&gt;Secker, J.&lt;/author&gt;&lt;author&gt;Stewart-Brown, S.&lt;/author&gt;&lt;/authors&gt;&lt;/contributors&gt;&lt;titles&gt;&lt;title&gt;The Warwick-Edinburgh Mental Well-being Scale (WEMWBS): development and UK validation&lt;/title&gt;&lt;secondary-title&gt;Health and Quality of Life Outcomes&lt;/secondary-title&gt;&lt;/titles&gt;&lt;periodical&gt;&lt;full-title&gt;Health and Quality of Life Outcomes&lt;/full-title&gt;&lt;/periodical&gt;&lt;volume&gt;5&lt;/volume&gt;&lt;number&gt;63&lt;/number&gt;&lt;reprint-edition&gt;NOT IN FILE&lt;/reprint-edition&gt;&lt;dates&gt;&lt;year&gt;2007&lt;/year&gt;&lt;/dates&gt;&lt;urls&gt;&lt;/urls&gt;&lt;/record&gt;&lt;/Cite&gt;&lt;/EndNote&gt;</w:instrText>
      </w:r>
      <w:r w:rsidR="00835778" w:rsidRPr="0037437C">
        <w:rPr>
          <w:rFonts w:cs="Arial"/>
        </w:rPr>
        <w:fldChar w:fldCharType="separate"/>
      </w:r>
      <w:r w:rsidR="0069691C" w:rsidRPr="0037437C">
        <w:rPr>
          <w:rFonts w:cs="Arial"/>
          <w:noProof/>
        </w:rPr>
        <w:t>(</w:t>
      </w:r>
      <w:hyperlink w:anchor="_ENREF_11" w:tooltip="Tennant, 2007 #110" w:history="1">
        <w:r w:rsidR="00FA0BC2" w:rsidRPr="0037437C">
          <w:rPr>
            <w:rFonts w:cs="Arial"/>
            <w:noProof/>
          </w:rPr>
          <w:t>11</w:t>
        </w:r>
      </w:hyperlink>
      <w:r w:rsidR="0069691C" w:rsidRPr="0037437C">
        <w:rPr>
          <w:rFonts w:cs="Arial"/>
          <w:noProof/>
        </w:rPr>
        <w:t>)</w:t>
      </w:r>
      <w:r w:rsidR="00835778" w:rsidRPr="0037437C">
        <w:rPr>
          <w:rFonts w:cs="Arial"/>
        </w:rPr>
        <w:fldChar w:fldCharType="end"/>
      </w:r>
      <w:r w:rsidRPr="0037437C">
        <w:rPr>
          <w:rFonts w:cs="Arial"/>
        </w:rPr>
        <w:t xml:space="preserve">. </w:t>
      </w:r>
      <w:r w:rsidR="00420EC1" w:rsidRPr="0037437C">
        <w:t>Respondents rate their experience regarding each statement over the last two weeks. Each item is scored using a 5-point Likert scale ranging from 1 (None of the time) to 5 (All of the time)</w:t>
      </w:r>
      <w:r w:rsidR="004D1466" w:rsidRPr="0037437C">
        <w:t xml:space="preserve"> with the total score ranging from 14 </w:t>
      </w:r>
      <w:r w:rsidR="000E702B" w:rsidRPr="0037437C">
        <w:t xml:space="preserve">(low well-being) </w:t>
      </w:r>
      <w:r w:rsidR="004D1466" w:rsidRPr="0037437C">
        <w:t>to 70</w:t>
      </w:r>
      <w:r w:rsidR="00420EC1" w:rsidRPr="0037437C">
        <w:t xml:space="preserve">. In the initial validation study, </w:t>
      </w:r>
      <w:r w:rsidR="00122E91" w:rsidRPr="0037437C">
        <w:t xml:space="preserve">good </w:t>
      </w:r>
      <w:r w:rsidR="00420EC1" w:rsidRPr="0037437C">
        <w:t xml:space="preserve">content validity, internal consistency of </w:t>
      </w:r>
      <w:r w:rsidR="00DD487F" w:rsidRPr="0037437C">
        <w:rPr>
          <w:rFonts w:cs="Arial"/>
        </w:rPr>
        <w:t>α</w:t>
      </w:r>
      <w:r w:rsidR="00DD487F" w:rsidRPr="0037437C">
        <w:t xml:space="preserve"> = </w:t>
      </w:r>
      <w:r w:rsidR="00420EC1" w:rsidRPr="0037437C">
        <w:t xml:space="preserve">0.89, and test-retest reliability </w:t>
      </w:r>
      <w:r w:rsidR="00DD487F" w:rsidRPr="0037437C">
        <w:t>using intra-class correlation coefficients</w:t>
      </w:r>
      <w:r w:rsidR="00C7730C" w:rsidRPr="0037437C">
        <w:t xml:space="preserve"> </w:t>
      </w:r>
      <w:r w:rsidR="00420EC1" w:rsidRPr="0037437C">
        <w:t xml:space="preserve">of </w:t>
      </w:r>
      <w:r w:rsidR="00DD487F" w:rsidRPr="0037437C">
        <w:t xml:space="preserve">r = </w:t>
      </w:r>
      <w:r w:rsidR="00420EC1" w:rsidRPr="0037437C">
        <w:t>0.83</w:t>
      </w:r>
      <w:r w:rsidR="00AC64AF" w:rsidRPr="0037437C">
        <w:t xml:space="preserve"> </w:t>
      </w:r>
      <w:r w:rsidR="00401FAE" w:rsidRPr="0037437C">
        <w:t xml:space="preserve">were demonstrated </w:t>
      </w:r>
      <w:r w:rsidR="00835778" w:rsidRPr="0037437C">
        <w:fldChar w:fldCharType="begin"/>
      </w:r>
      <w:r w:rsidR="0069691C" w:rsidRPr="0037437C">
        <w:instrText xml:space="preserve"> ADDIN EN.CITE &lt;EndNote&gt;&lt;Cite&gt;&lt;Author&gt;Tennant&lt;/Author&gt;&lt;Year&gt;2007&lt;/Year&gt;&lt;RecNum&gt;110&lt;/RecNum&gt;&lt;DisplayText&gt;(11)&lt;/DisplayText&gt;&lt;record&gt;&lt;rec-number&gt;110&lt;/rec-number&gt;&lt;foreign-keys&gt;&lt;key app="EN" db-id="v9pf5rezaaedx8e552iv20572t5tt95drwf5"&gt;110&lt;/key&gt;&lt;/foreign-keys&gt;&lt;ref-type name="Journal Article"&gt;17&lt;/ref-type&gt;&lt;contributors&gt;&lt;authors&gt;&lt;author&gt;Tennant, R.&lt;/author&gt;&lt;author&gt;Hiller, L.&lt;/author&gt;&lt;author&gt;Fishwick, R.&lt;/author&gt;&lt;author&gt;Platt, S.&lt;/author&gt;&lt;author&gt;Joseph, S.&lt;/author&gt;&lt;author&gt;Weich, S.&lt;/author&gt;&lt;author&gt;Parkinson, J.&lt;/author&gt;&lt;author&gt;Secker, J.&lt;/author&gt;&lt;author&gt;Stewart-Brown, S.&lt;/author&gt;&lt;/authors&gt;&lt;/contributors&gt;&lt;titles&gt;&lt;title&gt;The Warwick-Edinburgh Mental Well-being Scale (WEMWBS): development and UK validation&lt;/title&gt;&lt;secondary-title&gt;Health and Quality of Life Outcomes&lt;/secondary-title&gt;&lt;/titles&gt;&lt;periodical&gt;&lt;full-title&gt;Health and Quality of Life Outcomes&lt;/full-title&gt;&lt;/periodical&gt;&lt;volume&gt;5&lt;/volume&gt;&lt;number&gt;63&lt;/number&gt;&lt;reprint-edition&gt;NOT IN FILE&lt;/reprint-edition&gt;&lt;dates&gt;&lt;year&gt;2007&lt;/year&gt;&lt;/dates&gt;&lt;urls&gt;&lt;/urls&gt;&lt;/record&gt;&lt;/Cite&gt;&lt;/EndNote&gt;</w:instrText>
      </w:r>
      <w:r w:rsidR="00835778" w:rsidRPr="0037437C">
        <w:fldChar w:fldCharType="separate"/>
      </w:r>
      <w:r w:rsidR="0069691C" w:rsidRPr="0037437C">
        <w:rPr>
          <w:noProof/>
        </w:rPr>
        <w:t>(</w:t>
      </w:r>
      <w:hyperlink w:anchor="_ENREF_11" w:tooltip="Tennant, 2007 #110" w:history="1">
        <w:r w:rsidR="00FA0BC2" w:rsidRPr="0037437C">
          <w:rPr>
            <w:noProof/>
          </w:rPr>
          <w:t>11</w:t>
        </w:r>
      </w:hyperlink>
      <w:r w:rsidR="0069691C" w:rsidRPr="0037437C">
        <w:rPr>
          <w:noProof/>
        </w:rPr>
        <w:t>)</w:t>
      </w:r>
      <w:r w:rsidR="00835778" w:rsidRPr="0037437C">
        <w:fldChar w:fldCharType="end"/>
      </w:r>
      <w:r w:rsidR="00420EC1" w:rsidRPr="0037437C">
        <w:t xml:space="preserve">. </w:t>
      </w:r>
      <w:r w:rsidRPr="0037437C">
        <w:t xml:space="preserve">The measure </w:t>
      </w:r>
      <w:r w:rsidR="00AC64AF" w:rsidRPr="0037437C">
        <w:t xml:space="preserve">has also been validated with adolescent and minority ethnic groups </w:t>
      </w:r>
      <w:r w:rsidR="00835778" w:rsidRPr="0037437C">
        <w:fldChar w:fldCharType="begin"/>
      </w:r>
      <w:r w:rsidR="0069691C" w:rsidRPr="0037437C">
        <w:instrText xml:space="preserve"> ADDIN EN.CITE &lt;EndNote&gt;&lt;Cite&gt;&lt;Author&gt;Maheswaran&lt;/Author&gt;&lt;Year&gt;2012&lt;/Year&gt;&lt;RecNum&gt;398&lt;/RecNum&gt;&lt;DisplayText&gt;(12)&lt;/DisplayText&gt;&lt;record&gt;&lt;rec-number&gt;398&lt;/rec-number&gt;&lt;foreign-keys&gt;&lt;key app="EN" db-id="v9pf5rezaaedx8e552iv20572t5tt95drwf5"&gt;398&lt;/key&gt;&lt;/foreign-keys&gt;&lt;ref-type name="Journal Article"&gt;17&lt;/ref-type&gt;&lt;contributors&gt;&lt;authors&gt;&lt;author&gt;Maheswaran, H.&lt;/author&gt;&lt;author&gt;Weich, S.&lt;/author&gt;&lt;author&gt;Powell, J.&lt;/author&gt;&lt;author&gt;Stewart-Brown, S.&lt;/author&gt;&lt;/authors&gt;&lt;/contributors&gt;&lt;titles&gt;&lt;title&gt;Evaluating the responsiveness of the Warwick Edinburgh Mental Well-Being Scale (WEMWBS): Group and individual level analysis&lt;/title&gt;&lt;secondary-title&gt;Health and Quality of Life Outcomes&lt;/secondary-title&gt;&lt;/titles&gt;&lt;periodical&gt;&lt;full-title&gt;Health and Quality of Life Outcomes&lt;/full-title&gt;&lt;/periodical&gt;&lt;volume&gt;10&lt;/volume&gt;&lt;dates&gt;&lt;year&gt;2012&lt;/year&gt;&lt;/dates&gt;&lt;urls&gt;&lt;/urls&gt;&lt;/record&gt;&lt;/Cite&gt;&lt;/EndNote&gt;</w:instrText>
      </w:r>
      <w:r w:rsidR="00835778" w:rsidRPr="0037437C">
        <w:fldChar w:fldCharType="separate"/>
      </w:r>
      <w:r w:rsidR="0069691C" w:rsidRPr="0037437C">
        <w:rPr>
          <w:noProof/>
        </w:rPr>
        <w:t>(</w:t>
      </w:r>
      <w:hyperlink w:anchor="_ENREF_12" w:tooltip="Maheswaran, 2012 #398" w:history="1">
        <w:r w:rsidR="00FA0BC2" w:rsidRPr="0037437C">
          <w:rPr>
            <w:noProof/>
          </w:rPr>
          <w:t>12</w:t>
        </w:r>
      </w:hyperlink>
      <w:r w:rsidR="0069691C" w:rsidRPr="0037437C">
        <w:rPr>
          <w:noProof/>
        </w:rPr>
        <w:t>)</w:t>
      </w:r>
      <w:r w:rsidR="00835778" w:rsidRPr="0037437C">
        <w:fldChar w:fldCharType="end"/>
      </w:r>
      <w:r w:rsidR="00AC64AF" w:rsidRPr="0037437C">
        <w:t xml:space="preserve">. </w:t>
      </w:r>
    </w:p>
    <w:p w:rsidR="00AC64AF" w:rsidRPr="0037437C" w:rsidRDefault="00AC64AF" w:rsidP="00AC64AF">
      <w:pPr>
        <w:spacing w:line="360" w:lineRule="auto"/>
      </w:pPr>
    </w:p>
    <w:p w:rsidR="000D4C66" w:rsidRPr="0037437C" w:rsidRDefault="000D4C66" w:rsidP="00B30BAC">
      <w:pPr>
        <w:rPr>
          <w:i/>
        </w:rPr>
      </w:pPr>
      <w:r w:rsidRPr="0037437C">
        <w:rPr>
          <w:i/>
        </w:rPr>
        <w:t>Analysis</w:t>
      </w:r>
    </w:p>
    <w:p w:rsidR="00FA089F" w:rsidRPr="0037437C" w:rsidRDefault="00FA089F" w:rsidP="005723ED">
      <w:pPr>
        <w:spacing w:line="276" w:lineRule="auto"/>
        <w:rPr>
          <w:lang w:eastAsia="en-US"/>
        </w:rPr>
      </w:pPr>
    </w:p>
    <w:p w:rsidR="00EF7A92" w:rsidRPr="0037437C" w:rsidRDefault="00705154" w:rsidP="006B37BA">
      <w:pPr>
        <w:spacing w:line="360" w:lineRule="auto"/>
        <w:jc w:val="both"/>
        <w:rPr>
          <w:rFonts w:cs="Arial"/>
        </w:rPr>
      </w:pPr>
      <w:r w:rsidRPr="0037437C">
        <w:rPr>
          <w:rFonts w:cs="Arial"/>
        </w:rPr>
        <w:t xml:space="preserve">Using </w:t>
      </w:r>
      <w:r w:rsidR="000260EE" w:rsidRPr="0037437C">
        <w:rPr>
          <w:rFonts w:cs="Arial"/>
        </w:rPr>
        <w:t>Dataset 1</w:t>
      </w:r>
      <w:r w:rsidRPr="0037437C">
        <w:rPr>
          <w:rFonts w:cs="Arial"/>
        </w:rPr>
        <w:t>, c</w:t>
      </w:r>
      <w:r w:rsidR="00920091" w:rsidRPr="0037437C">
        <w:rPr>
          <w:rFonts w:cs="Arial"/>
        </w:rPr>
        <w:t>onvergent validity</w:t>
      </w:r>
      <w:r w:rsidRPr="0037437C">
        <w:rPr>
          <w:rFonts w:cs="Arial"/>
        </w:rPr>
        <w:t xml:space="preserve"> was assessed </w:t>
      </w:r>
      <w:r w:rsidR="00920091" w:rsidRPr="0037437C">
        <w:rPr>
          <w:rFonts w:cs="Arial"/>
        </w:rPr>
        <w:t xml:space="preserve">using </w:t>
      </w:r>
      <w:r w:rsidR="001D3C93" w:rsidRPr="0037437C">
        <w:rPr>
          <w:rFonts w:cs="Arial"/>
        </w:rPr>
        <w:t xml:space="preserve">Pearson’s </w:t>
      </w:r>
      <w:r w:rsidR="00920091" w:rsidRPr="0037437C">
        <w:rPr>
          <w:rFonts w:cs="Arial"/>
        </w:rPr>
        <w:t xml:space="preserve">correlation between </w:t>
      </w:r>
      <w:r w:rsidR="00401FAE" w:rsidRPr="0037437C">
        <w:rPr>
          <w:rFonts w:cs="Arial"/>
        </w:rPr>
        <w:t xml:space="preserve">RAS and </w:t>
      </w:r>
      <w:r w:rsidR="00920091" w:rsidRPr="0037437C">
        <w:rPr>
          <w:rFonts w:cs="Arial"/>
        </w:rPr>
        <w:t>QPR</w:t>
      </w:r>
      <w:r w:rsidR="002F350B" w:rsidRPr="0037437C">
        <w:rPr>
          <w:rFonts w:cs="Arial"/>
        </w:rPr>
        <w:t xml:space="preserve"> Intrapersonal, QPR Interpersonal and QPR Total</w:t>
      </w:r>
      <w:r w:rsidR="00920091" w:rsidRPr="0037437C">
        <w:rPr>
          <w:rFonts w:cs="Arial"/>
        </w:rPr>
        <w:t xml:space="preserve"> at baseline.  </w:t>
      </w:r>
      <w:r w:rsidRPr="0037437C">
        <w:rPr>
          <w:rFonts w:cs="Arial"/>
        </w:rPr>
        <w:t>T</w:t>
      </w:r>
      <w:r w:rsidR="00920091" w:rsidRPr="0037437C">
        <w:rPr>
          <w:rFonts w:cs="Arial"/>
        </w:rPr>
        <w:t xml:space="preserve">est-retest reliability </w:t>
      </w:r>
      <w:r w:rsidRPr="0037437C">
        <w:rPr>
          <w:rFonts w:cs="Arial"/>
        </w:rPr>
        <w:t xml:space="preserve">was assessed </w:t>
      </w:r>
      <w:r w:rsidR="00920091" w:rsidRPr="0037437C">
        <w:rPr>
          <w:rFonts w:cs="Arial"/>
        </w:rPr>
        <w:t xml:space="preserve">by exploring agreement at the individual level using two-way random effects intraclass correlations between </w:t>
      </w:r>
      <w:r w:rsidR="002F350B" w:rsidRPr="0037437C">
        <w:rPr>
          <w:rFonts w:cs="Arial"/>
        </w:rPr>
        <w:t xml:space="preserve">QPR Intrapersonal, QPR Interpersonal and QPR Total </w:t>
      </w:r>
      <w:r w:rsidR="00920091" w:rsidRPr="0037437C">
        <w:rPr>
          <w:rFonts w:cs="Arial"/>
        </w:rPr>
        <w:t>at baseline and two week</w:t>
      </w:r>
      <w:r w:rsidRPr="0037437C">
        <w:rPr>
          <w:rFonts w:cs="Arial"/>
        </w:rPr>
        <w:t>s</w:t>
      </w:r>
      <w:r w:rsidR="00920091" w:rsidRPr="0037437C">
        <w:rPr>
          <w:rFonts w:cs="Arial"/>
        </w:rPr>
        <w:t>.</w:t>
      </w:r>
      <w:r w:rsidR="00690C2C" w:rsidRPr="0037437C">
        <w:rPr>
          <w:rFonts w:cs="Arial"/>
        </w:rPr>
        <w:t xml:space="preserve"> </w:t>
      </w:r>
      <w:r w:rsidRPr="0037437C">
        <w:rPr>
          <w:rFonts w:cs="Arial"/>
        </w:rPr>
        <w:t>S</w:t>
      </w:r>
      <w:r w:rsidR="00EF7A92" w:rsidRPr="0037437C">
        <w:rPr>
          <w:rFonts w:cs="Arial"/>
        </w:rPr>
        <w:t xml:space="preserve">ensitivity to change was </w:t>
      </w:r>
      <w:r w:rsidR="00EF7A92" w:rsidRPr="0037437C">
        <w:rPr>
          <w:rFonts w:cs="Arial"/>
        </w:rPr>
        <w:lastRenderedPageBreak/>
        <w:t xml:space="preserve">assessed </w:t>
      </w:r>
      <w:r w:rsidRPr="0037437C">
        <w:rPr>
          <w:rFonts w:cs="Arial"/>
        </w:rPr>
        <w:t xml:space="preserve">using </w:t>
      </w:r>
      <w:r w:rsidR="00EF7A92" w:rsidRPr="0037437C">
        <w:rPr>
          <w:rFonts w:cs="Arial"/>
        </w:rPr>
        <w:t xml:space="preserve">the correlation between </w:t>
      </w:r>
      <w:r w:rsidR="002F350B" w:rsidRPr="0037437C">
        <w:rPr>
          <w:rFonts w:cs="Arial"/>
        </w:rPr>
        <w:t xml:space="preserve">QPR Intrapersonal, QPR Interpersonal and QPR Total </w:t>
      </w:r>
      <w:r w:rsidR="00EF7A92" w:rsidRPr="0037437C">
        <w:rPr>
          <w:rFonts w:cs="Arial"/>
        </w:rPr>
        <w:t xml:space="preserve">and WEMWBS change scores </w:t>
      </w:r>
      <w:r w:rsidR="004625F1" w:rsidRPr="0037437C">
        <w:rPr>
          <w:rFonts w:cs="Arial"/>
        </w:rPr>
        <w:t xml:space="preserve">from </w:t>
      </w:r>
      <w:r w:rsidR="00EF7A92" w:rsidRPr="0037437C">
        <w:rPr>
          <w:rFonts w:cs="Arial"/>
        </w:rPr>
        <w:t xml:space="preserve">baseline </w:t>
      </w:r>
      <w:r w:rsidR="004625F1" w:rsidRPr="0037437C">
        <w:rPr>
          <w:rFonts w:cs="Arial"/>
        </w:rPr>
        <w:t xml:space="preserve">to </w:t>
      </w:r>
      <w:r w:rsidR="00EF7A92" w:rsidRPr="0037437C">
        <w:rPr>
          <w:rFonts w:cs="Arial"/>
        </w:rPr>
        <w:t xml:space="preserve">3-month follow-up. </w:t>
      </w:r>
    </w:p>
    <w:p w:rsidR="00920091" w:rsidRPr="0037437C" w:rsidRDefault="00920091" w:rsidP="005723ED">
      <w:pPr>
        <w:spacing w:line="360" w:lineRule="auto"/>
        <w:rPr>
          <w:rFonts w:cs="Arial"/>
        </w:rPr>
      </w:pPr>
    </w:p>
    <w:p w:rsidR="00C17856" w:rsidRPr="0037437C" w:rsidRDefault="00705154" w:rsidP="00BA0227">
      <w:pPr>
        <w:spacing w:line="360" w:lineRule="auto"/>
        <w:jc w:val="both"/>
        <w:rPr>
          <w:rFonts w:cs="Arial"/>
        </w:rPr>
      </w:pPr>
      <w:r w:rsidRPr="0037437C">
        <w:rPr>
          <w:rFonts w:cs="Arial"/>
        </w:rPr>
        <w:t xml:space="preserve">Using </w:t>
      </w:r>
      <w:r w:rsidR="000260EE" w:rsidRPr="0037437C">
        <w:rPr>
          <w:rFonts w:cs="Arial"/>
        </w:rPr>
        <w:t>Dataset 2</w:t>
      </w:r>
      <w:r w:rsidRPr="0037437C">
        <w:rPr>
          <w:rFonts w:cs="Arial"/>
        </w:rPr>
        <w:t>,</w:t>
      </w:r>
      <w:r w:rsidR="00DB7C5F" w:rsidRPr="0037437C">
        <w:rPr>
          <w:rFonts w:cs="Arial"/>
        </w:rPr>
        <w:t xml:space="preserve"> internal consistency was assessed using Cronbach’s alpha. Sensitivity to change was assessed using the </w:t>
      </w:r>
      <w:r w:rsidR="00DF1E1D" w:rsidRPr="0037437C">
        <w:rPr>
          <w:rFonts w:cs="Arial"/>
        </w:rPr>
        <w:t>associat</w:t>
      </w:r>
      <w:r w:rsidR="00DB7C5F" w:rsidRPr="0037437C">
        <w:rPr>
          <w:rFonts w:cs="Arial"/>
        </w:rPr>
        <w:t xml:space="preserve">ion between </w:t>
      </w:r>
      <w:r w:rsidR="002F350B" w:rsidRPr="0037437C">
        <w:rPr>
          <w:rFonts w:cs="Arial"/>
        </w:rPr>
        <w:t xml:space="preserve">QPR Intrapersonal, QPR Interpersonal and QPR Total </w:t>
      </w:r>
      <w:r w:rsidR="00DB7C5F" w:rsidRPr="0037437C">
        <w:rPr>
          <w:rFonts w:cs="Arial"/>
        </w:rPr>
        <w:t>and WEMWBS change scores between baseline and 12-month follow-up.</w:t>
      </w:r>
      <w:r w:rsidR="004625F1" w:rsidRPr="0037437C">
        <w:rPr>
          <w:rFonts w:cs="Arial"/>
        </w:rPr>
        <w:t xml:space="preserve"> </w:t>
      </w:r>
      <w:r w:rsidR="00DF1E1D" w:rsidRPr="0037437C">
        <w:rPr>
          <w:rFonts w:cs="Arial"/>
        </w:rPr>
        <w:t>This was achieved by regressing each QPR scale change score onto the WEMWBS while accounting for clustering at the team level by using the ‘xtmixed’ command with maximum likelihood estimation in Stata 11. Site and study arm were entered as covariates in the model in order to reflect the study design. Prior to conducting the regression analysis, change scores were standardised (mean=0</w:t>
      </w:r>
      <w:r w:rsidR="00401FAE" w:rsidRPr="0037437C">
        <w:rPr>
          <w:rFonts w:cs="Arial"/>
        </w:rPr>
        <w:t xml:space="preserve">, </w:t>
      </w:r>
      <w:r w:rsidR="00DF1E1D" w:rsidRPr="0037437C">
        <w:rPr>
          <w:rFonts w:cs="Arial"/>
        </w:rPr>
        <w:t>SD=1) to obtain a standardised regression coefficient which is equivalent to a regression coefficient.</w:t>
      </w:r>
      <w:r w:rsidR="00DF1E1D" w:rsidRPr="0037437C">
        <w:rPr>
          <w:rFonts w:ascii="Calibri" w:hAnsi="Calibri" w:cs="Arial"/>
        </w:rPr>
        <w:t xml:space="preserve"> </w:t>
      </w:r>
      <w:r w:rsidR="00C17856" w:rsidRPr="0037437C">
        <w:rPr>
          <w:rFonts w:cs="Arial"/>
        </w:rPr>
        <w:t>All analyses were conducted on complete cases using Stata Version 11.</w:t>
      </w:r>
    </w:p>
    <w:p w:rsidR="00C17856" w:rsidRPr="0037437C" w:rsidRDefault="00C17856" w:rsidP="00BA0227">
      <w:pPr>
        <w:spacing w:line="360" w:lineRule="auto"/>
        <w:jc w:val="both"/>
        <w:rPr>
          <w:rFonts w:cs="Arial"/>
        </w:rPr>
      </w:pPr>
    </w:p>
    <w:p w:rsidR="000260EE" w:rsidRPr="0037437C" w:rsidRDefault="00C17856" w:rsidP="00BA0227">
      <w:pPr>
        <w:spacing w:line="360" w:lineRule="auto"/>
        <w:jc w:val="both"/>
        <w:rPr>
          <w:rFonts w:cs="Arial"/>
        </w:rPr>
      </w:pPr>
      <w:r w:rsidRPr="0037437C">
        <w:rPr>
          <w:rFonts w:cs="Arial"/>
        </w:rPr>
        <w:t>Two separate confirmatory factor analyses were conducted to assess t</w:t>
      </w:r>
      <w:r w:rsidR="00687DF2" w:rsidRPr="0037437C">
        <w:rPr>
          <w:rFonts w:cs="Arial"/>
        </w:rPr>
        <w:t xml:space="preserve">he fit </w:t>
      </w:r>
      <w:r w:rsidR="008F71C0" w:rsidRPr="0037437C">
        <w:rPr>
          <w:rFonts w:cs="Arial"/>
        </w:rPr>
        <w:t xml:space="preserve">of baseline data (a) to </w:t>
      </w:r>
      <w:r w:rsidR="00687DF2" w:rsidRPr="0037437C">
        <w:rPr>
          <w:rFonts w:cs="Arial"/>
        </w:rPr>
        <w:t xml:space="preserve">QPR </w:t>
      </w:r>
      <w:r w:rsidR="00705154" w:rsidRPr="0037437C">
        <w:rPr>
          <w:rFonts w:cs="Arial"/>
        </w:rPr>
        <w:t>Total</w:t>
      </w:r>
      <w:r w:rsidRPr="0037437C">
        <w:rPr>
          <w:rFonts w:cs="Arial"/>
        </w:rPr>
        <w:t xml:space="preserve"> </w:t>
      </w:r>
      <w:r w:rsidR="008F71C0" w:rsidRPr="0037437C">
        <w:rPr>
          <w:rFonts w:cs="Arial"/>
        </w:rPr>
        <w:t xml:space="preserve">(using the one-factor </w:t>
      </w:r>
      <w:r w:rsidRPr="0037437C">
        <w:rPr>
          <w:rFonts w:cs="Arial"/>
        </w:rPr>
        <w:t xml:space="preserve">solution </w:t>
      </w:r>
      <w:r w:rsidR="008F71C0" w:rsidRPr="0037437C">
        <w:rPr>
          <w:rFonts w:cs="Arial"/>
        </w:rPr>
        <w:t xml:space="preserve">previously identified </w:t>
      </w:r>
      <w:r w:rsidR="00835778" w:rsidRPr="0037437C">
        <w:rPr>
          <w:rFonts w:cs="Arial"/>
        </w:rPr>
        <w:fldChar w:fldCharType="begin"/>
      </w:r>
      <w:r w:rsidR="001319AA" w:rsidRPr="0037437C">
        <w:rPr>
          <w:rFonts w:cs="Arial"/>
        </w:rPr>
        <w:instrText xml:space="preserve"> ADDIN EN.CITE &lt;EndNote&gt;&lt;Cite&gt;&lt;Author&gt;Law&lt;/Author&gt;&lt;Year&gt;2014&lt;/Year&gt;&lt;RecNum&gt;413&lt;/RecNum&gt;&lt;DisplayText&gt;(8)&lt;/DisplayText&gt;&lt;record&gt;&lt;rec-number&gt;413&lt;/rec-number&gt;&lt;foreign-keys&gt;&lt;key app="EN" db-id="v9pf5rezaaedx8e552iv20572t5tt95drwf5"&gt;413&lt;/key&gt;&lt;/foreign-keys&gt;&lt;ref-type name="Journal Article"&gt;17&lt;/ref-type&gt;&lt;contributors&gt;&lt;authors&gt;&lt;author&gt;Law, H.&lt;/author&gt;&lt;author&gt;Neil, S.&lt;/author&gt;&lt;author&gt;Dunn, G.&lt;/author&gt;&lt;author&gt;Morrison, A.&lt;/author&gt;&lt;/authors&gt;&lt;/contributors&gt;&lt;titles&gt;&lt;title&gt;Psychometric Properties of the Questionnaire about the Process of Recovery (QPR)&lt;/title&gt;&lt;secondary-title&gt;Schizophrenia Research&lt;/secondary-title&gt;&lt;/titles&gt;&lt;periodical&gt;&lt;full-title&gt;Schizophrenia Research&lt;/full-title&gt;&lt;/periodical&gt;&lt;dates&gt;&lt;year&gt;2014&lt;/year&gt;&lt;/dates&gt;&lt;urls&gt;&lt;/urls&gt;&lt;/record&gt;&lt;/Cite&gt;&lt;/EndNote&gt;</w:instrText>
      </w:r>
      <w:r w:rsidR="00835778" w:rsidRPr="0037437C">
        <w:rPr>
          <w:rFonts w:cs="Arial"/>
        </w:rPr>
        <w:fldChar w:fldCharType="separate"/>
      </w:r>
      <w:r w:rsidR="001319AA" w:rsidRPr="0037437C">
        <w:rPr>
          <w:rFonts w:cs="Arial"/>
          <w:noProof/>
        </w:rPr>
        <w:t>(</w:t>
      </w:r>
      <w:hyperlink w:anchor="_ENREF_8" w:tooltip="Law, 2014 #413" w:history="1">
        <w:r w:rsidR="00FA0BC2" w:rsidRPr="0037437C">
          <w:rPr>
            <w:rFonts w:cs="Arial"/>
            <w:noProof/>
          </w:rPr>
          <w:t>8</w:t>
        </w:r>
      </w:hyperlink>
      <w:r w:rsidR="001319AA" w:rsidRPr="0037437C">
        <w:rPr>
          <w:rFonts w:cs="Arial"/>
          <w:noProof/>
        </w:rPr>
        <w:t>)</w:t>
      </w:r>
      <w:r w:rsidR="00835778" w:rsidRPr="0037437C">
        <w:rPr>
          <w:rFonts w:cs="Arial"/>
        </w:rPr>
        <w:fldChar w:fldCharType="end"/>
      </w:r>
      <w:r w:rsidR="001319AA" w:rsidRPr="0037437C">
        <w:rPr>
          <w:rFonts w:cs="Arial"/>
        </w:rPr>
        <w:t>, a</w:t>
      </w:r>
      <w:r w:rsidR="008F71C0" w:rsidRPr="0037437C">
        <w:rPr>
          <w:rFonts w:cs="Arial"/>
        </w:rPr>
        <w:t xml:space="preserve">nd (b) to </w:t>
      </w:r>
      <w:r w:rsidR="004625F1" w:rsidRPr="0037437C">
        <w:rPr>
          <w:rFonts w:cs="Arial"/>
        </w:rPr>
        <w:t xml:space="preserve">QPR </w:t>
      </w:r>
      <w:r w:rsidR="00705154" w:rsidRPr="0037437C">
        <w:rPr>
          <w:rFonts w:cs="Arial"/>
        </w:rPr>
        <w:t>I</w:t>
      </w:r>
      <w:r w:rsidR="00687DF2" w:rsidRPr="0037437C">
        <w:rPr>
          <w:rFonts w:cs="Arial"/>
        </w:rPr>
        <w:t xml:space="preserve">nterpersonal and </w:t>
      </w:r>
      <w:r w:rsidR="004625F1" w:rsidRPr="0037437C">
        <w:rPr>
          <w:rFonts w:cs="Arial"/>
        </w:rPr>
        <w:t xml:space="preserve">QPR </w:t>
      </w:r>
      <w:r w:rsidR="00705154" w:rsidRPr="0037437C">
        <w:rPr>
          <w:rFonts w:cs="Arial"/>
        </w:rPr>
        <w:t>Intrapersonal</w:t>
      </w:r>
      <w:r w:rsidR="008F71C0" w:rsidRPr="0037437C">
        <w:rPr>
          <w:rFonts w:cs="Arial"/>
        </w:rPr>
        <w:t xml:space="preserve"> (using the 2-factor solution previously identified </w:t>
      </w:r>
      <w:r w:rsidR="00835778" w:rsidRPr="0037437C">
        <w:rPr>
          <w:rFonts w:cs="Arial"/>
        </w:rPr>
        <w:fldChar w:fldCharType="begin"/>
      </w:r>
      <w:r w:rsidR="001319AA" w:rsidRPr="0037437C">
        <w:rPr>
          <w:rFonts w:cs="Arial"/>
        </w:rPr>
        <w:instrText xml:space="preserve"> ADDIN EN.CITE &lt;EndNote&gt;&lt;Cite&gt;&lt;Author&gt;Neil&lt;/Author&gt;&lt;Year&gt;2009&lt;/Year&gt;&lt;RecNum&gt;78&lt;/RecNum&gt;&lt;DisplayText&gt;(7)&lt;/DisplayText&gt;&lt;record&gt;&lt;rec-number&gt;78&lt;/rec-number&gt;&lt;foreign-keys&gt;&lt;key app="EN" db-id="v9pf5rezaaedx8e552iv20572t5tt95drwf5"&gt;78&lt;/key&gt;&lt;/foreign-keys&gt;&lt;ref-type name="Journal Article"&gt;17&lt;/ref-type&gt;&lt;contributors&gt;&lt;authors&gt;&lt;author&gt;Neil, S. &lt;/author&gt;&lt;author&gt;Kilbride, M.&lt;/author&gt;&lt;author&gt;Pitt, L.&lt;/author&gt;&lt;author&gt;Nothard, S.&lt;/author&gt;&lt;author&gt;Welford, M.&lt;/author&gt;&lt;author&gt;Sellwood, W.&lt;/author&gt;&lt;author&gt;Morrison, A. &lt;/author&gt;&lt;/authors&gt;&lt;/contributors&gt;&lt;titles&gt;&lt;title&gt;The questionnaire about the process of recovery (QPR): A measurement tool developed in collaboration with service users&lt;/title&gt;&lt;secondary-title&gt;Psychosis&lt;/secondary-title&gt;&lt;/titles&gt;&lt;periodical&gt;&lt;full-title&gt;Psychosis&lt;/full-title&gt;&lt;/periodical&gt;&lt;pages&gt;1-11&lt;/pages&gt;&lt;volume&gt;1&lt;/volume&gt;&lt;reprint-edition&gt;NOT IN FILE&lt;/reprint-edition&gt;&lt;dates&gt;&lt;year&gt;2009&lt;/year&gt;&lt;/dates&gt;&lt;urls&gt;&lt;/urls&gt;&lt;/record&gt;&lt;/Cite&gt;&lt;/EndNote&gt;</w:instrText>
      </w:r>
      <w:r w:rsidR="00835778" w:rsidRPr="0037437C">
        <w:rPr>
          <w:rFonts w:cs="Arial"/>
        </w:rPr>
        <w:fldChar w:fldCharType="separate"/>
      </w:r>
      <w:r w:rsidR="001319AA" w:rsidRPr="0037437C">
        <w:rPr>
          <w:rFonts w:cs="Arial"/>
          <w:noProof/>
        </w:rPr>
        <w:t>(</w:t>
      </w:r>
      <w:hyperlink w:anchor="_ENREF_7" w:tooltip="Neil, 2009 #78" w:history="1">
        <w:r w:rsidR="00FA0BC2" w:rsidRPr="0037437C">
          <w:rPr>
            <w:rFonts w:cs="Arial"/>
            <w:noProof/>
          </w:rPr>
          <w:t>7</w:t>
        </w:r>
      </w:hyperlink>
      <w:r w:rsidR="001319AA" w:rsidRPr="0037437C">
        <w:rPr>
          <w:rFonts w:cs="Arial"/>
          <w:noProof/>
        </w:rPr>
        <w:t>)</w:t>
      </w:r>
      <w:r w:rsidR="00835778" w:rsidRPr="0037437C">
        <w:rPr>
          <w:rFonts w:cs="Arial"/>
        </w:rPr>
        <w:fldChar w:fldCharType="end"/>
      </w:r>
      <w:r w:rsidR="001319AA" w:rsidRPr="0037437C">
        <w:rPr>
          <w:rFonts w:cs="Arial"/>
        </w:rPr>
        <w:t>.</w:t>
      </w:r>
      <w:r w:rsidR="00687DF2" w:rsidRPr="0037437C">
        <w:rPr>
          <w:rFonts w:cs="Arial"/>
        </w:rPr>
        <w:t xml:space="preserve"> </w:t>
      </w:r>
      <w:r w:rsidR="00705154" w:rsidRPr="0037437C">
        <w:rPr>
          <w:rFonts w:cs="Arial"/>
        </w:rPr>
        <w:t xml:space="preserve">The CFA </w:t>
      </w:r>
      <w:r w:rsidRPr="0037437C">
        <w:rPr>
          <w:rFonts w:cs="Arial"/>
        </w:rPr>
        <w:t>analyses were</w:t>
      </w:r>
      <w:r w:rsidR="00B92F0E" w:rsidRPr="0037437C">
        <w:rPr>
          <w:rFonts w:cs="Arial"/>
        </w:rPr>
        <w:t xml:space="preserve"> </w:t>
      </w:r>
      <w:r w:rsidR="00705154" w:rsidRPr="0037437C">
        <w:rPr>
          <w:rFonts w:cs="Arial"/>
        </w:rPr>
        <w:t xml:space="preserve">conducted in Mplus 7.2 using the weighted least squares mean variance (WLSMV) estimator </w:t>
      </w:r>
      <w:r w:rsidR="00835778" w:rsidRPr="0037437C">
        <w:rPr>
          <w:rFonts w:cs="Arial"/>
        </w:rPr>
        <w:fldChar w:fldCharType="begin"/>
      </w:r>
      <w:r w:rsidR="0069691C" w:rsidRPr="0037437C">
        <w:rPr>
          <w:rFonts w:cs="Arial"/>
        </w:rPr>
        <w:instrText xml:space="preserve"> ADDIN EN.CITE &lt;EndNote&gt;&lt;Cite&gt;&lt;Author&gt;Muthén&lt;/Author&gt;&lt;Year&gt;1998-2011&lt;/Year&gt;&lt;RecNum&gt;487&lt;/RecNum&gt;&lt;DisplayText&gt;(13)&lt;/DisplayText&gt;&lt;record&gt;&lt;rec-number&gt;487&lt;/rec-number&gt;&lt;foreign-keys&gt;&lt;key app="EN" db-id="v9pf5rezaaedx8e552iv20572t5tt95drwf5"&gt;487&lt;/key&gt;&lt;/foreign-keys&gt;&lt;ref-type name="Computer Program"&gt;9&lt;/ref-type&gt;&lt;contributors&gt;&lt;authors&gt;&lt;author&gt;Muthén, LK.&lt;/author&gt;&lt;author&gt;Muthén, BO.&lt;/author&gt;&lt;/authors&gt;&lt;/contributors&gt;&lt;titles&gt;&lt;title&gt;Mplus User&amp;apos;s Guide&lt;/title&gt;&lt;/titles&gt;&lt;dates&gt;&lt;year&gt;1998-2011&lt;/year&gt;&lt;/dates&gt;&lt;pub-location&gt;Los Angeles&lt;/pub-location&gt;&lt;publisher&gt;Muthén and Muthén&lt;/publisher&gt;&lt;urls&gt;&lt;/urls&gt;&lt;/record&gt;&lt;/Cite&gt;&lt;/EndNote&gt;</w:instrText>
      </w:r>
      <w:r w:rsidR="00835778" w:rsidRPr="0037437C">
        <w:rPr>
          <w:rFonts w:cs="Arial"/>
        </w:rPr>
        <w:fldChar w:fldCharType="separate"/>
      </w:r>
      <w:r w:rsidR="0069691C" w:rsidRPr="0037437C">
        <w:rPr>
          <w:rFonts w:cs="Arial"/>
          <w:noProof/>
        </w:rPr>
        <w:t>(</w:t>
      </w:r>
      <w:hyperlink w:anchor="_ENREF_13" w:tooltip="Muthén, 1998-2011 #487" w:history="1">
        <w:r w:rsidR="00FA0BC2" w:rsidRPr="0037437C">
          <w:rPr>
            <w:rFonts w:cs="Arial"/>
            <w:noProof/>
          </w:rPr>
          <w:t>13</w:t>
        </w:r>
      </w:hyperlink>
      <w:r w:rsidR="0069691C" w:rsidRPr="0037437C">
        <w:rPr>
          <w:rFonts w:cs="Arial"/>
          <w:noProof/>
        </w:rPr>
        <w:t>)</w:t>
      </w:r>
      <w:r w:rsidR="00835778" w:rsidRPr="0037437C">
        <w:rPr>
          <w:rFonts w:cs="Arial"/>
        </w:rPr>
        <w:fldChar w:fldCharType="end"/>
      </w:r>
      <w:r w:rsidR="004625F1" w:rsidRPr="0037437C">
        <w:rPr>
          <w:rFonts w:cs="Arial"/>
        </w:rPr>
        <w:t xml:space="preserve">, </w:t>
      </w:r>
      <w:r w:rsidR="00705154" w:rsidRPr="0037437C">
        <w:rPr>
          <w:rFonts w:cs="Arial"/>
        </w:rPr>
        <w:t>taking into account cluster</w:t>
      </w:r>
      <w:r w:rsidR="00DF1E1D" w:rsidRPr="0037437C">
        <w:rPr>
          <w:rFonts w:cs="Arial"/>
        </w:rPr>
        <w:t>ing at the team level and adjusting the model for NHS Trust as this captures the study design.</w:t>
      </w:r>
      <w:r w:rsidR="00705154" w:rsidRPr="0037437C">
        <w:rPr>
          <w:rFonts w:cs="Arial"/>
        </w:rPr>
        <w:t xml:space="preserve"> </w:t>
      </w:r>
      <w:r w:rsidR="004625F1" w:rsidRPr="0037437C">
        <w:rPr>
          <w:rFonts w:cs="Arial"/>
        </w:rPr>
        <w:t>G</w:t>
      </w:r>
      <w:r w:rsidR="00705154" w:rsidRPr="0037437C">
        <w:rPr>
          <w:rFonts w:cs="Arial"/>
        </w:rPr>
        <w:t>oodness of fit</w:t>
      </w:r>
      <w:r w:rsidR="004625F1" w:rsidRPr="0037437C">
        <w:rPr>
          <w:rFonts w:cs="Arial"/>
        </w:rPr>
        <w:t xml:space="preserve"> was assessed using several </w:t>
      </w:r>
      <w:r w:rsidR="00705154" w:rsidRPr="0037437C">
        <w:rPr>
          <w:rFonts w:cs="Arial"/>
        </w:rPr>
        <w:t xml:space="preserve">fit indices: </w:t>
      </w:r>
      <w:r w:rsidR="00705154" w:rsidRPr="0037437C">
        <w:rPr>
          <w:rFonts w:cs="Arial"/>
        </w:rPr>
        <w:sym w:font="Symbol" w:char="F063"/>
      </w:r>
      <w:r w:rsidR="00705154" w:rsidRPr="0037437C">
        <w:rPr>
          <w:rFonts w:cs="Arial"/>
        </w:rPr>
        <w:t>2</w:t>
      </w:r>
      <w:r w:rsidR="004625F1" w:rsidRPr="0037437C">
        <w:rPr>
          <w:rFonts w:cs="Arial"/>
        </w:rPr>
        <w:t xml:space="preserve"> </w:t>
      </w:r>
      <w:r w:rsidR="00705154" w:rsidRPr="0037437C">
        <w:rPr>
          <w:rFonts w:cs="Arial"/>
        </w:rPr>
        <w:t xml:space="preserve">(p&gt;.05), Root Mean Square Error of Approximation (RMSEA&lt;.06), Tucker-Lewis Index (TLI &gt;.95) and Comparative Fit Index (CFI &gt;.95). </w:t>
      </w:r>
    </w:p>
    <w:p w:rsidR="00A14E5F" w:rsidRPr="0037437C" w:rsidRDefault="00A14E5F" w:rsidP="005723ED">
      <w:pPr>
        <w:spacing w:line="360" w:lineRule="auto"/>
        <w:rPr>
          <w:rFonts w:cs="Arial"/>
        </w:rPr>
      </w:pPr>
    </w:p>
    <w:p w:rsidR="00B30BAC" w:rsidRPr="0037437C" w:rsidRDefault="00B30BAC" w:rsidP="00B624C6">
      <w:pPr>
        <w:spacing w:line="360" w:lineRule="auto"/>
        <w:rPr>
          <w:rFonts w:cs="Arial"/>
        </w:rPr>
      </w:pPr>
    </w:p>
    <w:p w:rsidR="00D002E7" w:rsidRPr="0037437C" w:rsidRDefault="00D002E7" w:rsidP="00B30BAC">
      <w:pPr>
        <w:rPr>
          <w:b/>
        </w:rPr>
      </w:pPr>
      <w:r w:rsidRPr="0037437C">
        <w:rPr>
          <w:b/>
        </w:rPr>
        <w:t>Results</w:t>
      </w:r>
    </w:p>
    <w:p w:rsidR="00B72A74" w:rsidRPr="0037437C" w:rsidRDefault="00B72A74" w:rsidP="00B72A74"/>
    <w:p w:rsidR="000D6944" w:rsidRPr="0037437C" w:rsidRDefault="000D6944" w:rsidP="00E033FC">
      <w:pPr>
        <w:rPr>
          <w:i/>
        </w:rPr>
      </w:pPr>
      <w:r w:rsidRPr="0037437C">
        <w:rPr>
          <w:i/>
        </w:rPr>
        <w:t>Participants</w:t>
      </w:r>
    </w:p>
    <w:p w:rsidR="001D7499" w:rsidRPr="0037437C" w:rsidRDefault="001D7499" w:rsidP="00E033FC">
      <w:pPr>
        <w:rPr>
          <w:i/>
        </w:rPr>
      </w:pPr>
    </w:p>
    <w:p w:rsidR="001D7499" w:rsidRPr="0037437C" w:rsidRDefault="004625F1" w:rsidP="00BA0227">
      <w:pPr>
        <w:spacing w:line="360" w:lineRule="auto"/>
      </w:pPr>
      <w:r w:rsidRPr="0037437C">
        <w:t>D</w:t>
      </w:r>
      <w:r w:rsidR="001D7499" w:rsidRPr="0037437C">
        <w:t>emographics</w:t>
      </w:r>
      <w:r w:rsidR="00AE452F" w:rsidRPr="0037437C">
        <w:t xml:space="preserve"> and QPR scores </w:t>
      </w:r>
      <w:r w:rsidR="001D7499" w:rsidRPr="0037437C">
        <w:t xml:space="preserve">for </w:t>
      </w:r>
      <w:r w:rsidR="00AE452F" w:rsidRPr="0037437C">
        <w:t>both</w:t>
      </w:r>
      <w:r w:rsidR="001D7499" w:rsidRPr="0037437C">
        <w:t xml:space="preserve"> </w:t>
      </w:r>
      <w:r w:rsidRPr="0037437C">
        <w:t xml:space="preserve">samples </w:t>
      </w:r>
      <w:r w:rsidR="001D7499" w:rsidRPr="0037437C">
        <w:t>are shown in Table 1.</w:t>
      </w:r>
    </w:p>
    <w:p w:rsidR="001D7499" w:rsidRPr="0037437C" w:rsidRDefault="001D7499" w:rsidP="00C5348D">
      <w:pPr>
        <w:spacing w:line="360" w:lineRule="auto"/>
      </w:pPr>
    </w:p>
    <w:p w:rsidR="003D09B0" w:rsidRPr="0037437C" w:rsidRDefault="00583A0B" w:rsidP="00C5348D">
      <w:pPr>
        <w:spacing w:line="360" w:lineRule="auto"/>
        <w:jc w:val="center"/>
        <w:rPr>
          <w:i/>
        </w:rPr>
      </w:pPr>
      <w:r w:rsidRPr="0037437C">
        <w:rPr>
          <w:i/>
        </w:rPr>
        <w:t>Insert Table 1 here</w:t>
      </w:r>
    </w:p>
    <w:p w:rsidR="00D0382E" w:rsidRPr="0037437C" w:rsidRDefault="00D0382E" w:rsidP="004625F1">
      <w:pPr>
        <w:spacing w:line="360" w:lineRule="auto"/>
      </w:pPr>
    </w:p>
    <w:p w:rsidR="003D09B0" w:rsidRPr="0037437C" w:rsidRDefault="00BE6BEB" w:rsidP="004625F1">
      <w:pPr>
        <w:spacing w:line="360" w:lineRule="auto"/>
      </w:pPr>
      <w:r w:rsidRPr="0037437C">
        <w:lastRenderedPageBreak/>
        <w:t>The two samples did not differ in sociodemographic characteristics</w:t>
      </w:r>
      <w:r w:rsidR="00B46910" w:rsidRPr="0037437C">
        <w:t>,</w:t>
      </w:r>
      <w:r w:rsidRPr="0037437C">
        <w:t xml:space="preserve"> </w:t>
      </w:r>
      <w:r w:rsidR="00B46910" w:rsidRPr="0037437C">
        <w:t>other than Dataset 1 had a higher number of participan</w:t>
      </w:r>
      <w:r w:rsidR="008938F8" w:rsidRPr="0037437C">
        <w:t>ts from Black ethnic background</w:t>
      </w:r>
      <w:r w:rsidR="00B46910" w:rsidRPr="0037437C">
        <w:t xml:space="preserve"> </w:t>
      </w:r>
      <w:r w:rsidRPr="0037437C">
        <w:t>(</w:t>
      </w:r>
      <w:r w:rsidRPr="0037437C">
        <w:sym w:font="Symbol" w:char="F063"/>
      </w:r>
      <w:r w:rsidRPr="0037437C">
        <w:rPr>
          <w:vertAlign w:val="superscript"/>
        </w:rPr>
        <w:t>2</w:t>
      </w:r>
      <w:r w:rsidRPr="0037437C">
        <w:rPr>
          <w:vertAlign w:val="subscript"/>
        </w:rPr>
        <w:t>(2)</w:t>
      </w:r>
      <w:r w:rsidRPr="0037437C">
        <w:t xml:space="preserve">= 10.7, p=.005). </w:t>
      </w:r>
    </w:p>
    <w:p w:rsidR="00F740EC" w:rsidRPr="0037437C" w:rsidRDefault="00F740EC" w:rsidP="004625F1">
      <w:pPr>
        <w:spacing w:line="360" w:lineRule="auto"/>
      </w:pPr>
    </w:p>
    <w:p w:rsidR="001E7D79" w:rsidRPr="0037437C" w:rsidRDefault="001E7D79" w:rsidP="001E7D79">
      <w:pPr>
        <w:spacing w:line="360" w:lineRule="auto"/>
        <w:rPr>
          <w:i/>
        </w:rPr>
      </w:pPr>
      <w:r w:rsidRPr="0037437C">
        <w:rPr>
          <w:i/>
        </w:rPr>
        <w:t>Convergent validity</w:t>
      </w:r>
    </w:p>
    <w:p w:rsidR="001E7D79" w:rsidRPr="0037437C" w:rsidRDefault="00AB66C3" w:rsidP="001E7D79">
      <w:pPr>
        <w:spacing w:line="360" w:lineRule="auto"/>
        <w:jc w:val="both"/>
        <w:rPr>
          <w:i/>
        </w:rPr>
      </w:pPr>
      <w:r w:rsidRPr="0037437C">
        <w:t>I</w:t>
      </w:r>
      <w:r w:rsidR="00B92F0E" w:rsidRPr="0037437C">
        <w:t xml:space="preserve">n </w:t>
      </w:r>
      <w:r w:rsidR="001D3C93" w:rsidRPr="0037437C">
        <w:t>Dataset 1 (n=76)</w:t>
      </w:r>
      <w:r w:rsidR="00B92F0E" w:rsidRPr="0037437C">
        <w:t xml:space="preserve">, the baseline RAS score </w:t>
      </w:r>
      <w:r w:rsidR="001D3C93" w:rsidRPr="0037437C">
        <w:t>was</w:t>
      </w:r>
      <w:r w:rsidR="001E7D79" w:rsidRPr="0037437C">
        <w:t xml:space="preserve"> positively correlated with </w:t>
      </w:r>
      <w:r w:rsidR="00B92F0E" w:rsidRPr="0037437C">
        <w:t xml:space="preserve">baseline </w:t>
      </w:r>
      <w:r w:rsidR="001E7D79" w:rsidRPr="0037437C">
        <w:t>QPR Interpersonal (</w:t>
      </w:r>
      <w:r w:rsidR="00DF1E1D" w:rsidRPr="0037437C">
        <w:t>r=</w:t>
      </w:r>
      <w:r w:rsidR="001E7D79" w:rsidRPr="0037437C">
        <w:t xml:space="preserve">0.46, </w:t>
      </w:r>
      <w:r w:rsidR="00DF1E1D" w:rsidRPr="0037437C">
        <w:t xml:space="preserve">95% CI: 0.26 to 0.67, </w:t>
      </w:r>
      <w:r w:rsidR="001E7D79" w:rsidRPr="0037437C">
        <w:t>p&lt;0.001), QPR Intrapersonal (</w:t>
      </w:r>
      <w:r w:rsidR="00DF1E1D" w:rsidRPr="0037437C">
        <w:t>r=</w:t>
      </w:r>
      <w:r w:rsidR="001E7D79" w:rsidRPr="0037437C">
        <w:t xml:space="preserve">0.75, </w:t>
      </w:r>
      <w:r w:rsidR="00DF1E1D" w:rsidRPr="0037437C">
        <w:t xml:space="preserve">95% CI 0.63 to 0.83, , </w:t>
      </w:r>
      <w:r w:rsidR="001E7D79" w:rsidRPr="0037437C">
        <w:t>p&lt;0.001) and QPR Total (</w:t>
      </w:r>
      <w:r w:rsidR="00DF1E1D" w:rsidRPr="0037437C">
        <w:t>r=</w:t>
      </w:r>
      <w:r w:rsidR="001E7D79" w:rsidRPr="0037437C">
        <w:t xml:space="preserve">0.73, </w:t>
      </w:r>
      <w:r w:rsidR="00DF1E1D" w:rsidRPr="0037437C">
        <w:t xml:space="preserve">95% CI O.61 to 0.82, </w:t>
      </w:r>
      <w:r w:rsidR="001E7D79" w:rsidRPr="0037437C">
        <w:t>p&lt;0.001)</w:t>
      </w:r>
      <w:r w:rsidR="001D3C93" w:rsidRPr="0037437C">
        <w:t xml:space="preserve">, indicating </w:t>
      </w:r>
      <w:r w:rsidR="001E7D79" w:rsidRPr="0037437C">
        <w:t>adequate convergent validity for each s</w:t>
      </w:r>
      <w:r w:rsidR="00F740EC" w:rsidRPr="0037437C">
        <w:t>cale</w:t>
      </w:r>
      <w:r w:rsidR="001E7D79" w:rsidRPr="0037437C">
        <w:t>.</w:t>
      </w:r>
    </w:p>
    <w:p w:rsidR="001E7D79" w:rsidRPr="0037437C" w:rsidRDefault="001E7D79" w:rsidP="001E7D79">
      <w:pPr>
        <w:spacing w:line="360" w:lineRule="auto"/>
        <w:rPr>
          <w:i/>
        </w:rPr>
      </w:pPr>
    </w:p>
    <w:p w:rsidR="001F1202" w:rsidRPr="0037437C" w:rsidRDefault="001F1202" w:rsidP="001F1202">
      <w:pPr>
        <w:spacing w:line="360" w:lineRule="auto"/>
        <w:rPr>
          <w:i/>
        </w:rPr>
      </w:pPr>
      <w:r w:rsidRPr="0037437C">
        <w:rPr>
          <w:i/>
        </w:rPr>
        <w:t>Test-retest reliability</w:t>
      </w:r>
    </w:p>
    <w:p w:rsidR="001F1202" w:rsidRPr="0037437C" w:rsidRDefault="001F1202" w:rsidP="001F1202">
      <w:pPr>
        <w:spacing w:line="360" w:lineRule="auto"/>
        <w:jc w:val="both"/>
      </w:pPr>
      <w:r w:rsidRPr="0037437C">
        <w:t>Intraclass-correlations in Dataset 1 (n-91) betw</w:t>
      </w:r>
      <w:r w:rsidR="00122E91" w:rsidRPr="0037437C">
        <w:t xml:space="preserve">een baseline and two weeks was </w:t>
      </w:r>
      <w:r w:rsidR="00B81E3D" w:rsidRPr="0037437C">
        <w:t>‘</w:t>
      </w:r>
      <w:r w:rsidRPr="0037437C">
        <w:t>good</w:t>
      </w:r>
      <w:r w:rsidR="00B81E3D" w:rsidRPr="0037437C">
        <w:t>’</w:t>
      </w:r>
      <w:r w:rsidRPr="0037437C">
        <w:t xml:space="preserve"> for QPR Interpersonal (</w:t>
      </w:r>
      <w:r w:rsidR="00DF1E1D" w:rsidRPr="0037437C">
        <w:t>ICC=</w:t>
      </w:r>
      <w:r w:rsidRPr="0037437C">
        <w:t>0.66, 95%CI: 0.53 to 0.77) and QPR Intrapersonal (</w:t>
      </w:r>
      <w:r w:rsidR="00DF1E1D" w:rsidRPr="0037437C">
        <w:t>ICC=</w:t>
      </w:r>
      <w:r w:rsidRPr="0037437C">
        <w:t>0.75, 95%CI: 0.64 to 0.83), and ‘fair to good’ for QPR Total (</w:t>
      </w:r>
      <w:r w:rsidR="00DF1E1D" w:rsidRPr="0037437C">
        <w:t>ICC=</w:t>
      </w:r>
      <w:r w:rsidRPr="0037437C">
        <w:t>0.74, 95%CI: 0.63 to 0.82).</w:t>
      </w:r>
    </w:p>
    <w:p w:rsidR="001F1202" w:rsidRPr="0037437C" w:rsidRDefault="001F1202" w:rsidP="001E7D79">
      <w:pPr>
        <w:spacing w:line="360" w:lineRule="auto"/>
        <w:rPr>
          <w:i/>
        </w:rPr>
      </w:pPr>
    </w:p>
    <w:p w:rsidR="00B2171C" w:rsidRPr="0037437C" w:rsidRDefault="00B2171C" w:rsidP="00B2171C">
      <w:pPr>
        <w:spacing w:line="360" w:lineRule="auto"/>
        <w:rPr>
          <w:i/>
        </w:rPr>
      </w:pPr>
      <w:r w:rsidRPr="0037437C">
        <w:rPr>
          <w:i/>
        </w:rPr>
        <w:t>Sensitivity to change</w:t>
      </w:r>
    </w:p>
    <w:p w:rsidR="00DB7C5F" w:rsidRPr="0037437C" w:rsidRDefault="00D54A8C" w:rsidP="001D3C93">
      <w:pPr>
        <w:spacing w:line="360" w:lineRule="auto"/>
        <w:jc w:val="both"/>
      </w:pPr>
      <w:r w:rsidRPr="0037437C">
        <w:t>The sensitivity to change of QPR was tested using WEMWBS as a comparator, as shown in Table 2.</w:t>
      </w:r>
    </w:p>
    <w:p w:rsidR="00ED411F" w:rsidRPr="0037437C" w:rsidRDefault="00ED411F" w:rsidP="00ED411F">
      <w:pPr>
        <w:spacing w:line="360" w:lineRule="auto"/>
        <w:jc w:val="center"/>
      </w:pPr>
    </w:p>
    <w:p w:rsidR="00ED411F" w:rsidRPr="0037437C" w:rsidRDefault="00ED411F" w:rsidP="00ED411F">
      <w:pPr>
        <w:spacing w:line="360" w:lineRule="auto"/>
        <w:jc w:val="center"/>
        <w:rPr>
          <w:i/>
        </w:rPr>
      </w:pPr>
      <w:r w:rsidRPr="0037437C">
        <w:rPr>
          <w:i/>
        </w:rPr>
        <w:t>Insert Table 2 here</w:t>
      </w:r>
    </w:p>
    <w:p w:rsidR="001F1202" w:rsidRPr="0037437C" w:rsidRDefault="001F1202" w:rsidP="001D3C93">
      <w:pPr>
        <w:spacing w:line="360" w:lineRule="auto"/>
        <w:jc w:val="both"/>
      </w:pPr>
    </w:p>
    <w:p w:rsidR="00D54A8C" w:rsidRPr="0037437C" w:rsidRDefault="00D54A8C" w:rsidP="001D3C93">
      <w:pPr>
        <w:spacing w:line="360" w:lineRule="auto"/>
        <w:jc w:val="both"/>
      </w:pPr>
      <w:r w:rsidRPr="0037437C">
        <w:t>Sensitivity to change in both datasets was moderate for QPR Intrapersonal and QPR Total, and low for QPR Interpersonal.</w:t>
      </w:r>
    </w:p>
    <w:p w:rsidR="00D54A8C" w:rsidRPr="0037437C" w:rsidRDefault="00D54A8C" w:rsidP="001D3C93">
      <w:pPr>
        <w:spacing w:line="360" w:lineRule="auto"/>
        <w:jc w:val="both"/>
      </w:pPr>
    </w:p>
    <w:p w:rsidR="001F1202" w:rsidRPr="0037437C" w:rsidRDefault="001F1202" w:rsidP="001F1202">
      <w:pPr>
        <w:spacing w:line="360" w:lineRule="auto"/>
        <w:rPr>
          <w:i/>
        </w:rPr>
      </w:pPr>
      <w:r w:rsidRPr="0037437C">
        <w:rPr>
          <w:i/>
        </w:rPr>
        <w:t>Internal consistency</w:t>
      </w:r>
    </w:p>
    <w:p w:rsidR="001F1202" w:rsidRPr="0037437C" w:rsidRDefault="001F1202" w:rsidP="001F1202">
      <w:pPr>
        <w:spacing w:line="360" w:lineRule="auto"/>
      </w:pPr>
      <w:r w:rsidRPr="0037437C">
        <w:t xml:space="preserve">Cronbach’s alpha coefficients for baseline scores </w:t>
      </w:r>
      <w:r w:rsidR="00122E91" w:rsidRPr="0037437C">
        <w:t xml:space="preserve">in Dataset 2 (n=399) indicated </w:t>
      </w:r>
      <w:r w:rsidRPr="0037437C">
        <w:t xml:space="preserve">excellent internal consistency for QPR Total (α=0.89) and </w:t>
      </w:r>
      <w:r w:rsidR="00122E91" w:rsidRPr="0037437C">
        <w:t xml:space="preserve">the </w:t>
      </w:r>
      <w:r w:rsidRPr="0037437C">
        <w:t xml:space="preserve">QPR Intrapersonal </w:t>
      </w:r>
      <w:r w:rsidR="00122E91" w:rsidRPr="0037437C">
        <w:t xml:space="preserve">sub-scale </w:t>
      </w:r>
      <w:r w:rsidRPr="0037437C">
        <w:t>(α=0.90)</w:t>
      </w:r>
      <w:r w:rsidR="00122E91" w:rsidRPr="0037437C">
        <w:t xml:space="preserve">. </w:t>
      </w:r>
      <w:r w:rsidR="00B81E3D" w:rsidRPr="0037437C">
        <w:t>However</w:t>
      </w:r>
      <w:r w:rsidR="00122E91" w:rsidRPr="0037437C">
        <w:t xml:space="preserve">, internal consistency for </w:t>
      </w:r>
      <w:r w:rsidR="00B81E3D" w:rsidRPr="0037437C">
        <w:t xml:space="preserve">QPR </w:t>
      </w:r>
      <w:r w:rsidRPr="0037437C">
        <w:t xml:space="preserve">Interpersonal </w:t>
      </w:r>
      <w:r w:rsidR="00122E91" w:rsidRPr="0037437C">
        <w:t xml:space="preserve">was poor </w:t>
      </w:r>
      <w:r w:rsidRPr="0037437C">
        <w:t xml:space="preserve">(α=0.49). </w:t>
      </w:r>
    </w:p>
    <w:p w:rsidR="00B2171C" w:rsidRPr="0037437C" w:rsidRDefault="00B2171C" w:rsidP="00B2171C">
      <w:pPr>
        <w:spacing w:line="360" w:lineRule="auto"/>
        <w:jc w:val="both"/>
      </w:pPr>
    </w:p>
    <w:p w:rsidR="00B81E3D" w:rsidRPr="0037437C" w:rsidRDefault="00B81E3D" w:rsidP="00CA506E">
      <w:pPr>
        <w:spacing w:line="360" w:lineRule="auto"/>
        <w:rPr>
          <w:i/>
        </w:rPr>
      </w:pPr>
      <w:r w:rsidRPr="0037437C">
        <w:rPr>
          <w:i/>
        </w:rPr>
        <w:t>F</w:t>
      </w:r>
      <w:r w:rsidR="001F1202" w:rsidRPr="0037437C">
        <w:rPr>
          <w:i/>
        </w:rPr>
        <w:t xml:space="preserve">actor structure </w:t>
      </w:r>
    </w:p>
    <w:p w:rsidR="001C18BB" w:rsidRPr="0037437C" w:rsidRDefault="003D5784" w:rsidP="00CA506E">
      <w:pPr>
        <w:spacing w:line="360" w:lineRule="auto"/>
      </w:pPr>
      <w:r w:rsidRPr="0037437C">
        <w:t xml:space="preserve">As a first step, we fitted a </w:t>
      </w:r>
      <w:r w:rsidR="00D67E9C" w:rsidRPr="0037437C">
        <w:t xml:space="preserve">1-factor model </w:t>
      </w:r>
      <w:r w:rsidR="001D3C93" w:rsidRPr="0037437C">
        <w:t xml:space="preserve">in dataset 2 (n=399) </w:t>
      </w:r>
      <w:r w:rsidRPr="0037437C">
        <w:t>for QPR total</w:t>
      </w:r>
      <w:r w:rsidR="00F06C07" w:rsidRPr="0037437C">
        <w:t xml:space="preserve">, finding </w:t>
      </w:r>
      <w:r w:rsidR="00D67E9C" w:rsidRPr="0037437C">
        <w:t>an adequate fit</w:t>
      </w:r>
      <w:r w:rsidR="001C18BB" w:rsidRPr="0037437C">
        <w:t xml:space="preserve"> (</w:t>
      </w:r>
      <w:r w:rsidR="001C18BB" w:rsidRPr="0037437C">
        <w:sym w:font="Symbol" w:char="F063"/>
      </w:r>
      <w:r w:rsidR="001C18BB" w:rsidRPr="0037437C">
        <w:rPr>
          <w:vertAlign w:val="superscript"/>
        </w:rPr>
        <w:t>2</w:t>
      </w:r>
      <w:r w:rsidR="00A11AE1" w:rsidRPr="0037437C">
        <w:rPr>
          <w:vertAlign w:val="subscript"/>
        </w:rPr>
        <w:t>(90)</w:t>
      </w:r>
      <w:r w:rsidR="00D67E9C" w:rsidRPr="0037437C">
        <w:t>=</w:t>
      </w:r>
      <w:r w:rsidR="008E5645" w:rsidRPr="0037437C">
        <w:t>233.2</w:t>
      </w:r>
      <w:r w:rsidR="00D67E9C" w:rsidRPr="0037437C">
        <w:t>, p&lt;</w:t>
      </w:r>
      <w:r w:rsidR="00B84187" w:rsidRPr="0037437C">
        <w:t>0</w:t>
      </w:r>
      <w:r w:rsidR="00D67E9C" w:rsidRPr="0037437C">
        <w:t>.001; RMSEA=</w:t>
      </w:r>
      <w:r w:rsidR="00B84187" w:rsidRPr="0037437C">
        <w:t>0</w:t>
      </w:r>
      <w:r w:rsidR="00D67E9C" w:rsidRPr="0037437C">
        <w:t>.0</w:t>
      </w:r>
      <w:r w:rsidR="008E5645" w:rsidRPr="0037437C">
        <w:t>63</w:t>
      </w:r>
      <w:r w:rsidR="00F06C07" w:rsidRPr="0037437C">
        <w:t xml:space="preserve">, </w:t>
      </w:r>
      <w:r w:rsidR="008E5645" w:rsidRPr="0037437C">
        <w:t>90%CI: .05</w:t>
      </w:r>
      <w:r w:rsidR="00D67E9C" w:rsidRPr="0037437C">
        <w:t xml:space="preserve"> to .0</w:t>
      </w:r>
      <w:r w:rsidR="008E5645" w:rsidRPr="0037437C">
        <w:t>7</w:t>
      </w:r>
      <w:r w:rsidR="00D67E9C" w:rsidRPr="0037437C">
        <w:t>; CFI=.9</w:t>
      </w:r>
      <w:r w:rsidR="008E5645" w:rsidRPr="0037437C">
        <w:t>7</w:t>
      </w:r>
      <w:r w:rsidR="00F06C07" w:rsidRPr="0037437C">
        <w:t xml:space="preserve">; </w:t>
      </w:r>
      <w:r w:rsidR="0043132E" w:rsidRPr="0037437C">
        <w:lastRenderedPageBreak/>
        <w:t>TLI=.9</w:t>
      </w:r>
      <w:r w:rsidR="008E5645" w:rsidRPr="0037437C">
        <w:t>7</w:t>
      </w:r>
      <w:r w:rsidR="00F06C07" w:rsidRPr="0037437C">
        <w:t>)</w:t>
      </w:r>
      <w:r w:rsidR="00D67E9C" w:rsidRPr="0037437C">
        <w:t xml:space="preserve">. Table </w:t>
      </w:r>
      <w:r w:rsidR="00ED411F" w:rsidRPr="0037437C">
        <w:t>3</w:t>
      </w:r>
      <w:r w:rsidR="00D67E9C" w:rsidRPr="0037437C">
        <w:t xml:space="preserve"> shows the standardised loadings for all 15 items</w:t>
      </w:r>
      <w:r w:rsidR="00F06C07" w:rsidRPr="0037437C">
        <w:t xml:space="preserve"> showing </w:t>
      </w:r>
      <w:r w:rsidR="00D67E9C" w:rsidRPr="0037437C">
        <w:t>that all items load onto the factor.</w:t>
      </w:r>
    </w:p>
    <w:p w:rsidR="00F5794D" w:rsidRPr="0037437C" w:rsidRDefault="00F5794D" w:rsidP="004E10D8">
      <w:pPr>
        <w:spacing w:line="360" w:lineRule="auto"/>
        <w:jc w:val="both"/>
      </w:pPr>
    </w:p>
    <w:p w:rsidR="00F5794D" w:rsidRPr="0037437C" w:rsidRDefault="00F5794D" w:rsidP="00F5794D">
      <w:pPr>
        <w:spacing w:line="360" w:lineRule="auto"/>
        <w:jc w:val="center"/>
        <w:rPr>
          <w:i/>
        </w:rPr>
      </w:pPr>
      <w:r w:rsidRPr="0037437C">
        <w:rPr>
          <w:i/>
        </w:rPr>
        <w:t xml:space="preserve">Insert Table </w:t>
      </w:r>
      <w:r w:rsidR="00ED411F" w:rsidRPr="0037437C">
        <w:rPr>
          <w:i/>
        </w:rPr>
        <w:t>3</w:t>
      </w:r>
      <w:r w:rsidRPr="0037437C">
        <w:rPr>
          <w:i/>
        </w:rPr>
        <w:t xml:space="preserve"> here</w:t>
      </w:r>
    </w:p>
    <w:p w:rsidR="003730A3" w:rsidRPr="0037437C" w:rsidRDefault="003730A3" w:rsidP="004E10D8">
      <w:pPr>
        <w:spacing w:line="360" w:lineRule="auto"/>
        <w:jc w:val="both"/>
      </w:pPr>
    </w:p>
    <w:p w:rsidR="00D67E9C" w:rsidRPr="0037437C" w:rsidRDefault="00CC779E" w:rsidP="004E10D8">
      <w:pPr>
        <w:spacing w:line="360" w:lineRule="auto"/>
        <w:jc w:val="both"/>
      </w:pPr>
      <w:r w:rsidRPr="0037437C">
        <w:t>We</w:t>
      </w:r>
      <w:r w:rsidR="00F06C07" w:rsidRPr="0037437C">
        <w:t xml:space="preserve"> then </w:t>
      </w:r>
      <w:r w:rsidR="00962985" w:rsidRPr="0037437C">
        <w:t>fitted a</w:t>
      </w:r>
      <w:r w:rsidRPr="0037437C">
        <w:t xml:space="preserve"> 2-factor</w:t>
      </w:r>
      <w:r w:rsidR="00CD65E3" w:rsidRPr="0037437C">
        <w:t xml:space="preserve"> model </w:t>
      </w:r>
      <w:r w:rsidR="00962985" w:rsidRPr="0037437C">
        <w:t xml:space="preserve">for the two QPR subscales </w:t>
      </w:r>
      <w:r w:rsidR="00CD65E3" w:rsidRPr="0037437C">
        <w:t>(</w:t>
      </w:r>
      <w:r w:rsidR="000F5526" w:rsidRPr="0037437C">
        <w:t>Intrapersonal and I</w:t>
      </w:r>
      <w:r w:rsidR="00CD65E3" w:rsidRPr="0037437C">
        <w:t>nterpersonal)</w:t>
      </w:r>
      <w:r w:rsidR="001C18BB" w:rsidRPr="0037437C">
        <w:t xml:space="preserve">, also shown in Table </w:t>
      </w:r>
      <w:r w:rsidR="00CE69FB" w:rsidRPr="0037437C">
        <w:t>2</w:t>
      </w:r>
      <w:r w:rsidR="00B5481A" w:rsidRPr="0037437C">
        <w:t xml:space="preserve">. </w:t>
      </w:r>
      <w:r w:rsidR="001C18BB" w:rsidRPr="0037437C">
        <w:t>T</w:t>
      </w:r>
      <w:r w:rsidR="00B5481A" w:rsidRPr="0037437C">
        <w:t>his model also</w:t>
      </w:r>
      <w:r w:rsidRPr="0037437C">
        <w:t xml:space="preserve"> offered a good fit </w:t>
      </w:r>
      <w:r w:rsidR="001C18BB" w:rsidRPr="0037437C">
        <w:t>(</w:t>
      </w:r>
      <w:r w:rsidR="006B745B" w:rsidRPr="0037437C">
        <w:sym w:font="Symbol" w:char="F063"/>
      </w:r>
      <w:r w:rsidR="006B745B" w:rsidRPr="0037437C">
        <w:rPr>
          <w:vertAlign w:val="superscript"/>
        </w:rPr>
        <w:t>2</w:t>
      </w:r>
      <w:r w:rsidR="0096345E" w:rsidRPr="0037437C">
        <w:rPr>
          <w:vertAlign w:val="superscript"/>
        </w:rPr>
        <w:t xml:space="preserve"> </w:t>
      </w:r>
      <w:r w:rsidR="0096345E" w:rsidRPr="0037437C">
        <w:rPr>
          <w:vertAlign w:val="subscript"/>
        </w:rPr>
        <w:t>(208)</w:t>
      </w:r>
      <w:r w:rsidRPr="0037437C">
        <w:t>=</w:t>
      </w:r>
      <w:r w:rsidR="00DF292F" w:rsidRPr="0037437C">
        <w:t>40</w:t>
      </w:r>
      <w:r w:rsidR="003A6669" w:rsidRPr="0037437C">
        <w:t>7</w:t>
      </w:r>
      <w:r w:rsidR="00DF292F" w:rsidRPr="0037437C">
        <w:t>.</w:t>
      </w:r>
      <w:r w:rsidR="003A6669" w:rsidRPr="0037437C">
        <w:t>5</w:t>
      </w:r>
      <w:r w:rsidRPr="0037437C">
        <w:t>, p&lt;.001; RMSEA=.0</w:t>
      </w:r>
      <w:r w:rsidR="005404E1" w:rsidRPr="0037437C">
        <w:t>49</w:t>
      </w:r>
      <w:r w:rsidR="00F06C07" w:rsidRPr="0037437C">
        <w:t xml:space="preserve">, </w:t>
      </w:r>
      <w:r w:rsidRPr="0037437C">
        <w:t>90%CI: .0</w:t>
      </w:r>
      <w:r w:rsidR="00DF292F" w:rsidRPr="0037437C">
        <w:t>4</w:t>
      </w:r>
      <w:r w:rsidRPr="0037437C">
        <w:t xml:space="preserve"> to .0</w:t>
      </w:r>
      <w:r w:rsidR="00DF292F" w:rsidRPr="0037437C">
        <w:t>6</w:t>
      </w:r>
      <w:r w:rsidRPr="0037437C">
        <w:t>; CFI=.9</w:t>
      </w:r>
      <w:r w:rsidR="005404E1" w:rsidRPr="0037437C">
        <w:t>6</w:t>
      </w:r>
      <w:r w:rsidR="00F06C07" w:rsidRPr="0037437C">
        <w:t>;</w:t>
      </w:r>
      <w:r w:rsidRPr="0037437C">
        <w:t xml:space="preserve"> TLI=.9</w:t>
      </w:r>
      <w:r w:rsidR="00DF292F" w:rsidRPr="0037437C">
        <w:t>6</w:t>
      </w:r>
      <w:r w:rsidR="00F06C07" w:rsidRPr="0037437C">
        <w:t xml:space="preserve">), although </w:t>
      </w:r>
      <w:r w:rsidR="00DF292F" w:rsidRPr="0037437C">
        <w:t>i</w:t>
      </w:r>
      <w:r w:rsidR="00201CE9" w:rsidRPr="0037437C">
        <w:t>tem</w:t>
      </w:r>
      <w:r w:rsidR="00DF292F" w:rsidRPr="0037437C">
        <w:t>s</w:t>
      </w:r>
      <w:r w:rsidR="00201CE9" w:rsidRPr="0037437C">
        <w:t xml:space="preserve"> </w:t>
      </w:r>
      <w:r w:rsidR="00DB7C5F" w:rsidRPr="0037437C">
        <w:t>20</w:t>
      </w:r>
      <w:r w:rsidR="00DF292F" w:rsidRPr="0037437C">
        <w:t xml:space="preserve"> and 2</w:t>
      </w:r>
      <w:r w:rsidR="00DB7C5F" w:rsidRPr="0037437C">
        <w:t>2</w:t>
      </w:r>
      <w:r w:rsidR="00201CE9" w:rsidRPr="0037437C">
        <w:t xml:space="preserve"> had </w:t>
      </w:r>
      <w:r w:rsidR="00FC156C" w:rsidRPr="0037437C">
        <w:t>low factor loadings</w:t>
      </w:r>
      <w:r w:rsidR="005007EF" w:rsidRPr="0037437C">
        <w:t>,</w:t>
      </w:r>
      <w:r w:rsidR="00FC156C" w:rsidRPr="0037437C">
        <w:t xml:space="preserve"> </w:t>
      </w:r>
      <w:r w:rsidR="000D6438" w:rsidRPr="0037437C">
        <w:t xml:space="preserve">indicating </w:t>
      </w:r>
      <w:r w:rsidR="00FC156C" w:rsidRPr="0037437C">
        <w:t>they are weakly associated with the latent construct</w:t>
      </w:r>
      <w:r w:rsidR="002A5035" w:rsidRPr="0037437C">
        <w:t>.</w:t>
      </w:r>
      <w:r w:rsidR="00B5481A" w:rsidRPr="0037437C">
        <w:t xml:space="preserve"> </w:t>
      </w:r>
    </w:p>
    <w:p w:rsidR="00E70EB3" w:rsidRPr="0037437C" w:rsidRDefault="00E70EB3" w:rsidP="00E70EB3">
      <w:pPr>
        <w:spacing w:line="360" w:lineRule="auto"/>
      </w:pPr>
    </w:p>
    <w:p w:rsidR="00D002E7" w:rsidRPr="0037437C" w:rsidRDefault="00D002E7" w:rsidP="00B30BAC">
      <w:pPr>
        <w:rPr>
          <w:b/>
        </w:rPr>
      </w:pPr>
      <w:r w:rsidRPr="0037437C">
        <w:rPr>
          <w:b/>
        </w:rPr>
        <w:t>Discussion</w:t>
      </w:r>
    </w:p>
    <w:p w:rsidR="005248C1" w:rsidRPr="0037437C" w:rsidRDefault="005248C1" w:rsidP="005248C1"/>
    <w:p w:rsidR="00F509E4" w:rsidRPr="0037437C" w:rsidRDefault="00F509E4" w:rsidP="001F1202">
      <w:pPr>
        <w:spacing w:line="360" w:lineRule="auto"/>
      </w:pPr>
      <w:r w:rsidRPr="0037437C">
        <w:t xml:space="preserve">The study </w:t>
      </w:r>
      <w:r w:rsidR="00B81E3D" w:rsidRPr="0037437C">
        <w:t xml:space="preserve">used two samples to </w:t>
      </w:r>
      <w:r w:rsidR="00FA43F3" w:rsidRPr="0037437C">
        <w:t>evaluate</w:t>
      </w:r>
      <w:r w:rsidR="00CC12F9" w:rsidRPr="0037437C">
        <w:t xml:space="preserve"> </w:t>
      </w:r>
      <w:r w:rsidR="00F06C07" w:rsidRPr="0037437C">
        <w:t xml:space="preserve">the </w:t>
      </w:r>
      <w:r w:rsidR="00B93E36" w:rsidRPr="0037437C">
        <w:t xml:space="preserve">psychometric properties of </w:t>
      </w:r>
      <w:r w:rsidRPr="0037437C">
        <w:t>the two sub-scales of the 22 item version</w:t>
      </w:r>
      <w:r w:rsidR="00B81E3D" w:rsidRPr="0037437C">
        <w:t xml:space="preserve"> (</w:t>
      </w:r>
      <w:r w:rsidR="002F350B" w:rsidRPr="0037437C">
        <w:t xml:space="preserve">QPR </w:t>
      </w:r>
      <w:r w:rsidR="002F350B" w:rsidRPr="0037437C">
        <w:rPr>
          <w:rFonts w:cs="Arial"/>
        </w:rPr>
        <w:t>Intrape</w:t>
      </w:r>
      <w:r w:rsidRPr="0037437C">
        <w:rPr>
          <w:rFonts w:cs="Arial"/>
        </w:rPr>
        <w:t xml:space="preserve">rsonal and </w:t>
      </w:r>
      <w:r w:rsidR="002F350B" w:rsidRPr="0037437C">
        <w:rPr>
          <w:rFonts w:cs="Arial"/>
        </w:rPr>
        <w:t>QPR Interpersonal</w:t>
      </w:r>
      <w:r w:rsidR="00B81E3D" w:rsidRPr="0037437C">
        <w:rPr>
          <w:rFonts w:cs="Arial"/>
        </w:rPr>
        <w:t>)</w:t>
      </w:r>
      <w:r w:rsidR="002F350B" w:rsidRPr="0037437C">
        <w:rPr>
          <w:rFonts w:cs="Arial"/>
        </w:rPr>
        <w:t xml:space="preserve"> and </w:t>
      </w:r>
      <w:r w:rsidRPr="0037437C">
        <w:rPr>
          <w:rFonts w:cs="Arial"/>
        </w:rPr>
        <w:t xml:space="preserve">the 15 item version </w:t>
      </w:r>
      <w:r w:rsidR="00B81E3D" w:rsidRPr="0037437C">
        <w:rPr>
          <w:rFonts w:cs="Arial"/>
        </w:rPr>
        <w:t>(</w:t>
      </w:r>
      <w:r w:rsidR="002F350B" w:rsidRPr="0037437C">
        <w:rPr>
          <w:rFonts w:cs="Arial"/>
        </w:rPr>
        <w:t>QPR Total</w:t>
      </w:r>
      <w:r w:rsidR="00B81E3D" w:rsidRPr="0037437C">
        <w:t>)</w:t>
      </w:r>
      <w:r w:rsidR="00FA43F3" w:rsidRPr="0037437C">
        <w:t xml:space="preserve">. </w:t>
      </w:r>
      <w:r w:rsidR="00B81E3D" w:rsidRPr="0037437C">
        <w:t xml:space="preserve">Both </w:t>
      </w:r>
      <w:r w:rsidRPr="0037437C">
        <w:t xml:space="preserve">QPR Intrapersonal and </w:t>
      </w:r>
      <w:r w:rsidR="00B81E3D" w:rsidRPr="0037437C">
        <w:t xml:space="preserve">QPR Total </w:t>
      </w:r>
      <w:r w:rsidRPr="0037437C">
        <w:t xml:space="preserve">demonstrated adequate psychometric properties, </w:t>
      </w:r>
      <w:r w:rsidR="00B81E3D" w:rsidRPr="0037437C">
        <w:t xml:space="preserve">whereas QPR </w:t>
      </w:r>
      <w:r w:rsidRPr="0037437C">
        <w:t xml:space="preserve">Interpersonal </w:t>
      </w:r>
      <w:r w:rsidR="00B81E3D" w:rsidRPr="0037437C">
        <w:t xml:space="preserve">did not demonstrate </w:t>
      </w:r>
      <w:r w:rsidRPr="0037437C">
        <w:t xml:space="preserve">psychometric </w:t>
      </w:r>
      <w:r w:rsidR="00B81E3D" w:rsidRPr="0037437C">
        <w:t>adequacy</w:t>
      </w:r>
      <w:r w:rsidRPr="0037437C">
        <w:t>.</w:t>
      </w:r>
    </w:p>
    <w:p w:rsidR="00F509E4" w:rsidRPr="0037437C" w:rsidRDefault="00F509E4" w:rsidP="001F1202">
      <w:pPr>
        <w:spacing w:line="360" w:lineRule="auto"/>
      </w:pPr>
    </w:p>
    <w:p w:rsidR="00B81E3D" w:rsidRPr="0037437C" w:rsidRDefault="00F06C07" w:rsidP="001F1202">
      <w:pPr>
        <w:spacing w:line="360" w:lineRule="auto"/>
      </w:pPr>
      <w:r w:rsidRPr="0037437C">
        <w:t xml:space="preserve">QPR </w:t>
      </w:r>
      <w:r w:rsidR="00B93E36" w:rsidRPr="0037437C">
        <w:t xml:space="preserve">Intrapersonal demonstrated </w:t>
      </w:r>
      <w:r w:rsidR="00020B96" w:rsidRPr="0037437C">
        <w:t xml:space="preserve">excellent </w:t>
      </w:r>
      <w:r w:rsidR="00CC12F9" w:rsidRPr="0037437C">
        <w:t xml:space="preserve">psychometric </w:t>
      </w:r>
      <w:r w:rsidR="00020B96" w:rsidRPr="0037437C">
        <w:t>properties</w:t>
      </w:r>
      <w:r w:rsidR="00F509E4" w:rsidRPr="0037437C">
        <w:t xml:space="preserve"> in all areas tested</w:t>
      </w:r>
      <w:r w:rsidR="00B81E3D" w:rsidRPr="0037437C">
        <w:t>,</w:t>
      </w:r>
      <w:r w:rsidR="00020B96" w:rsidRPr="0037437C">
        <w:t xml:space="preserve"> apart from moderate sensitivity to change. </w:t>
      </w:r>
      <w:r w:rsidRPr="0037437C">
        <w:t>A</w:t>
      </w:r>
      <w:r w:rsidR="00020B96" w:rsidRPr="0037437C">
        <w:t xml:space="preserve">ll items had </w:t>
      </w:r>
      <w:r w:rsidRPr="0037437C">
        <w:t xml:space="preserve">a </w:t>
      </w:r>
      <w:r w:rsidR="00020B96" w:rsidRPr="0037437C">
        <w:t xml:space="preserve">loading above 0.5 </w:t>
      </w:r>
      <w:r w:rsidRPr="0037437C">
        <w:t xml:space="preserve">in the confirmatory factor analysis, </w:t>
      </w:r>
      <w:r w:rsidR="00020B96" w:rsidRPr="0037437C">
        <w:t xml:space="preserve">indicating </w:t>
      </w:r>
      <w:r w:rsidRPr="0037437C">
        <w:t xml:space="preserve">they </w:t>
      </w:r>
      <w:r w:rsidR="005E0459" w:rsidRPr="0037437C">
        <w:t>capture</w:t>
      </w:r>
      <w:r w:rsidR="00AB2631" w:rsidRPr="0037437C">
        <w:t xml:space="preserve"> </w:t>
      </w:r>
      <w:r w:rsidR="00020B96" w:rsidRPr="0037437C">
        <w:t xml:space="preserve">the </w:t>
      </w:r>
      <w:r w:rsidR="00E62034" w:rsidRPr="0037437C">
        <w:t>intrapersonal scale</w:t>
      </w:r>
      <w:r w:rsidR="00020B96" w:rsidRPr="0037437C">
        <w:t>.</w:t>
      </w:r>
      <w:r w:rsidR="000D6438" w:rsidRPr="0037437C">
        <w:t xml:space="preserve"> </w:t>
      </w:r>
      <w:r w:rsidRPr="0037437C">
        <w:t xml:space="preserve">By contrast, the QPR </w:t>
      </w:r>
      <w:r w:rsidR="00B93E36" w:rsidRPr="0037437C">
        <w:t xml:space="preserve">Interpersonal </w:t>
      </w:r>
      <w:r w:rsidR="00F17CD0" w:rsidRPr="0037437C">
        <w:t xml:space="preserve">sub-scale </w:t>
      </w:r>
      <w:r w:rsidR="000D6438" w:rsidRPr="0037437C">
        <w:t xml:space="preserve">had </w:t>
      </w:r>
      <w:r w:rsidR="00CC12F9" w:rsidRPr="0037437C">
        <w:t xml:space="preserve">poor </w:t>
      </w:r>
      <w:r w:rsidR="00B93E36" w:rsidRPr="0037437C">
        <w:t>internal consistency</w:t>
      </w:r>
      <w:r w:rsidR="00020B96" w:rsidRPr="0037437C">
        <w:t xml:space="preserve"> and </w:t>
      </w:r>
      <w:r w:rsidR="00B93E36" w:rsidRPr="0037437C">
        <w:t>sensitivity to change</w:t>
      </w:r>
      <w:r w:rsidRPr="0037437C">
        <w:t xml:space="preserve"> and t</w:t>
      </w:r>
      <w:r w:rsidR="00020B96" w:rsidRPr="0037437C">
        <w:t xml:space="preserve">he </w:t>
      </w:r>
      <w:r w:rsidRPr="0037437C">
        <w:t xml:space="preserve">factor analysis </w:t>
      </w:r>
      <w:r w:rsidR="00020B96" w:rsidRPr="0037437C">
        <w:t>found</w:t>
      </w:r>
      <w:r w:rsidR="00B24982" w:rsidRPr="0037437C">
        <w:t xml:space="preserve"> that </w:t>
      </w:r>
      <w:r w:rsidR="00020B96" w:rsidRPr="0037437C">
        <w:t xml:space="preserve">two of </w:t>
      </w:r>
      <w:r w:rsidR="00B24982" w:rsidRPr="0037437C">
        <w:t xml:space="preserve">the </w:t>
      </w:r>
      <w:r w:rsidR="00020B96" w:rsidRPr="0037437C">
        <w:t xml:space="preserve">five </w:t>
      </w:r>
      <w:r w:rsidR="00020B96" w:rsidRPr="0037437C">
        <w:rPr>
          <w:rFonts w:cs="Arial"/>
        </w:rPr>
        <w:t>items</w:t>
      </w:r>
      <w:r w:rsidR="00B24982" w:rsidRPr="0037437C">
        <w:rPr>
          <w:rFonts w:cs="Arial"/>
        </w:rPr>
        <w:t xml:space="preserve"> – item 16</w:t>
      </w:r>
      <w:r w:rsidR="00020B96" w:rsidRPr="0037437C">
        <w:rPr>
          <w:rFonts w:cs="Arial"/>
        </w:rPr>
        <w:t xml:space="preserve"> </w:t>
      </w:r>
      <w:r w:rsidR="00B24982" w:rsidRPr="0037437C">
        <w:rPr>
          <w:rFonts w:cs="Arial"/>
        </w:rPr>
        <w:t xml:space="preserve">‘Meeting people who have had similar experiences makes me feel better’ and item 20 ‘I realise that the views of some mental health professionals is not the only way of looking at things’ </w:t>
      </w:r>
      <w:r w:rsidR="00B81E3D" w:rsidRPr="0037437C">
        <w:rPr>
          <w:rFonts w:cs="Arial"/>
        </w:rPr>
        <w:t>–</w:t>
      </w:r>
      <w:r w:rsidR="00B24982" w:rsidRPr="0037437C">
        <w:rPr>
          <w:rFonts w:cs="Arial"/>
        </w:rPr>
        <w:t xml:space="preserve"> </w:t>
      </w:r>
      <w:r w:rsidR="00B81E3D" w:rsidRPr="0037437C">
        <w:rPr>
          <w:rFonts w:cs="Arial"/>
        </w:rPr>
        <w:t xml:space="preserve">had a factor </w:t>
      </w:r>
      <w:r w:rsidR="00020B96" w:rsidRPr="0037437C">
        <w:rPr>
          <w:rFonts w:cs="Arial"/>
        </w:rPr>
        <w:t>loading below 0.</w:t>
      </w:r>
      <w:r w:rsidR="005E0459" w:rsidRPr="0037437C">
        <w:rPr>
          <w:rFonts w:cs="Arial"/>
        </w:rPr>
        <w:t>5</w:t>
      </w:r>
      <w:r w:rsidR="00B24982" w:rsidRPr="0037437C">
        <w:rPr>
          <w:rFonts w:cs="Arial"/>
        </w:rPr>
        <w:t>. This i</w:t>
      </w:r>
      <w:r w:rsidR="00020B96" w:rsidRPr="0037437C">
        <w:rPr>
          <w:rFonts w:cs="Arial"/>
        </w:rPr>
        <w:t>ndicat</w:t>
      </w:r>
      <w:r w:rsidR="00B24982" w:rsidRPr="0037437C">
        <w:rPr>
          <w:rFonts w:cs="Arial"/>
        </w:rPr>
        <w:t>es</w:t>
      </w:r>
      <w:r w:rsidR="00020B96" w:rsidRPr="0037437C">
        <w:rPr>
          <w:rFonts w:cs="Arial"/>
        </w:rPr>
        <w:t xml:space="preserve"> that they</w:t>
      </w:r>
      <w:r w:rsidR="00A9532F" w:rsidRPr="0037437C">
        <w:rPr>
          <w:rFonts w:cs="Arial"/>
        </w:rPr>
        <w:t xml:space="preserve"> are weakly associated with</w:t>
      </w:r>
      <w:r w:rsidR="00020B96" w:rsidRPr="0037437C">
        <w:rPr>
          <w:rFonts w:cs="Arial"/>
        </w:rPr>
        <w:t xml:space="preserve"> the latent construct</w:t>
      </w:r>
      <w:r w:rsidR="00A9532F" w:rsidRPr="0037437C">
        <w:rPr>
          <w:rFonts w:cs="Arial"/>
        </w:rPr>
        <w:t xml:space="preserve"> and, therefore, do not</w:t>
      </w:r>
      <w:r w:rsidR="00A9532F" w:rsidRPr="0037437C">
        <w:t xml:space="preserve"> describe it very well</w:t>
      </w:r>
      <w:r w:rsidR="00020B96" w:rsidRPr="0037437C">
        <w:t xml:space="preserve">. </w:t>
      </w:r>
      <w:r w:rsidRPr="0037437C">
        <w:t xml:space="preserve">Anecdotally, we found that </w:t>
      </w:r>
      <w:r w:rsidR="00F17CD0" w:rsidRPr="0037437C">
        <w:t>I</w:t>
      </w:r>
      <w:r w:rsidR="002718B9" w:rsidRPr="0037437C">
        <w:t xml:space="preserve">tem </w:t>
      </w:r>
      <w:r w:rsidR="00F17CD0" w:rsidRPr="0037437C">
        <w:t>2</w:t>
      </w:r>
      <w:r w:rsidR="00CE69FB" w:rsidRPr="0037437C">
        <w:t>0</w:t>
      </w:r>
      <w:r w:rsidR="00A9532F" w:rsidRPr="0037437C">
        <w:t xml:space="preserve"> </w:t>
      </w:r>
      <w:r w:rsidR="00CC12F9" w:rsidRPr="0037437C">
        <w:t xml:space="preserve">was </w:t>
      </w:r>
      <w:r w:rsidR="00020B96" w:rsidRPr="0037437C">
        <w:t>more difficult for participants to answer</w:t>
      </w:r>
      <w:r w:rsidRPr="0037437C">
        <w:t xml:space="preserve">, </w:t>
      </w:r>
      <w:r w:rsidR="002718B9" w:rsidRPr="0037437C">
        <w:t>due to asking about the view of ‘some’ professionals which particip</w:t>
      </w:r>
      <w:r w:rsidR="00AB2631" w:rsidRPr="0037437C">
        <w:t>a</w:t>
      </w:r>
      <w:r w:rsidR="002718B9" w:rsidRPr="0037437C">
        <w:t xml:space="preserve">nts found confusing. </w:t>
      </w:r>
      <w:r w:rsidR="00AB2631" w:rsidRPr="0037437C">
        <w:t xml:space="preserve">Overall, these results indicate that </w:t>
      </w:r>
      <w:r w:rsidRPr="0037437C">
        <w:t xml:space="preserve">QPR Interpersonal </w:t>
      </w:r>
      <w:r w:rsidR="00AB2631" w:rsidRPr="0037437C">
        <w:t>is not well defined</w:t>
      </w:r>
      <w:r w:rsidR="00B81E3D" w:rsidRPr="0037437C">
        <w:t xml:space="preserve">, </w:t>
      </w:r>
      <w:r w:rsidR="00F509E4" w:rsidRPr="0037437C">
        <w:t xml:space="preserve">and constructs with five of more items are generally recommended  </w:t>
      </w:r>
      <w:r w:rsidR="00D35269" w:rsidRPr="0037437C">
        <w:t xml:space="preserve">to define a robust construct </w:t>
      </w:r>
      <w:r w:rsidR="00835778" w:rsidRPr="0037437C">
        <w:fldChar w:fldCharType="begin"/>
      </w:r>
      <w:r w:rsidR="0069691C" w:rsidRPr="0037437C">
        <w:instrText xml:space="preserve"> ADDIN EN.CITE &lt;EndNote&gt;&lt;Cite&gt;&lt;Author&gt;Costello&lt;/Author&gt;&lt;Year&gt;2005&lt;/Year&gt;&lt;RecNum&gt;493&lt;/RecNum&gt;&lt;DisplayText&gt;(14)&lt;/DisplayText&gt;&lt;record&gt;&lt;rec-number&gt;493&lt;/rec-number&gt;&lt;foreign-keys&gt;&lt;key app="EN" db-id="v9pf5rezaaedx8e552iv20572t5tt95drwf5"&gt;493&lt;/key&gt;&lt;/foreign-keys&gt;&lt;ref-type name="Journal Article"&gt;17&lt;/ref-type&gt;&lt;contributors&gt;&lt;authors&gt;&lt;author&gt;Costello, A.&lt;/author&gt;&lt;author&gt;Osborne, J.&lt;/author&gt;&lt;/authors&gt;&lt;/contributors&gt;&lt;titles&gt;&lt;title&gt;Best Practices in Exploratory Factor Analysis: Four Recommendations for Getting the Most From Your Analysis&lt;/title&gt;&lt;secondary-title&gt;Practical Assessment, Research and Evaluation&lt;/secondary-title&gt;&lt;/titles&gt;&lt;periodical&gt;&lt;full-title&gt;Practical Assessment, Research and Evaluation&lt;/full-title&gt;&lt;/periodical&gt;&lt;pages&gt;9&lt;/pages&gt;&lt;volume&gt;10&lt;/volume&gt;&lt;number&gt;7&lt;/number&gt;&lt;section&gt;1&lt;/section&gt;&lt;dates&gt;&lt;year&gt;2005&lt;/year&gt;&lt;/dates&gt;&lt;urls&gt;&lt;/urls&gt;&lt;/record&gt;&lt;/Cite&gt;&lt;/EndNote&gt;</w:instrText>
      </w:r>
      <w:r w:rsidR="00835778" w:rsidRPr="0037437C">
        <w:fldChar w:fldCharType="separate"/>
      </w:r>
      <w:r w:rsidR="0069691C" w:rsidRPr="0037437C">
        <w:rPr>
          <w:noProof/>
        </w:rPr>
        <w:t>(</w:t>
      </w:r>
      <w:hyperlink w:anchor="_ENREF_14" w:tooltip="Costello, 2005 #493" w:history="1">
        <w:r w:rsidR="00FA0BC2" w:rsidRPr="0037437C">
          <w:rPr>
            <w:noProof/>
          </w:rPr>
          <w:t>14</w:t>
        </w:r>
      </w:hyperlink>
      <w:r w:rsidR="0069691C" w:rsidRPr="0037437C">
        <w:rPr>
          <w:noProof/>
        </w:rPr>
        <w:t>)</w:t>
      </w:r>
      <w:r w:rsidR="00835778" w:rsidRPr="0037437C">
        <w:fldChar w:fldCharType="end"/>
      </w:r>
      <w:r w:rsidR="00B81E3D" w:rsidRPr="0037437C">
        <w:t>.</w:t>
      </w:r>
    </w:p>
    <w:p w:rsidR="00B81E3D" w:rsidRPr="0037437C" w:rsidRDefault="00B81E3D" w:rsidP="001F1202">
      <w:pPr>
        <w:spacing w:line="360" w:lineRule="auto"/>
      </w:pPr>
    </w:p>
    <w:p w:rsidR="00020B96" w:rsidRPr="0037437C" w:rsidRDefault="00A9532F" w:rsidP="001F1202">
      <w:pPr>
        <w:spacing w:line="360" w:lineRule="auto"/>
      </w:pPr>
      <w:r w:rsidRPr="0037437C">
        <w:t>T</w:t>
      </w:r>
      <w:r w:rsidR="00B93E36" w:rsidRPr="0037437C">
        <w:t xml:space="preserve">he </w:t>
      </w:r>
      <w:r w:rsidR="000D6438" w:rsidRPr="0037437C">
        <w:t>15-</w:t>
      </w:r>
      <w:r w:rsidR="00B93E36" w:rsidRPr="0037437C">
        <w:t xml:space="preserve">item </w:t>
      </w:r>
      <w:r w:rsidR="000D6438" w:rsidRPr="0037437C">
        <w:t xml:space="preserve">QPR Total </w:t>
      </w:r>
      <w:r w:rsidR="00B93E36" w:rsidRPr="0037437C">
        <w:t xml:space="preserve">demonstrated excellent internal consistency </w:t>
      </w:r>
      <w:r w:rsidR="00020B96" w:rsidRPr="0037437C">
        <w:t xml:space="preserve">and test-retest reliability, adequate convergent validity, and </w:t>
      </w:r>
      <w:r w:rsidR="00B93E36" w:rsidRPr="0037437C">
        <w:t>moderate sensitivity to change</w:t>
      </w:r>
      <w:r w:rsidR="00020B96" w:rsidRPr="0037437C">
        <w:t xml:space="preserve">. </w:t>
      </w:r>
      <w:r w:rsidR="004010FD" w:rsidRPr="0037437C">
        <w:t xml:space="preserve">These findings reflect those </w:t>
      </w:r>
      <w:r w:rsidR="000060FE" w:rsidRPr="0037437C">
        <w:t xml:space="preserve">of </w:t>
      </w:r>
      <w:r w:rsidR="004010FD" w:rsidRPr="0037437C">
        <w:t xml:space="preserve">Law </w:t>
      </w:r>
      <w:r w:rsidR="000060FE" w:rsidRPr="0037437C">
        <w:t xml:space="preserve">and colleagues </w:t>
      </w:r>
      <w:r w:rsidR="004010FD" w:rsidRPr="0037437C">
        <w:t xml:space="preserve">in their paper which recommended the </w:t>
      </w:r>
      <w:r w:rsidR="000060FE" w:rsidRPr="0037437C">
        <w:t xml:space="preserve">15 </w:t>
      </w:r>
      <w:r w:rsidR="000060FE" w:rsidRPr="0037437C">
        <w:lastRenderedPageBreak/>
        <w:t>it</w:t>
      </w:r>
      <w:r w:rsidR="004010FD" w:rsidRPr="0037437C">
        <w:t xml:space="preserve">em version of QPR </w:t>
      </w:r>
      <w:r w:rsidR="00835778" w:rsidRPr="0037437C">
        <w:fldChar w:fldCharType="begin"/>
      </w:r>
      <w:r w:rsidR="0069691C" w:rsidRPr="0037437C">
        <w:instrText xml:space="preserve"> ADDIN EN.CITE &lt;EndNote&gt;&lt;Cite&gt;&lt;Author&gt;Law&lt;/Author&gt;&lt;Year&gt;2014&lt;/Year&gt;&lt;RecNum&gt;413&lt;/RecNum&gt;&lt;DisplayText&gt;(8)&lt;/DisplayText&gt;&lt;record&gt;&lt;rec-number&gt;413&lt;/rec-number&gt;&lt;foreign-keys&gt;&lt;key app="EN" db-id="v9pf5rezaaedx8e552iv20572t5tt95drwf5"&gt;413&lt;/key&gt;&lt;/foreign-keys&gt;&lt;ref-type name="Journal Article"&gt;17&lt;/ref-type&gt;&lt;contributors&gt;&lt;authors&gt;&lt;author&gt;Law, H.&lt;/author&gt;&lt;author&gt;Neil, S.&lt;/author&gt;&lt;author&gt;Dunn, G.&lt;/author&gt;&lt;author&gt;Morrison, A.&lt;/author&gt;&lt;/authors&gt;&lt;/contributors&gt;&lt;titles&gt;&lt;title&gt;Psychometric Properties of the Questionnaire about the Process of Recovery (QPR)&lt;/title&gt;&lt;secondary-title&gt;Schizophrenia Research&lt;/secondary-title&gt;&lt;/titles&gt;&lt;periodical&gt;&lt;full-title&gt;Schizophrenia Research&lt;/full-title&gt;&lt;/periodical&gt;&lt;dates&gt;&lt;year&gt;2014&lt;/year&gt;&lt;/dates&gt;&lt;urls&gt;&lt;/urls&gt;&lt;/record&gt;&lt;/Cite&gt;&lt;/EndNote&gt;</w:instrText>
      </w:r>
      <w:r w:rsidR="00835778" w:rsidRPr="0037437C">
        <w:fldChar w:fldCharType="separate"/>
      </w:r>
      <w:r w:rsidR="0069691C" w:rsidRPr="0037437C">
        <w:rPr>
          <w:noProof/>
        </w:rPr>
        <w:t>(</w:t>
      </w:r>
      <w:hyperlink w:anchor="_ENREF_8" w:tooltip="Law, 2014 #413" w:history="1">
        <w:r w:rsidR="00FA0BC2" w:rsidRPr="0037437C">
          <w:rPr>
            <w:noProof/>
          </w:rPr>
          <w:t>8</w:t>
        </w:r>
      </w:hyperlink>
      <w:r w:rsidR="0069691C" w:rsidRPr="0037437C">
        <w:rPr>
          <w:noProof/>
        </w:rPr>
        <w:t>)</w:t>
      </w:r>
      <w:r w:rsidR="00835778" w:rsidRPr="0037437C">
        <w:fldChar w:fldCharType="end"/>
      </w:r>
      <w:r w:rsidR="004010FD" w:rsidRPr="0037437C">
        <w:t xml:space="preserve">. In this paper the 15 item version had a Cronbach’s alpha of 0.93 and good test-retest reliability (r=0.70). </w:t>
      </w:r>
      <w:r w:rsidR="001905A1" w:rsidRPr="0037437C">
        <w:t>I</w:t>
      </w:r>
      <w:r w:rsidR="000060FE" w:rsidRPr="0037437C">
        <w:t>n our paper t</w:t>
      </w:r>
      <w:r w:rsidR="00020B96" w:rsidRPr="0037437C">
        <w:t xml:space="preserve">he CFA found </w:t>
      </w:r>
      <w:r w:rsidR="00CC12F9" w:rsidRPr="0037437C">
        <w:t xml:space="preserve">that </w:t>
      </w:r>
      <w:r w:rsidR="00020B96" w:rsidRPr="0037437C">
        <w:t xml:space="preserve">all items loaded above </w:t>
      </w:r>
      <w:r w:rsidR="00AB2631" w:rsidRPr="0037437C">
        <w:t xml:space="preserve">0.5. </w:t>
      </w:r>
      <w:r w:rsidR="00F06C07" w:rsidRPr="0037437C">
        <w:t xml:space="preserve">As </w:t>
      </w:r>
      <w:r w:rsidR="00020B96" w:rsidRPr="0037437C">
        <w:t xml:space="preserve">all of the 15 items are </w:t>
      </w:r>
      <w:r w:rsidR="00F06C07" w:rsidRPr="0037437C">
        <w:t xml:space="preserve">in </w:t>
      </w:r>
      <w:r w:rsidR="00020B96" w:rsidRPr="0037437C">
        <w:t xml:space="preserve">the </w:t>
      </w:r>
      <w:r w:rsidR="00F06C07" w:rsidRPr="0037437C">
        <w:t xml:space="preserve">QPR </w:t>
      </w:r>
      <w:r w:rsidR="00020B96" w:rsidRPr="0037437C">
        <w:t>Intrapersonal sub-scale</w:t>
      </w:r>
      <w:r w:rsidR="00F06C07" w:rsidRPr="0037437C">
        <w:t>, t</w:t>
      </w:r>
      <w:r w:rsidR="00020B96" w:rsidRPr="0037437C">
        <w:t xml:space="preserve">here is a great deal of overlap between </w:t>
      </w:r>
      <w:r w:rsidR="00F06C07" w:rsidRPr="0037437C">
        <w:t xml:space="preserve">QPR Total </w:t>
      </w:r>
      <w:r w:rsidR="00020B96" w:rsidRPr="0037437C">
        <w:t xml:space="preserve">and </w:t>
      </w:r>
      <w:r w:rsidR="00F06C07" w:rsidRPr="0037437C">
        <w:t xml:space="preserve">QPR </w:t>
      </w:r>
      <w:r w:rsidR="00020B96" w:rsidRPr="0037437C">
        <w:t xml:space="preserve">Intrapersonal. </w:t>
      </w:r>
    </w:p>
    <w:p w:rsidR="00CC12F9" w:rsidRPr="0037437C" w:rsidRDefault="00CC12F9" w:rsidP="006D5BF8">
      <w:pPr>
        <w:spacing w:line="360" w:lineRule="auto"/>
      </w:pPr>
    </w:p>
    <w:p w:rsidR="00B24AE3" w:rsidRPr="0037437C" w:rsidRDefault="00B24AE3" w:rsidP="00D002E7">
      <w:pPr>
        <w:spacing w:line="360" w:lineRule="auto"/>
        <w:rPr>
          <w:i/>
        </w:rPr>
      </w:pPr>
      <w:r w:rsidRPr="0037437C">
        <w:rPr>
          <w:i/>
        </w:rPr>
        <w:t>Strengths and limitations</w:t>
      </w:r>
    </w:p>
    <w:p w:rsidR="00250A3B" w:rsidRPr="0037437C" w:rsidRDefault="00250A3B" w:rsidP="00D002E7">
      <w:pPr>
        <w:spacing w:line="360" w:lineRule="auto"/>
      </w:pPr>
      <w:r w:rsidRPr="0037437C">
        <w:t xml:space="preserve">The study provides a comprehensive </w:t>
      </w:r>
      <w:r w:rsidR="009A6A7E" w:rsidRPr="0037437C">
        <w:t xml:space="preserve">and independent </w:t>
      </w:r>
      <w:r w:rsidRPr="0037437C">
        <w:t>psychometric evaluation of the QPR, including</w:t>
      </w:r>
      <w:r w:rsidR="0070005C" w:rsidRPr="0037437C">
        <w:t xml:space="preserve"> being the first study to evaluate sensitivity to change. </w:t>
      </w:r>
      <w:r w:rsidRPr="0037437C">
        <w:t xml:space="preserve"> </w:t>
      </w:r>
      <w:r w:rsidR="00F06C07" w:rsidRPr="0037437C">
        <w:t>I</w:t>
      </w:r>
      <w:r w:rsidRPr="0037437C">
        <w:t xml:space="preserve">t is also the first study to compare the two versions of </w:t>
      </w:r>
      <w:r w:rsidR="00F37E08" w:rsidRPr="0037437C">
        <w:t xml:space="preserve">QPR. </w:t>
      </w:r>
      <w:r w:rsidRPr="0037437C">
        <w:t xml:space="preserve">The limitation of this study is that one of our samples was relatively small. </w:t>
      </w:r>
      <w:r w:rsidR="00F37E08" w:rsidRPr="0037437C">
        <w:t>The use of two datasets (although similar</w:t>
      </w:r>
      <w:r w:rsidR="00491BA4" w:rsidRPr="0037437C">
        <w:t xml:space="preserve"> in demographic characteristics</w:t>
      </w:r>
      <w:r w:rsidR="00F37E08" w:rsidRPr="0037437C">
        <w:t>) can also be seen as a limitation</w:t>
      </w:r>
      <w:r w:rsidR="00745F35" w:rsidRPr="0037437C">
        <w:t>, as can the non-collection of important clinical descriptive data such as illness severity and duration</w:t>
      </w:r>
      <w:r w:rsidR="00F37E08" w:rsidRPr="0037437C">
        <w:t xml:space="preserve">. </w:t>
      </w:r>
      <w:r w:rsidR="00A47CEB" w:rsidRPr="0037437C">
        <w:t>However, each dataset had advantages</w:t>
      </w:r>
      <w:r w:rsidR="00F06C07" w:rsidRPr="0037437C">
        <w:t>,</w:t>
      </w:r>
      <w:r w:rsidR="00A47CEB" w:rsidRPr="0037437C">
        <w:t xml:space="preserve"> with Dataset 1 allowing </w:t>
      </w:r>
      <w:r w:rsidR="00DA61A2" w:rsidRPr="0037437C">
        <w:t xml:space="preserve">evaluation of </w:t>
      </w:r>
      <w:r w:rsidR="00A47CEB" w:rsidRPr="0037437C">
        <w:t xml:space="preserve">test-retest reliability at two weeks, and </w:t>
      </w:r>
      <w:r w:rsidR="00DA61A2" w:rsidRPr="0037437C">
        <w:t xml:space="preserve">the sample in </w:t>
      </w:r>
      <w:r w:rsidR="00A47CEB" w:rsidRPr="0037437C">
        <w:t xml:space="preserve">Dataset 2 </w:t>
      </w:r>
      <w:r w:rsidR="00DA61A2" w:rsidRPr="0037437C">
        <w:t>sufficient</w:t>
      </w:r>
      <w:r w:rsidR="00F06C07" w:rsidRPr="0037437C">
        <w:t>ly large</w:t>
      </w:r>
      <w:r w:rsidR="00DA61A2" w:rsidRPr="0037437C">
        <w:t xml:space="preserve"> to </w:t>
      </w:r>
      <w:r w:rsidR="00A47CEB" w:rsidRPr="0037437C">
        <w:t>allow</w:t>
      </w:r>
      <w:r w:rsidR="00DA61A2" w:rsidRPr="0037437C">
        <w:t xml:space="preserve"> </w:t>
      </w:r>
      <w:r w:rsidR="00A47CEB" w:rsidRPr="0037437C">
        <w:t xml:space="preserve">CFA. </w:t>
      </w:r>
    </w:p>
    <w:p w:rsidR="00801C45" w:rsidRPr="0037437C" w:rsidRDefault="00801C45" w:rsidP="00D002E7">
      <w:pPr>
        <w:spacing w:line="360" w:lineRule="auto"/>
      </w:pPr>
    </w:p>
    <w:p w:rsidR="00B24AE3" w:rsidRPr="0037437C" w:rsidRDefault="00B24AE3" w:rsidP="00D002E7">
      <w:pPr>
        <w:spacing w:line="360" w:lineRule="auto"/>
        <w:rPr>
          <w:i/>
        </w:rPr>
      </w:pPr>
      <w:r w:rsidRPr="0037437C">
        <w:rPr>
          <w:i/>
        </w:rPr>
        <w:t>QPR in clinical practice</w:t>
      </w:r>
    </w:p>
    <w:p w:rsidR="007A427F" w:rsidRPr="0037437C" w:rsidRDefault="00F508B2" w:rsidP="00D002E7">
      <w:pPr>
        <w:spacing w:line="360" w:lineRule="auto"/>
      </w:pPr>
      <w:r w:rsidRPr="0037437C">
        <w:t>We identify three clinical implications. First, t</w:t>
      </w:r>
      <w:r w:rsidR="007F7D74" w:rsidRPr="0037437C">
        <w:t xml:space="preserve">he QPR can be used to measure the effectiveness of services in supporting recovery. </w:t>
      </w:r>
      <w:r w:rsidRPr="0037437C">
        <w:t>E</w:t>
      </w:r>
      <w:r w:rsidR="007F7D74" w:rsidRPr="0037437C">
        <w:t>vidence on how best to support recovery is still developing</w:t>
      </w:r>
      <w:r w:rsidR="006D5BF8" w:rsidRPr="0037437C">
        <w:t xml:space="preserve"> </w:t>
      </w:r>
      <w:r w:rsidR="00835778" w:rsidRPr="0037437C">
        <w:fldChar w:fldCharType="begin"/>
      </w:r>
      <w:r w:rsidR="0069691C" w:rsidRPr="0037437C">
        <w:instrText xml:space="preserve"> ADDIN EN.CITE &lt;EndNote&gt;&lt;Cite&gt;&lt;Author&gt;Le Boutillier&lt;/Author&gt;&lt;Year&gt;2011&lt;/Year&gt;&lt;RecNum&gt;124&lt;/RecNum&gt;&lt;DisplayText&gt;(4)&lt;/DisplayText&gt;&lt;record&gt;&lt;rec-number&gt;124&lt;/rec-number&gt;&lt;foreign-keys&gt;&lt;key app="EN" db-id="v9pf5rezaaedx8e552iv20572t5tt95drwf5"&gt;124&lt;/key&gt;&lt;/foreign-keys&gt;&lt;ref-type name="Journal Article"&gt;17&lt;/ref-type&gt;&lt;contributors&gt;&lt;authors&gt;&lt;author&gt;Le Boutillier, C.&lt;/author&gt;&lt;author&gt;Leamy, M.&lt;/author&gt;&lt;author&gt;Bird, V.&lt;/author&gt;&lt;author&gt;Davidson, L.&lt;/author&gt;&lt;author&gt;Williams, J.&lt;/author&gt;&lt;author&gt;Slade, M.&lt;/author&gt;&lt;/authors&gt;&lt;/contributors&gt;&lt;titles&gt;&lt;title&gt;What does recovery mean in practice? A qualitative analysis of international recovery-oriented practice guidance&lt;/title&gt;&lt;secondary-title&gt;Psychiatric Services&lt;/secondary-title&gt;&lt;/titles&gt;&lt;periodical&gt;&lt;full-title&gt;Psychiatric Services&lt;/full-title&gt;&lt;/periodical&gt;&lt;pages&gt;7&lt;/pages&gt;&lt;volume&gt;62&lt;/volume&gt;&lt;section&gt;1470&lt;/section&gt;&lt;dates&gt;&lt;year&gt;2011&lt;/year&gt;&lt;/dates&gt;&lt;urls&gt;&lt;/urls&gt;&lt;/record&gt;&lt;/Cite&gt;&lt;/EndNote&gt;</w:instrText>
      </w:r>
      <w:r w:rsidR="00835778" w:rsidRPr="0037437C">
        <w:fldChar w:fldCharType="separate"/>
      </w:r>
      <w:r w:rsidR="0069691C" w:rsidRPr="0037437C">
        <w:rPr>
          <w:noProof/>
        </w:rPr>
        <w:t>(</w:t>
      </w:r>
      <w:hyperlink w:anchor="_ENREF_4" w:tooltip="Le Boutillier, 2011 #124" w:history="1">
        <w:r w:rsidR="00FA0BC2" w:rsidRPr="0037437C">
          <w:rPr>
            <w:noProof/>
          </w:rPr>
          <w:t>4</w:t>
        </w:r>
      </w:hyperlink>
      <w:r w:rsidR="0069691C" w:rsidRPr="0037437C">
        <w:rPr>
          <w:noProof/>
        </w:rPr>
        <w:t>)</w:t>
      </w:r>
      <w:r w:rsidR="00835778" w:rsidRPr="0037437C">
        <w:fldChar w:fldCharType="end"/>
      </w:r>
      <w:r w:rsidR="007F7D74" w:rsidRPr="0037437C">
        <w:t xml:space="preserve"> </w:t>
      </w:r>
      <w:r w:rsidR="00835778" w:rsidRPr="0037437C">
        <w:fldChar w:fldCharType="begin"/>
      </w:r>
      <w:r w:rsidR="0069691C" w:rsidRPr="0037437C">
        <w:instrText xml:space="preserve"> ADDIN EN.CITE &lt;EndNote&gt;&lt;Cite&gt;&lt;Author&gt;Slade&lt;/Author&gt;&lt;Year&gt;2011&lt;/Year&gt;&lt;RecNum&gt;223&lt;/RecNum&gt;&lt;DisplayText&gt;(9)&lt;/DisplayText&gt;&lt;record&gt;&lt;rec-number&gt;223&lt;/rec-number&gt;&lt;foreign-keys&gt;&lt;key app="EN" db-id="v9pf5rezaaedx8e552iv20572t5tt95drwf5"&gt;223&lt;/key&gt;&lt;/foreign-keys&gt;&lt;ref-type name="Journal Article"&gt;17&lt;/ref-type&gt;&lt;contributors&gt;&lt;authors&gt;&lt;author&gt;Slade, M. &lt;/author&gt;&lt;author&gt;Bird, V. &lt;/author&gt;&lt;author&gt;Le Boutillier, C. &lt;/author&gt;&lt;author&gt;Williams, J. &lt;/author&gt;&lt;author&gt;McCrone, P. &lt;/author&gt;&lt;author&gt;Leamy, M.&lt;/author&gt;&lt;/authors&gt;&lt;/contributors&gt;&lt;titles&gt;&lt;title&gt;REFOCUS Trial: protocol for a cluster randomised controlled trial of a pro-recovery intervention within community based mental health teams&lt;/title&gt;&lt;secondary-title&gt;BMC Psychiatry&lt;/secondary-title&gt;&lt;/titles&gt;&lt;periodical&gt;&lt;full-title&gt;BMC Psychiatry&lt;/full-title&gt;&lt;/periodical&gt;&lt;volume&gt;11&lt;/volume&gt;&lt;section&gt;185&lt;/section&gt;&lt;dates&gt;&lt;year&gt;2011&lt;/year&gt;&lt;/dates&gt;&lt;urls&gt;&lt;/urls&gt;&lt;/record&gt;&lt;/Cite&gt;&lt;/EndNote&gt;</w:instrText>
      </w:r>
      <w:r w:rsidR="00835778" w:rsidRPr="0037437C">
        <w:fldChar w:fldCharType="separate"/>
      </w:r>
      <w:r w:rsidR="0069691C" w:rsidRPr="0037437C">
        <w:rPr>
          <w:noProof/>
        </w:rPr>
        <w:t>(</w:t>
      </w:r>
      <w:hyperlink w:anchor="_ENREF_9" w:tooltip="Slade, 2011 #223" w:history="1">
        <w:r w:rsidR="00FA0BC2" w:rsidRPr="0037437C">
          <w:rPr>
            <w:noProof/>
          </w:rPr>
          <w:t>9</w:t>
        </w:r>
      </w:hyperlink>
      <w:r w:rsidR="0069691C" w:rsidRPr="0037437C">
        <w:rPr>
          <w:noProof/>
        </w:rPr>
        <w:t>)</w:t>
      </w:r>
      <w:r w:rsidR="00835778" w:rsidRPr="0037437C">
        <w:fldChar w:fldCharType="end"/>
      </w:r>
      <w:r w:rsidR="00F06C07" w:rsidRPr="0037437C">
        <w:t>,</w:t>
      </w:r>
      <w:r w:rsidRPr="0037437C">
        <w:t xml:space="preserve"> and there is as yet little evidence on the impact of recovery support on recovery</w:t>
      </w:r>
      <w:r w:rsidR="00261B31" w:rsidRPr="0037437C">
        <w:t xml:space="preserve"> outcomes</w:t>
      </w:r>
      <w:r w:rsidRPr="0037437C">
        <w:t xml:space="preserve">. Having a robust tool to measure recovery will </w:t>
      </w:r>
      <w:r w:rsidR="00F06C07" w:rsidRPr="0037437C">
        <w:t>contribute to this goal</w:t>
      </w:r>
      <w:r w:rsidRPr="0037437C">
        <w:t>.</w:t>
      </w:r>
    </w:p>
    <w:p w:rsidR="00F508B2" w:rsidRPr="0037437C" w:rsidRDefault="00F508B2" w:rsidP="00D002E7">
      <w:pPr>
        <w:spacing w:line="360" w:lineRule="auto"/>
      </w:pPr>
    </w:p>
    <w:p w:rsidR="007A427F" w:rsidRPr="0037437C" w:rsidRDefault="00F508B2" w:rsidP="00D002E7">
      <w:pPr>
        <w:spacing w:line="360" w:lineRule="auto"/>
      </w:pPr>
      <w:r w:rsidRPr="0037437C">
        <w:t>Second</w:t>
      </w:r>
      <w:r w:rsidR="00261B31" w:rsidRPr="0037437C">
        <w:t>ly, the results suggest that the</w:t>
      </w:r>
      <w:r w:rsidRPr="0037437C">
        <w:t xml:space="preserve"> </w:t>
      </w:r>
      <w:r w:rsidR="00F06C07" w:rsidRPr="0037437C">
        <w:t xml:space="preserve">QPR </w:t>
      </w:r>
      <w:r w:rsidR="004D2B33" w:rsidRPr="0037437C">
        <w:t>may have a role in</w:t>
      </w:r>
      <w:r w:rsidR="007F7D74" w:rsidRPr="0037437C">
        <w:t xml:space="preserve"> benchmark</w:t>
      </w:r>
      <w:r w:rsidR="004D2B33" w:rsidRPr="0037437C">
        <w:t>ing</w:t>
      </w:r>
      <w:r w:rsidR="007F7D74" w:rsidRPr="0037437C">
        <w:t xml:space="preserve"> services and </w:t>
      </w:r>
      <w:r w:rsidR="004D2B33" w:rsidRPr="0037437C">
        <w:t xml:space="preserve">comparing </w:t>
      </w:r>
      <w:r w:rsidR="007F7D74" w:rsidRPr="0037437C">
        <w:t xml:space="preserve">the effectiveness of interventions. </w:t>
      </w:r>
      <w:r w:rsidR="009C6665" w:rsidRPr="0037437C">
        <w:t>S</w:t>
      </w:r>
      <w:r w:rsidR="00934615" w:rsidRPr="0037437C">
        <w:t xml:space="preserve">ensitivity to change </w:t>
      </w:r>
      <w:r w:rsidR="004D2B33" w:rsidRPr="0037437C">
        <w:t xml:space="preserve">for QPR Total </w:t>
      </w:r>
      <w:r w:rsidR="00934615" w:rsidRPr="0037437C">
        <w:t>was moderate</w:t>
      </w:r>
      <w:r w:rsidR="00D54A8C" w:rsidRPr="0037437C">
        <w:t xml:space="preserve">. </w:t>
      </w:r>
      <w:r w:rsidR="004D2B33" w:rsidRPr="0037437C">
        <w:t xml:space="preserve">Although this </w:t>
      </w:r>
      <w:r w:rsidR="00D54A8C" w:rsidRPr="0037437C">
        <w:t xml:space="preserve">provides </w:t>
      </w:r>
      <w:r w:rsidR="009C6665" w:rsidRPr="0037437C">
        <w:t xml:space="preserve">stronger evidence than for other recovery measures </w:t>
      </w:r>
      <w:r w:rsidR="00835778" w:rsidRPr="0037437C">
        <w:fldChar w:fldCharType="begin"/>
      </w:r>
      <w:r w:rsidR="001319AA" w:rsidRPr="0037437C">
        <w:instrText xml:space="preserve"> ADDIN EN.CITE &lt;EndNote&gt;&lt;Cite&gt;&lt;Author&gt;Shanks&lt;/Author&gt;&lt;Year&gt;2013&lt;/Year&gt;&lt;RecNum&gt;276&lt;/RecNum&gt;&lt;DisplayText&gt;(5)&lt;/DisplayText&gt;&lt;record&gt;&lt;rec-number&gt;276&lt;/rec-number&gt;&lt;foreign-keys&gt;&lt;key app="EN" db-id="v9pf5rezaaedx8e552iv20572t5tt95drwf5"&gt;276&lt;/key&gt;&lt;/foreign-keys&gt;&lt;ref-type name="Journal Article"&gt;17&lt;/ref-type&gt;&lt;contributors&gt;&lt;authors&gt;&lt;author&gt;Shanks, V.&lt;/author&gt;&lt;author&gt;Williams, J.&lt;/author&gt;&lt;author&gt;Leamy, M.&lt;/author&gt;&lt;author&gt;Bird, V.&lt;/author&gt;&lt;author&gt;Le Boutillier, C.&lt;/author&gt;&lt;author&gt;Slade, M.&lt;/author&gt;&lt;/authors&gt;&lt;/contributors&gt;&lt;titles&gt;&lt;title&gt;Measures of Personal Recovery: A Systematic Review&lt;/title&gt;&lt;secondary-title&gt;Psychiatric Services&lt;/secondary-title&gt;&lt;/titles&gt;&lt;periodical&gt;&lt;full-title&gt;Psychiatric Services&lt;/full-title&gt;&lt;/periodical&gt;&lt;pages&gt;7&lt;/pages&gt;&lt;volume&gt;64&lt;/volume&gt;&lt;number&gt;10&lt;/number&gt;&lt;section&gt;974&lt;/section&gt;&lt;dates&gt;&lt;year&gt;2013&lt;/year&gt;&lt;/dates&gt;&lt;urls&gt;&lt;/urls&gt;&lt;/record&gt;&lt;/Cite&gt;&lt;/EndNote&gt;</w:instrText>
      </w:r>
      <w:r w:rsidR="00835778" w:rsidRPr="0037437C">
        <w:fldChar w:fldCharType="separate"/>
      </w:r>
      <w:r w:rsidR="001319AA" w:rsidRPr="0037437C">
        <w:rPr>
          <w:noProof/>
        </w:rPr>
        <w:t>(</w:t>
      </w:r>
      <w:hyperlink w:anchor="_ENREF_5" w:tooltip="Shanks, 2013 #276" w:history="1">
        <w:r w:rsidR="00FA0BC2" w:rsidRPr="0037437C">
          <w:rPr>
            <w:noProof/>
          </w:rPr>
          <w:t>5</w:t>
        </w:r>
      </w:hyperlink>
      <w:r w:rsidR="001319AA" w:rsidRPr="0037437C">
        <w:rPr>
          <w:noProof/>
        </w:rPr>
        <w:t>)</w:t>
      </w:r>
      <w:r w:rsidR="00835778" w:rsidRPr="0037437C">
        <w:fldChar w:fldCharType="end"/>
      </w:r>
      <w:r w:rsidR="009C6665" w:rsidRPr="0037437C">
        <w:t xml:space="preserve">, a robust understanding of processes impacting on </w:t>
      </w:r>
      <w:r w:rsidR="003373AC" w:rsidRPr="0037437C">
        <w:t xml:space="preserve">sensitivity to change is needed. </w:t>
      </w:r>
      <w:r w:rsidR="00095179" w:rsidRPr="0037437C">
        <w:t xml:space="preserve">The absence of longitudinal studies of personal recovery mean that the level of likely change in recovery is unknown. At one extreme, </w:t>
      </w:r>
      <w:r w:rsidR="00F82468" w:rsidRPr="0037437C">
        <w:t xml:space="preserve">recovery </w:t>
      </w:r>
      <w:r w:rsidR="00095179" w:rsidRPr="0037437C">
        <w:t>may be a highly stable construct, consistent with set point theory which finds that subjective ratings of well-being quickly return to baseline levels, even after life events cause a temporary change</w:t>
      </w:r>
      <w:r w:rsidR="00FA0BC2" w:rsidRPr="0037437C">
        <w:t xml:space="preserve"> </w:t>
      </w:r>
      <w:r w:rsidR="00835778" w:rsidRPr="0037437C">
        <w:fldChar w:fldCharType="begin"/>
      </w:r>
      <w:r w:rsidR="00FA0BC2" w:rsidRPr="0037437C">
        <w:instrText xml:space="preserve"> ADDIN EN.CITE &lt;EndNote&gt;&lt;Cite&gt;&lt;Author&gt;Lykken&lt;/Author&gt;&lt;Year&gt;1996&lt;/Year&gt;&lt;RecNum&gt;566&lt;/RecNum&gt;&lt;DisplayText&gt;(15)&lt;/DisplayText&gt;&lt;record&gt;&lt;rec-number&gt;566&lt;/rec-number&gt;&lt;foreign-keys&gt;&lt;key app="EN" db-id="v9pf5rezaaedx8e552iv20572t5tt95drwf5"&gt;566&lt;/key&gt;&lt;/foreign-keys&gt;&lt;ref-type name="Journal Article"&gt;17&lt;/ref-type&gt;&lt;contributors&gt;&lt;authors&gt;&lt;author&gt;Lykken, D.&lt;/author&gt;&lt;author&gt;Tellegen, A.&lt;/author&gt;&lt;/authors&gt;&lt;/contributors&gt;&lt;titles&gt;&lt;title&gt;Happiness is a stochastic phenomemon&lt;/title&gt;&lt;secondary-title&gt;Psychological Science&lt;/secondary-title&gt;&lt;/titles&gt;&lt;periodical&gt;&lt;full-title&gt;Psychological Science&lt;/full-title&gt;&lt;/periodical&gt;&lt;pages&gt;4&lt;/pages&gt;&lt;volume&gt;7&lt;/volume&gt;&lt;number&gt;3&lt;/number&gt;&lt;section&gt;186&lt;/section&gt;&lt;dates&gt;&lt;year&gt;1996&lt;/year&gt;&lt;/dates&gt;&lt;urls&gt;&lt;/urls&gt;&lt;/record&gt;&lt;/Cite&gt;&lt;/EndNote&gt;</w:instrText>
      </w:r>
      <w:r w:rsidR="00835778" w:rsidRPr="0037437C">
        <w:fldChar w:fldCharType="separate"/>
      </w:r>
      <w:r w:rsidR="00FA0BC2" w:rsidRPr="0037437C">
        <w:rPr>
          <w:noProof/>
        </w:rPr>
        <w:t>(</w:t>
      </w:r>
      <w:hyperlink w:anchor="_ENREF_15" w:tooltip="Lykken, 1996 #566" w:history="1">
        <w:r w:rsidR="00FA0BC2" w:rsidRPr="0037437C">
          <w:rPr>
            <w:noProof/>
          </w:rPr>
          <w:t>15</w:t>
        </w:r>
      </w:hyperlink>
      <w:r w:rsidR="00FA0BC2" w:rsidRPr="0037437C">
        <w:rPr>
          <w:noProof/>
        </w:rPr>
        <w:t>)</w:t>
      </w:r>
      <w:r w:rsidR="00835778" w:rsidRPr="0037437C">
        <w:fldChar w:fldCharType="end"/>
      </w:r>
      <w:r w:rsidR="00095179" w:rsidRPr="0037437C">
        <w:t xml:space="preserve"> . At the other extreme, recovery may be highly unstable and influenced by a range of intrapersonal, interpersonal and social determinants. </w:t>
      </w:r>
      <w:r w:rsidR="003373AC" w:rsidRPr="0037437C">
        <w:t>Given the measurement challenges inherent to subjective rating scales</w:t>
      </w:r>
      <w:r w:rsidR="00095179" w:rsidRPr="0037437C">
        <w:t xml:space="preserve">, the minimally important difference estimate of responsiveness should be established before QPR is </w:t>
      </w:r>
      <w:r w:rsidR="00095179" w:rsidRPr="0037437C">
        <w:lastRenderedPageBreak/>
        <w:t>used for service evaluation.</w:t>
      </w:r>
      <w:r w:rsidR="003373AC" w:rsidRPr="0037437C">
        <w:t xml:space="preserve"> </w:t>
      </w:r>
      <w:r w:rsidR="007F7D74" w:rsidRPr="0037437C">
        <w:t xml:space="preserve">The QPR has been recommended by the Implementing Recovery through Organisational Change (ImROC) initiative as part of a suite of measures to assess recovery support </w:t>
      </w:r>
      <w:r w:rsidR="00835778" w:rsidRPr="0037437C">
        <w:fldChar w:fldCharType="begin"/>
      </w:r>
      <w:r w:rsidR="00FA0BC2" w:rsidRPr="0037437C">
        <w:instrText xml:space="preserve"> ADDIN EN.CITE &lt;EndNote&gt;&lt;Cite&gt;&lt;Author&gt;Shepherd&lt;/Author&gt;&lt;Year&gt;2014&lt;/Year&gt;&lt;RecNum&gt;356&lt;/RecNum&gt;&lt;DisplayText&gt;(16)&lt;/DisplayText&gt;&lt;record&gt;&lt;rec-number&gt;356&lt;/rec-number&gt;&lt;foreign-keys&gt;&lt;key app="EN" db-id="v9pf5rezaaedx8e552iv20572t5tt95drwf5"&gt;356&lt;/key&gt;&lt;/foreign-keys&gt;&lt;ref-type name="Report"&gt;27&lt;/ref-type&gt;&lt;contributors&gt;&lt;authors&gt;&lt;author&gt;Shepherd, G.&lt;/author&gt;&lt;author&gt;Boardman, J.&lt;/author&gt;&lt;author&gt;Rinaldi, M.&lt;/author&gt;&lt;author&gt;Roberts, G.&lt;/author&gt;&lt;/authors&gt;&lt;/contributors&gt;&lt;titles&gt;&lt;title&gt;Supporting recovery in mental health services: Quality and Outcomes&lt;/title&gt;&lt;/titles&gt;&lt;dates&gt;&lt;year&gt;2014&lt;/year&gt;&lt;/dates&gt;&lt;pub-location&gt;London&lt;/pub-location&gt;&lt;publisher&gt;Centre for Mental Health, NHS Confederation&lt;/publisher&gt;&lt;urls&gt;&lt;/urls&gt;&lt;/record&gt;&lt;/Cite&gt;&lt;/EndNote&gt;</w:instrText>
      </w:r>
      <w:r w:rsidR="00835778" w:rsidRPr="0037437C">
        <w:fldChar w:fldCharType="separate"/>
      </w:r>
      <w:r w:rsidR="00FA0BC2" w:rsidRPr="0037437C">
        <w:rPr>
          <w:noProof/>
        </w:rPr>
        <w:t>(</w:t>
      </w:r>
      <w:hyperlink w:anchor="_ENREF_16" w:tooltip="Shepherd, 2014 #356" w:history="1">
        <w:r w:rsidR="00FA0BC2" w:rsidRPr="0037437C">
          <w:rPr>
            <w:noProof/>
          </w:rPr>
          <w:t>16</w:t>
        </w:r>
      </w:hyperlink>
      <w:r w:rsidR="00FA0BC2" w:rsidRPr="0037437C">
        <w:rPr>
          <w:noProof/>
        </w:rPr>
        <w:t>)</w:t>
      </w:r>
      <w:r w:rsidR="00835778" w:rsidRPr="0037437C">
        <w:fldChar w:fldCharType="end"/>
      </w:r>
      <w:r w:rsidR="007F7D74" w:rsidRPr="0037437C">
        <w:t xml:space="preserve">. </w:t>
      </w:r>
      <w:r w:rsidR="00250A3B" w:rsidRPr="0037437C">
        <w:t xml:space="preserve"> Robust measures of recovery support such as INSPIRE </w:t>
      </w:r>
      <w:r w:rsidR="00835778" w:rsidRPr="0037437C">
        <w:fldChar w:fldCharType="begin"/>
      </w:r>
      <w:r w:rsidR="00FA0BC2" w:rsidRPr="0037437C">
        <w:instrText xml:space="preserve"> ADDIN EN.CITE &lt;EndNote&gt;&lt;Cite&gt;&lt;Author&gt;Williams&lt;/Author&gt;&lt;Year&gt;2014&lt;/Year&gt;&lt;RecNum&gt;520&lt;/RecNum&gt;&lt;DisplayText&gt;(17)&lt;/DisplayText&gt;&lt;record&gt;&lt;rec-number&gt;520&lt;/rec-number&gt;&lt;foreign-keys&gt;&lt;key app="EN" db-id="v9pf5rezaaedx8e552iv20572t5tt95drwf5"&gt;520&lt;/key&gt;&lt;/foreign-keys&gt;&lt;ref-type name="Journal Article"&gt;17&lt;/ref-type&gt;&lt;contributors&gt;&lt;authors&gt;&lt;author&gt;Williams, J.&lt;/author&gt;&lt;author&gt;Leamy, M.&lt;/author&gt;&lt;author&gt;Bird, V.&lt;/author&gt;&lt;author&gt;Le Boutiller, C.&lt;/author&gt;&lt;author&gt;Norton, S.&lt;/author&gt;&lt;author&gt;Pesola, F.&lt;/author&gt;&lt;author&gt;Slade, M.&lt;/author&gt;&lt;/authors&gt;&lt;/contributors&gt;&lt;titles&gt;&lt;title&gt;Development and evaluation of the INSPIRE measure of staff support for personal recovery&lt;/title&gt;&lt;secondary-title&gt;Social Psychiatry and Psychiatric Epidemiology&lt;/secondary-title&gt;&lt;/titles&gt;&lt;periodical&gt;&lt;full-title&gt;Social Psychiatry and Psychiatric Epidemiology&lt;/full-title&gt;&lt;/periodical&gt;&lt;dates&gt;&lt;year&gt;2014&lt;/year&gt;&lt;/dates&gt;&lt;urls&gt;&lt;/urls&gt;&lt;electronic-resource-num&gt;10.1007/s00127-014-0983-0&lt;/electronic-resource-num&gt;&lt;/record&gt;&lt;/Cite&gt;&lt;/EndNote&gt;</w:instrText>
      </w:r>
      <w:r w:rsidR="00835778" w:rsidRPr="0037437C">
        <w:fldChar w:fldCharType="separate"/>
      </w:r>
      <w:r w:rsidR="00FA0BC2" w:rsidRPr="0037437C">
        <w:rPr>
          <w:noProof/>
        </w:rPr>
        <w:t>(</w:t>
      </w:r>
      <w:hyperlink w:anchor="_ENREF_17" w:tooltip="Williams, 2014 #520" w:history="1">
        <w:r w:rsidR="00FA0BC2" w:rsidRPr="0037437C">
          <w:rPr>
            <w:noProof/>
          </w:rPr>
          <w:t>17</w:t>
        </w:r>
      </w:hyperlink>
      <w:r w:rsidR="00FA0BC2" w:rsidRPr="0037437C">
        <w:rPr>
          <w:noProof/>
        </w:rPr>
        <w:t>)</w:t>
      </w:r>
      <w:r w:rsidR="00835778" w:rsidRPr="0037437C">
        <w:fldChar w:fldCharType="end"/>
      </w:r>
      <w:r w:rsidR="0068267C" w:rsidRPr="0037437C">
        <w:t xml:space="preserve"> </w:t>
      </w:r>
      <w:r w:rsidR="00250A3B" w:rsidRPr="0037437C">
        <w:t xml:space="preserve">can be used in conjunction with the QPR to assess the relationship between recovery support and the experience of recovery. </w:t>
      </w:r>
    </w:p>
    <w:p w:rsidR="00F508B2" w:rsidRPr="0037437C" w:rsidRDefault="00F508B2" w:rsidP="00D002E7">
      <w:pPr>
        <w:spacing w:line="360" w:lineRule="auto"/>
      </w:pPr>
    </w:p>
    <w:p w:rsidR="007F7D74" w:rsidRPr="0037437C" w:rsidRDefault="00F508B2" w:rsidP="00D002E7">
      <w:pPr>
        <w:spacing w:line="360" w:lineRule="auto"/>
      </w:pPr>
      <w:r w:rsidRPr="0037437C">
        <w:t xml:space="preserve">Third, </w:t>
      </w:r>
      <w:r w:rsidR="00250A3B" w:rsidRPr="0037437C">
        <w:t xml:space="preserve">Government policy in England has become more outcome-focused </w:t>
      </w:r>
      <w:r w:rsidR="00835778" w:rsidRPr="0037437C">
        <w:fldChar w:fldCharType="begin"/>
      </w:r>
      <w:r w:rsidR="0069691C" w:rsidRPr="0037437C">
        <w:instrText xml:space="preserve"> ADDIN EN.CITE &lt;EndNote&gt;&lt;Cite&gt;&lt;Author&gt;Department of Health&lt;/Author&gt;&lt;Year&gt;2011&lt;/Year&gt;&lt;RecNum&gt;33&lt;/RecNum&gt;&lt;DisplayText&gt;(2)&lt;/DisplayText&gt;&lt;record&gt;&lt;rec-number&gt;33&lt;/rec-number&gt;&lt;foreign-keys&gt;&lt;key app="EN" db-id="v9pf5rezaaedx8e552iv20572t5tt95drwf5"&gt;33&lt;/key&gt;&lt;/foreign-keys&gt;&lt;ref-type name="Report"&gt;27&lt;/ref-type&gt;&lt;contributors&gt;&lt;authors&gt;&lt;author&gt;Department of Health,&lt;/author&gt;&lt;/authors&gt;&lt;/contributors&gt;&lt;titles&gt;&lt;title&gt;No health without mental health: a cross-government mental health outcomes strategy for people of all ages&lt;/title&gt;&lt;/titles&gt;&lt;dates&gt;&lt;year&gt;2011&lt;/year&gt;&lt;/dates&gt;&lt;pub-location&gt;London&lt;/pub-location&gt;&lt;publisher&gt;Department of Health&lt;/publisher&gt;&lt;urls&gt;&lt;/urls&gt;&lt;/record&gt;&lt;/Cite&gt;&lt;/EndNote&gt;</w:instrText>
      </w:r>
      <w:r w:rsidR="00835778" w:rsidRPr="0037437C">
        <w:fldChar w:fldCharType="separate"/>
      </w:r>
      <w:r w:rsidR="0069691C" w:rsidRPr="0037437C">
        <w:rPr>
          <w:noProof/>
        </w:rPr>
        <w:t>(</w:t>
      </w:r>
      <w:hyperlink w:anchor="_ENREF_2" w:tooltip="Department of Health, 2011 #33" w:history="1">
        <w:r w:rsidR="00FA0BC2" w:rsidRPr="0037437C">
          <w:rPr>
            <w:noProof/>
          </w:rPr>
          <w:t>2</w:t>
        </w:r>
      </w:hyperlink>
      <w:r w:rsidR="0069691C" w:rsidRPr="0037437C">
        <w:rPr>
          <w:noProof/>
        </w:rPr>
        <w:t>)</w:t>
      </w:r>
      <w:r w:rsidR="00835778" w:rsidRPr="0037437C">
        <w:fldChar w:fldCharType="end"/>
      </w:r>
      <w:r w:rsidR="00250A3B" w:rsidRPr="0037437C">
        <w:t xml:space="preserve"> and the introduction of the Payment by Results funding system in mental health services may lead to outcome measurement </w:t>
      </w:r>
      <w:r w:rsidR="00F06C07" w:rsidRPr="0037437C">
        <w:t xml:space="preserve">being </w:t>
      </w:r>
      <w:r w:rsidR="00250A3B" w:rsidRPr="0037437C">
        <w:t xml:space="preserve">more widely introduced. As recovery is a policy aim, services may need to routinely measure recovery. </w:t>
      </w:r>
      <w:r w:rsidR="0048060C" w:rsidRPr="0037437C">
        <w:t>Furthermore, t</w:t>
      </w:r>
      <w:r w:rsidR="007A427F" w:rsidRPr="0037437C">
        <w:t xml:space="preserve">here is a growing interest in the use of Patient Reported Outcome Measures (PROMs) such as the QPR in mental health services </w:t>
      </w:r>
      <w:r w:rsidR="00835778" w:rsidRPr="0037437C">
        <w:fldChar w:fldCharType="begin"/>
      </w:r>
      <w:r w:rsidR="00FA0BC2" w:rsidRPr="0037437C">
        <w:instrText xml:space="preserve"> ADDIN EN.CITE &lt;EndNote&gt;&lt;Cite&gt;&lt;Author&gt;McCabe&lt;/Author&gt;&lt;Year&gt;2007&lt;/Year&gt;&lt;RecNum&gt;478&lt;/RecNum&gt;&lt;DisplayText&gt;(18)&lt;/DisplayText&gt;&lt;record&gt;&lt;rec-number&gt;478&lt;/rec-number&gt;&lt;foreign-keys&gt;&lt;key app="EN" db-id="v9pf5rezaaedx8e552iv20572t5tt95drwf5"&gt;478&lt;/key&gt;&lt;/foreign-keys&gt;&lt;ref-type name="Journal Article"&gt;17&lt;/ref-type&gt;&lt;contributors&gt;&lt;authors&gt;&lt;author&gt;McCabe, R.&lt;/author&gt;&lt;author&gt;Saidi, M.&lt;/author&gt;&lt;author&gt;Priebe, S.&lt;/author&gt;&lt;/authors&gt;&lt;/contributors&gt;&lt;titles&gt;&lt;title&gt;Patient-reported outcomes in schizophrenia&lt;/title&gt;&lt;secondary-title&gt;British Journal of Psychiatry&lt;/secondary-title&gt;&lt;/titles&gt;&lt;periodical&gt;&lt;full-title&gt;British Journal of Psychiatry&lt;/full-title&gt;&lt;/periodical&gt;&lt;pages&gt;8&lt;/pages&gt;&lt;volume&gt;191&lt;/volume&gt;&lt;section&gt;s21&lt;/section&gt;&lt;dates&gt;&lt;year&gt;2007&lt;/year&gt;&lt;/dates&gt;&lt;urls&gt;&lt;/urls&gt;&lt;/record&gt;&lt;/Cite&gt;&lt;/EndNote&gt;</w:instrText>
      </w:r>
      <w:r w:rsidR="00835778" w:rsidRPr="0037437C">
        <w:fldChar w:fldCharType="separate"/>
      </w:r>
      <w:r w:rsidR="00FA0BC2" w:rsidRPr="0037437C">
        <w:rPr>
          <w:noProof/>
        </w:rPr>
        <w:t>(</w:t>
      </w:r>
      <w:hyperlink w:anchor="_ENREF_18" w:tooltip="McCabe, 2007 #478" w:history="1">
        <w:r w:rsidR="00FA0BC2" w:rsidRPr="0037437C">
          <w:rPr>
            <w:noProof/>
          </w:rPr>
          <w:t>18</w:t>
        </w:r>
      </w:hyperlink>
      <w:r w:rsidR="00FA0BC2" w:rsidRPr="0037437C">
        <w:rPr>
          <w:noProof/>
        </w:rPr>
        <w:t>)</w:t>
      </w:r>
      <w:r w:rsidR="00835778" w:rsidRPr="0037437C">
        <w:fldChar w:fldCharType="end"/>
      </w:r>
      <w:r w:rsidR="00F06C07" w:rsidRPr="0037437C">
        <w:t>.</w:t>
      </w:r>
    </w:p>
    <w:p w:rsidR="001E2C80" w:rsidRPr="0037437C" w:rsidRDefault="001E2C80" w:rsidP="00D002E7">
      <w:pPr>
        <w:spacing w:line="360" w:lineRule="auto"/>
      </w:pPr>
    </w:p>
    <w:p w:rsidR="00B24AE3" w:rsidRPr="0037437C" w:rsidRDefault="00B24AE3" w:rsidP="00D002E7">
      <w:pPr>
        <w:spacing w:line="360" w:lineRule="auto"/>
        <w:rPr>
          <w:i/>
        </w:rPr>
      </w:pPr>
      <w:r w:rsidRPr="0037437C">
        <w:rPr>
          <w:i/>
        </w:rPr>
        <w:t>QPR in research</w:t>
      </w:r>
    </w:p>
    <w:p w:rsidR="00D17D2E" w:rsidRPr="0037437C" w:rsidRDefault="00F06C07" w:rsidP="00D002E7">
      <w:pPr>
        <w:spacing w:line="360" w:lineRule="auto"/>
      </w:pPr>
      <w:r w:rsidRPr="0037437C">
        <w:t xml:space="preserve">The relationship between </w:t>
      </w:r>
      <w:r w:rsidR="00982DC4" w:rsidRPr="0037437C">
        <w:t xml:space="preserve">recovery </w:t>
      </w:r>
      <w:r w:rsidRPr="0037437C">
        <w:t xml:space="preserve">and </w:t>
      </w:r>
      <w:r w:rsidR="00982DC4" w:rsidRPr="0037437C">
        <w:t xml:space="preserve">other outcomes in mental health is still being explored </w:t>
      </w:r>
      <w:r w:rsidR="00835778" w:rsidRPr="0037437C">
        <w:fldChar w:fldCharType="begin"/>
      </w:r>
      <w:r w:rsidR="00FA0BC2" w:rsidRPr="0037437C">
        <w:instrText xml:space="preserve"> ADDIN EN.CITE &lt;EndNote&gt;&lt;Cite&gt;&lt;Author&gt;Andresen&lt;/Author&gt;&lt;Year&gt;2010&lt;/Year&gt;&lt;RecNum&gt;3&lt;/RecNum&gt;&lt;DisplayText&gt;(19)&lt;/DisplayText&gt;&lt;record&gt;&lt;rec-number&gt;3&lt;/rec-number&gt;&lt;foreign-keys&gt;&lt;key app="EN" db-id="v9pf5rezaaedx8e552iv20572t5tt95drwf5"&gt;3&lt;/key&gt;&lt;/foreign-keys&gt;&lt;ref-type name="Journal Article"&gt;17&lt;/ref-type&gt;&lt;contributors&gt;&lt;authors&gt;&lt;author&gt;Andresen, R.&lt;/author&gt;&lt;author&gt;Caputi, P.&lt;/author&gt;&lt;author&gt;Oades, L.&lt;/author&gt;&lt;/authors&gt;&lt;/contributors&gt;&lt;titles&gt;&lt;title&gt;Do clinical outcome measures assess consumer-defined recovery?&lt;/title&gt;&lt;secondary-title&gt;Psychiatry Research&lt;/secondary-title&gt;&lt;/titles&gt;&lt;periodical&gt;&lt;full-title&gt;Psychiatry Research&lt;/full-title&gt;&lt;/periodical&gt;&lt;pages&gt;309-317&lt;/pages&gt;&lt;volume&gt;177&lt;/volume&gt;&lt;reprint-edition&gt;NOT IN FILE&lt;/reprint-edition&gt;&lt;dates&gt;&lt;year&gt;2010&lt;/year&gt;&lt;/dates&gt;&lt;urls&gt;&lt;/urls&gt;&lt;/record&gt;&lt;/Cite&gt;&lt;/EndNote&gt;</w:instrText>
      </w:r>
      <w:r w:rsidR="00835778" w:rsidRPr="0037437C">
        <w:fldChar w:fldCharType="separate"/>
      </w:r>
      <w:r w:rsidR="00FA0BC2" w:rsidRPr="0037437C">
        <w:rPr>
          <w:noProof/>
        </w:rPr>
        <w:t>(</w:t>
      </w:r>
      <w:hyperlink w:anchor="_ENREF_19" w:tooltip="Andresen, 2010 #3" w:history="1">
        <w:r w:rsidR="00FA0BC2" w:rsidRPr="0037437C">
          <w:rPr>
            <w:noProof/>
          </w:rPr>
          <w:t>19</w:t>
        </w:r>
      </w:hyperlink>
      <w:r w:rsidR="00FA0BC2" w:rsidRPr="0037437C">
        <w:rPr>
          <w:noProof/>
        </w:rPr>
        <w:t>)</w:t>
      </w:r>
      <w:r w:rsidR="00835778" w:rsidRPr="0037437C">
        <w:fldChar w:fldCharType="end"/>
      </w:r>
      <w:r w:rsidR="00982DC4" w:rsidRPr="0037437C">
        <w:t xml:space="preserve">, and </w:t>
      </w:r>
      <w:r w:rsidRPr="0037437C">
        <w:t xml:space="preserve">standardised </w:t>
      </w:r>
      <w:r w:rsidR="00982DC4" w:rsidRPr="0037437C">
        <w:t xml:space="preserve">measures of recovery </w:t>
      </w:r>
      <w:r w:rsidRPr="0037437C">
        <w:t>are needed</w:t>
      </w:r>
      <w:r w:rsidR="00982DC4" w:rsidRPr="0037437C">
        <w:t xml:space="preserve">. </w:t>
      </w:r>
      <w:r w:rsidR="00314B72" w:rsidRPr="0037437C">
        <w:t xml:space="preserve"> </w:t>
      </w:r>
      <w:r w:rsidR="009A048A" w:rsidRPr="0037437C">
        <w:t xml:space="preserve">One issue </w:t>
      </w:r>
      <w:r w:rsidR="00314B72" w:rsidRPr="0037437C">
        <w:t>for</w:t>
      </w:r>
      <w:r w:rsidR="009A048A" w:rsidRPr="0037437C">
        <w:t xml:space="preserve"> </w:t>
      </w:r>
      <w:r w:rsidR="0048060C" w:rsidRPr="0037437C">
        <w:t xml:space="preserve">the </w:t>
      </w:r>
      <w:r w:rsidR="009A048A" w:rsidRPr="0037437C">
        <w:t>measure</w:t>
      </w:r>
      <w:r w:rsidRPr="0037437C">
        <w:t xml:space="preserve">ment of </w:t>
      </w:r>
      <w:r w:rsidR="00314B72" w:rsidRPr="0037437C">
        <w:t xml:space="preserve">recovery </w:t>
      </w:r>
      <w:r w:rsidR="009A048A" w:rsidRPr="0037437C">
        <w:t>is ensuring th</w:t>
      </w:r>
      <w:r w:rsidR="00314B72" w:rsidRPr="0037437C">
        <w:t xml:space="preserve">at </w:t>
      </w:r>
      <w:r w:rsidR="0048060C" w:rsidRPr="0037437C">
        <w:t xml:space="preserve">recovery </w:t>
      </w:r>
      <w:r w:rsidR="00314B72" w:rsidRPr="0037437C">
        <w:t>measures h</w:t>
      </w:r>
      <w:r w:rsidR="009A048A" w:rsidRPr="0037437C">
        <w:t xml:space="preserve">ave a robust conceptual underpinning </w:t>
      </w:r>
      <w:r w:rsidR="00835778" w:rsidRPr="0037437C">
        <w:fldChar w:fldCharType="begin"/>
      </w:r>
      <w:r w:rsidR="00FA0BC2" w:rsidRPr="0037437C">
        <w:instrText xml:space="preserve"> ADDIN EN.CITE &lt;EndNote&gt;&lt;Cite&gt;&lt;Author&gt;Burgess&lt;/Author&gt;&lt;Year&gt;2011&lt;/Year&gt;&lt;RecNum&gt;14&lt;/RecNum&gt;&lt;DisplayText&gt;(20)&lt;/DisplayText&gt;&lt;record&gt;&lt;rec-number&gt;14&lt;/rec-number&gt;&lt;foreign-keys&gt;&lt;key app="EN" db-id="v9pf5rezaaedx8e552iv20572t5tt95drwf5"&gt;14&lt;/key&gt;&lt;/foreign-keys&gt;&lt;ref-type name="Journal Article"&gt;17&lt;/ref-type&gt;&lt;contributors&gt;&lt;authors&gt;&lt;author&gt;Burgess, P.&lt;/author&gt;&lt;author&gt;Pirkis, J.&lt;/author&gt;&lt;author&gt;Coombs, T.&lt;/author&gt;&lt;author&gt;Rosen, A.&lt;/author&gt;&lt;/authors&gt;&lt;/contributors&gt;&lt;titles&gt;&lt;title&gt;Assessing the value of existing recovery measures for routine use in Australian mental health services&lt;/title&gt;&lt;secondary-title&gt;Australian and New Zealand Journal of Psychiatry&lt;/secondary-title&gt;&lt;/titles&gt;&lt;periodical&gt;&lt;full-title&gt;Australian and New Zealand Journal of Psychiatry&lt;/full-title&gt;&lt;/periodical&gt;&lt;pages&gt;1-14&lt;/pages&gt;&lt;volume&gt;45&lt;/volume&gt;&lt;number&gt;4&lt;/number&gt;&lt;reprint-edition&gt;NOT IN FILE&lt;/reprint-edition&gt;&lt;dates&gt;&lt;year&gt;2011&lt;/year&gt;&lt;/dates&gt;&lt;urls&gt;&lt;/urls&gt;&lt;/record&gt;&lt;/Cite&gt;&lt;/EndNote&gt;</w:instrText>
      </w:r>
      <w:r w:rsidR="00835778" w:rsidRPr="0037437C">
        <w:fldChar w:fldCharType="separate"/>
      </w:r>
      <w:r w:rsidR="00FA0BC2" w:rsidRPr="0037437C">
        <w:rPr>
          <w:noProof/>
        </w:rPr>
        <w:t>(</w:t>
      </w:r>
      <w:hyperlink w:anchor="_ENREF_20" w:tooltip="Burgess, 2011 #14" w:history="1">
        <w:r w:rsidR="00FA0BC2" w:rsidRPr="0037437C">
          <w:rPr>
            <w:noProof/>
          </w:rPr>
          <w:t>20</w:t>
        </w:r>
      </w:hyperlink>
      <w:r w:rsidR="00FA0BC2" w:rsidRPr="0037437C">
        <w:rPr>
          <w:noProof/>
        </w:rPr>
        <w:t>)</w:t>
      </w:r>
      <w:r w:rsidR="00835778" w:rsidRPr="0037437C">
        <w:fldChar w:fldCharType="end"/>
      </w:r>
      <w:r w:rsidR="009A048A" w:rsidRPr="0037437C">
        <w:t xml:space="preserve">. An empirical understanding of key recovery processes </w:t>
      </w:r>
      <w:r w:rsidR="0048060C" w:rsidRPr="0037437C">
        <w:t xml:space="preserve">is emerging, such as </w:t>
      </w:r>
      <w:r w:rsidR="00293604" w:rsidRPr="0037437C">
        <w:t xml:space="preserve">the CHIME framework which </w:t>
      </w:r>
      <w:r w:rsidRPr="0037437C">
        <w:t xml:space="preserve">identifies recovery </w:t>
      </w:r>
      <w:r w:rsidR="00293604" w:rsidRPr="0037437C">
        <w:t xml:space="preserve">processes of Connectedness, Hope, Identity, Meaning and Purpose, and Empowerment </w:t>
      </w:r>
      <w:r w:rsidR="00835778" w:rsidRPr="0037437C">
        <w:fldChar w:fldCharType="begin"/>
      </w:r>
      <w:r w:rsidR="0069691C" w:rsidRPr="0037437C">
        <w:instrText xml:space="preserve"> ADDIN EN.CITE &lt;EndNote&gt;&lt;Cite&gt;&lt;Author&gt;Leamy&lt;/Author&gt;&lt;Year&gt;2011&lt;/Year&gt;&lt;RecNum&gt;61&lt;/RecNum&gt;&lt;DisplayText&gt;(3)&lt;/DisplayText&gt;&lt;record&gt;&lt;rec-number&gt;61&lt;/rec-number&gt;&lt;foreign-keys&gt;&lt;key app="EN" db-id="v9pf5rezaaedx8e552iv20572t5tt95drwf5"&gt;61&lt;/key&gt;&lt;/foreign-keys&gt;&lt;ref-type name="Journal Article"&gt;17&lt;/ref-type&gt;&lt;contributors&gt;&lt;authors&gt;&lt;author&gt;Leamy, M.&lt;/author&gt;&lt;author&gt;Slade, M.&lt;/author&gt;&lt;author&gt;Le Boutillier, C.&lt;/author&gt;&lt;author&gt;Williams, J.&lt;/author&gt;&lt;author&gt;Bird, V.&lt;/author&gt;&lt;/authors&gt;&lt;/contributors&gt;&lt;titles&gt;&lt;title&gt;A conceptual framework for personal recovery in mental health: systematic review and narrative synthesis&lt;/title&gt;&lt;secondary-title&gt;British Journal of Psychiatry&lt;/secondary-title&gt;&lt;/titles&gt;&lt;periodical&gt;&lt;full-title&gt;British Journal of Psychiatry&lt;/full-title&gt;&lt;/periodical&gt;&lt;pages&gt;8&lt;/pages&gt;&lt;volume&gt;199&lt;/volume&gt;&lt;section&gt;445&lt;/section&gt;&lt;reprint-edition&gt;NOT IN FILE&lt;/reprint-edition&gt;&lt;dates&gt;&lt;year&gt;2011&lt;/year&gt;&lt;/dates&gt;&lt;urls&gt;&lt;/urls&gt;&lt;/record&gt;&lt;/Cite&gt;&lt;/EndNote&gt;</w:instrText>
      </w:r>
      <w:r w:rsidR="00835778" w:rsidRPr="0037437C">
        <w:fldChar w:fldCharType="separate"/>
      </w:r>
      <w:r w:rsidR="0069691C" w:rsidRPr="0037437C">
        <w:rPr>
          <w:noProof/>
        </w:rPr>
        <w:t>(</w:t>
      </w:r>
      <w:hyperlink w:anchor="_ENREF_3" w:tooltip="Leamy, 2011 #61" w:history="1">
        <w:r w:rsidR="00FA0BC2" w:rsidRPr="0037437C">
          <w:rPr>
            <w:noProof/>
          </w:rPr>
          <w:t>3</w:t>
        </w:r>
      </w:hyperlink>
      <w:r w:rsidR="0069691C" w:rsidRPr="0037437C">
        <w:rPr>
          <w:noProof/>
        </w:rPr>
        <w:t>)</w:t>
      </w:r>
      <w:r w:rsidR="00835778" w:rsidRPr="0037437C">
        <w:fldChar w:fldCharType="end"/>
      </w:r>
      <w:r w:rsidR="00293604" w:rsidRPr="0037437C">
        <w:t xml:space="preserve">. A systematic review of recovery measures </w:t>
      </w:r>
      <w:r w:rsidR="0048060C" w:rsidRPr="0037437C">
        <w:t xml:space="preserve">which </w:t>
      </w:r>
      <w:r w:rsidR="00293604" w:rsidRPr="0037437C">
        <w:t xml:space="preserve">used the CHIME Framework to identify </w:t>
      </w:r>
      <w:r w:rsidRPr="0037437C">
        <w:t xml:space="preserve">the breadth of coverage of recovery </w:t>
      </w:r>
      <w:r w:rsidR="00293604" w:rsidRPr="0037437C">
        <w:t>measures</w:t>
      </w:r>
      <w:r w:rsidRPr="0037437C">
        <w:t xml:space="preserve">, </w:t>
      </w:r>
      <w:r w:rsidR="0048060C" w:rsidRPr="0037437C">
        <w:t>indicat</w:t>
      </w:r>
      <w:r w:rsidRPr="0037437C">
        <w:t xml:space="preserve">ed </w:t>
      </w:r>
      <w:r w:rsidR="00293604" w:rsidRPr="0037437C">
        <w:t xml:space="preserve">that the QPR had the best spread of items covering the five  processes, </w:t>
      </w:r>
      <w:r w:rsidRPr="0037437C">
        <w:t xml:space="preserve">suggesting </w:t>
      </w:r>
      <w:r w:rsidR="00293604" w:rsidRPr="0037437C">
        <w:t xml:space="preserve">that the QPR is measuring </w:t>
      </w:r>
      <w:r w:rsidR="00AE4B87" w:rsidRPr="0037437C">
        <w:t xml:space="preserve">these aspects of </w:t>
      </w:r>
      <w:r w:rsidR="00293604" w:rsidRPr="0037437C">
        <w:t xml:space="preserve">recovery </w:t>
      </w:r>
      <w:r w:rsidR="00835778" w:rsidRPr="0037437C">
        <w:fldChar w:fldCharType="begin"/>
      </w:r>
      <w:r w:rsidR="0069691C" w:rsidRPr="0037437C">
        <w:instrText xml:space="preserve"> ADDIN EN.CITE &lt;EndNote&gt;&lt;Cite&gt;&lt;Author&gt;Shanks&lt;/Author&gt;&lt;Year&gt;2013&lt;/Year&gt;&lt;RecNum&gt;276&lt;/RecNum&gt;&lt;DisplayText&gt;(5)&lt;/DisplayText&gt;&lt;record&gt;&lt;rec-number&gt;276&lt;/rec-number&gt;&lt;foreign-keys&gt;&lt;key app="EN" db-id="v9pf5rezaaedx8e552iv20572t5tt95drwf5"&gt;276&lt;/key&gt;&lt;/foreign-keys&gt;&lt;ref-type name="Journal Article"&gt;17&lt;/ref-type&gt;&lt;contributors&gt;&lt;authors&gt;&lt;author&gt;Shanks, V.&lt;/author&gt;&lt;author&gt;Williams, J.&lt;/author&gt;&lt;author&gt;Leamy, M.&lt;/author&gt;&lt;author&gt;Bird, V.&lt;/author&gt;&lt;author&gt;Le Boutillier, C.&lt;/author&gt;&lt;author&gt;Slade, M.&lt;/author&gt;&lt;/authors&gt;&lt;/contributors&gt;&lt;titles&gt;&lt;title&gt;Measures of Personal Recovery: A Systematic Review&lt;/title&gt;&lt;secondary-title&gt;Psychiatric Services&lt;/secondary-title&gt;&lt;/titles&gt;&lt;periodical&gt;&lt;full-title&gt;Psychiatric Services&lt;/full-title&gt;&lt;/periodical&gt;&lt;pages&gt;7&lt;/pages&gt;&lt;volume&gt;64&lt;/volume&gt;&lt;number&gt;10&lt;/number&gt;&lt;section&gt;974&lt;/section&gt;&lt;dates&gt;&lt;year&gt;2013&lt;/year&gt;&lt;/dates&gt;&lt;urls&gt;&lt;/urls&gt;&lt;/record&gt;&lt;/Cite&gt;&lt;/EndNote&gt;</w:instrText>
      </w:r>
      <w:r w:rsidR="00835778" w:rsidRPr="0037437C">
        <w:fldChar w:fldCharType="separate"/>
      </w:r>
      <w:r w:rsidR="0069691C" w:rsidRPr="0037437C">
        <w:rPr>
          <w:noProof/>
        </w:rPr>
        <w:t>(</w:t>
      </w:r>
      <w:hyperlink w:anchor="_ENREF_5" w:tooltip="Shanks, 2013 #276" w:history="1">
        <w:r w:rsidR="00FA0BC2" w:rsidRPr="0037437C">
          <w:rPr>
            <w:noProof/>
          </w:rPr>
          <w:t>5</w:t>
        </w:r>
      </w:hyperlink>
      <w:r w:rsidR="0069691C" w:rsidRPr="0037437C">
        <w:rPr>
          <w:noProof/>
        </w:rPr>
        <w:t>)</w:t>
      </w:r>
      <w:r w:rsidR="00835778" w:rsidRPr="0037437C">
        <w:fldChar w:fldCharType="end"/>
      </w:r>
      <w:r w:rsidR="00293604" w:rsidRPr="0037437C">
        <w:t xml:space="preserve">. </w:t>
      </w:r>
    </w:p>
    <w:p w:rsidR="00293604" w:rsidRPr="0037437C" w:rsidRDefault="00293604" w:rsidP="00D002E7">
      <w:pPr>
        <w:spacing w:line="360" w:lineRule="auto"/>
      </w:pPr>
    </w:p>
    <w:p w:rsidR="0048060C" w:rsidRPr="0037437C" w:rsidRDefault="0048060C" w:rsidP="00057F07">
      <w:pPr>
        <w:pStyle w:val="CommentText"/>
        <w:spacing w:line="360" w:lineRule="auto"/>
        <w:rPr>
          <w:sz w:val="24"/>
          <w:szCs w:val="24"/>
        </w:rPr>
      </w:pPr>
      <w:r w:rsidRPr="0037437C">
        <w:rPr>
          <w:sz w:val="24"/>
          <w:szCs w:val="24"/>
        </w:rPr>
        <w:t>We identify two key knowledge outcomes from this study. Firstly</w:t>
      </w:r>
      <w:r w:rsidR="00634B3D" w:rsidRPr="0037437C">
        <w:rPr>
          <w:sz w:val="24"/>
          <w:szCs w:val="24"/>
        </w:rPr>
        <w:t>, t</w:t>
      </w:r>
      <w:r w:rsidR="00493A55" w:rsidRPr="0037437C">
        <w:rPr>
          <w:sz w:val="24"/>
          <w:szCs w:val="24"/>
        </w:rPr>
        <w:t>he 15-item QPR Total scale can be recommended for use in research and clinical practice. Our recommendation reflects its adequate psychometrics, lower burden compared with the 22-item version, and easier interpretation (as a total score, rather than two sub-scales).</w:t>
      </w:r>
      <w:r w:rsidR="00F17CD0" w:rsidRPr="0037437C">
        <w:rPr>
          <w:sz w:val="24"/>
          <w:szCs w:val="24"/>
        </w:rPr>
        <w:t xml:space="preserve"> </w:t>
      </w:r>
      <w:r w:rsidR="00634B3D" w:rsidRPr="0037437C">
        <w:rPr>
          <w:sz w:val="24"/>
          <w:szCs w:val="24"/>
        </w:rPr>
        <w:t>A</w:t>
      </w:r>
      <w:r w:rsidR="00F17CD0" w:rsidRPr="0037437C">
        <w:rPr>
          <w:sz w:val="24"/>
          <w:szCs w:val="24"/>
        </w:rPr>
        <w:t xml:space="preserve"> shorter version reduces the burden on respondents which is an advantage </w:t>
      </w:r>
      <w:r w:rsidR="00835778" w:rsidRPr="0037437C">
        <w:rPr>
          <w:sz w:val="24"/>
          <w:szCs w:val="24"/>
        </w:rPr>
        <w:fldChar w:fldCharType="begin"/>
      </w:r>
      <w:r w:rsidR="00FA0BC2" w:rsidRPr="0037437C">
        <w:rPr>
          <w:sz w:val="24"/>
          <w:szCs w:val="24"/>
        </w:rPr>
        <w:instrText xml:space="preserve"> ADDIN EN.CITE &lt;EndNote&gt;&lt;Cite&gt;&lt;Author&gt;Reininghaus&lt;/Author&gt;&lt;Year&gt;2012&lt;/Year&gt;&lt;RecNum&gt;431&lt;/RecNum&gt;&lt;DisplayText&gt;(21)&lt;/DisplayText&gt;&lt;record&gt;&lt;rec-number&gt;431&lt;/rec-number&gt;&lt;foreign-keys&gt;&lt;key app="EN" db-id="v9pf5rezaaedx8e552iv20572t5tt95drwf5"&gt;431&lt;/key&gt;&lt;/foreign-keys&gt;&lt;ref-type name="Journal Article"&gt;17&lt;/ref-type&gt;&lt;contributors&gt;&lt;authors&gt;&lt;author&gt;Reininghaus, U.&lt;/author&gt;&lt;author&gt;Priebe, S.&lt;/author&gt;&lt;/authors&gt;&lt;/contributors&gt;&lt;titles&gt;&lt;title&gt;Measuring patient-reported outcomes in psychosis: concpetual and methodological review&lt;/title&gt;&lt;secondary-title&gt;British Journal of Psychiatry&lt;/secondary-title&gt;&lt;/titles&gt;&lt;periodical&gt;&lt;full-title&gt;British Journal of Psychiatry&lt;/full-title&gt;&lt;/periodical&gt;&lt;pages&gt;5&lt;/pages&gt;&lt;volume&gt;201&lt;/volume&gt;&lt;section&gt;262&lt;/section&gt;&lt;dates&gt;&lt;year&gt;2012&lt;/year&gt;&lt;/dates&gt;&lt;urls&gt;&lt;/urls&gt;&lt;/record&gt;&lt;/Cite&gt;&lt;/EndNote&gt;</w:instrText>
      </w:r>
      <w:r w:rsidR="00835778" w:rsidRPr="0037437C">
        <w:rPr>
          <w:sz w:val="24"/>
          <w:szCs w:val="24"/>
        </w:rPr>
        <w:fldChar w:fldCharType="separate"/>
      </w:r>
      <w:r w:rsidR="00FA0BC2" w:rsidRPr="0037437C">
        <w:rPr>
          <w:noProof/>
          <w:sz w:val="24"/>
          <w:szCs w:val="24"/>
        </w:rPr>
        <w:t>(</w:t>
      </w:r>
      <w:hyperlink w:anchor="_ENREF_21" w:tooltip="Reininghaus, 2012 #431" w:history="1">
        <w:r w:rsidR="00FA0BC2" w:rsidRPr="0037437C">
          <w:rPr>
            <w:noProof/>
            <w:sz w:val="24"/>
            <w:szCs w:val="24"/>
          </w:rPr>
          <w:t>21</w:t>
        </w:r>
      </w:hyperlink>
      <w:r w:rsidR="00FA0BC2" w:rsidRPr="0037437C">
        <w:rPr>
          <w:noProof/>
          <w:sz w:val="24"/>
          <w:szCs w:val="24"/>
        </w:rPr>
        <w:t>)</w:t>
      </w:r>
      <w:r w:rsidR="00835778" w:rsidRPr="0037437C">
        <w:rPr>
          <w:sz w:val="24"/>
          <w:szCs w:val="24"/>
        </w:rPr>
        <w:fldChar w:fldCharType="end"/>
      </w:r>
      <w:r w:rsidR="00634B3D" w:rsidRPr="0037437C">
        <w:rPr>
          <w:sz w:val="24"/>
          <w:szCs w:val="24"/>
        </w:rPr>
        <w:t xml:space="preserve"> as </w:t>
      </w:r>
      <w:r w:rsidR="00F17CD0" w:rsidRPr="0037437C">
        <w:rPr>
          <w:sz w:val="24"/>
          <w:szCs w:val="24"/>
        </w:rPr>
        <w:t xml:space="preserve">people who use services do not like having to complete long outcome measures </w:t>
      </w:r>
      <w:r w:rsidR="00835778" w:rsidRPr="0037437C">
        <w:rPr>
          <w:sz w:val="24"/>
          <w:szCs w:val="24"/>
        </w:rPr>
        <w:fldChar w:fldCharType="begin"/>
      </w:r>
      <w:r w:rsidR="00FA0BC2" w:rsidRPr="0037437C">
        <w:rPr>
          <w:sz w:val="24"/>
          <w:szCs w:val="24"/>
        </w:rPr>
        <w:instrText xml:space="preserve"> ADDIN EN.CITE &lt;EndNote&gt;&lt;Cite&gt;&lt;Author&gt;Crawford&lt;/Author&gt;&lt;Year&gt;2011&lt;/Year&gt;&lt;RecNum&gt;430&lt;/RecNum&gt;&lt;DisplayText&gt;(22)&lt;/DisplayText&gt;&lt;record&gt;&lt;rec-number&gt;430&lt;/rec-number&gt;&lt;foreign-keys&gt;&lt;key app="EN" db-id="v9pf5rezaaedx8e552iv20572t5tt95drwf5"&gt;430&lt;/key&gt;&lt;/foreign-keys&gt;&lt;ref-type name="Journal Article"&gt;17&lt;/ref-type&gt;&lt;contributors&gt;&lt;authors&gt;&lt;author&gt;Crawford, M.&lt;/author&gt;&lt;author&gt;Robotham, D.&lt;/author&gt;&lt;author&gt;Thana, L.&lt;/author&gt;&lt;author&gt;Patterson, S.&lt;/author&gt;&lt;author&gt;Weaver, T.&lt;/author&gt;&lt;author&gt;Barber, R.&lt;/author&gt;&lt;author&gt;Wykes, T.&lt;/author&gt;&lt;author&gt;Rose, D.&lt;/author&gt;&lt;/authors&gt;&lt;/contributors&gt;&lt;titles&gt;&lt;title&gt;Selecting outcome measures in mental health: the views of service users&lt;/title&gt;&lt;secondary-title&gt;Journal of Mental Health&lt;/secondary-title&gt;&lt;/titles&gt;&lt;periodical&gt;&lt;full-title&gt;Journal of Mental Health&lt;/full-title&gt;&lt;/periodical&gt;&lt;pages&gt;11&lt;/pages&gt;&lt;volume&gt;20&lt;/volume&gt;&lt;number&gt;4&lt;/number&gt;&lt;section&gt;336&lt;/section&gt;&lt;dates&gt;&lt;year&gt;2011&lt;/year&gt;&lt;/dates&gt;&lt;urls&gt;&lt;/urls&gt;&lt;/record&gt;&lt;/Cite&gt;&lt;/EndNote&gt;</w:instrText>
      </w:r>
      <w:r w:rsidR="00835778" w:rsidRPr="0037437C">
        <w:rPr>
          <w:sz w:val="24"/>
          <w:szCs w:val="24"/>
        </w:rPr>
        <w:fldChar w:fldCharType="separate"/>
      </w:r>
      <w:r w:rsidR="00FA0BC2" w:rsidRPr="0037437C">
        <w:rPr>
          <w:noProof/>
          <w:sz w:val="24"/>
          <w:szCs w:val="24"/>
        </w:rPr>
        <w:t>(</w:t>
      </w:r>
      <w:hyperlink w:anchor="_ENREF_22" w:tooltip="Crawford, 2011 #430" w:history="1">
        <w:r w:rsidR="00FA0BC2" w:rsidRPr="0037437C">
          <w:rPr>
            <w:noProof/>
            <w:sz w:val="24"/>
            <w:szCs w:val="24"/>
          </w:rPr>
          <w:t>22</w:t>
        </w:r>
      </w:hyperlink>
      <w:r w:rsidR="00FA0BC2" w:rsidRPr="0037437C">
        <w:rPr>
          <w:noProof/>
          <w:sz w:val="24"/>
          <w:szCs w:val="24"/>
        </w:rPr>
        <w:t>)</w:t>
      </w:r>
      <w:r w:rsidR="00835778" w:rsidRPr="0037437C">
        <w:rPr>
          <w:sz w:val="24"/>
          <w:szCs w:val="24"/>
        </w:rPr>
        <w:fldChar w:fldCharType="end"/>
      </w:r>
      <w:r w:rsidR="00F17CD0" w:rsidRPr="0037437C">
        <w:rPr>
          <w:sz w:val="24"/>
          <w:szCs w:val="24"/>
        </w:rPr>
        <w:t xml:space="preserve">. </w:t>
      </w:r>
      <w:r w:rsidR="00097A95" w:rsidRPr="0037437C">
        <w:rPr>
          <w:sz w:val="24"/>
          <w:szCs w:val="24"/>
        </w:rPr>
        <w:t>Specifically, a</w:t>
      </w:r>
      <w:r w:rsidR="00634B3D" w:rsidRPr="0037437C">
        <w:rPr>
          <w:sz w:val="24"/>
          <w:szCs w:val="24"/>
        </w:rPr>
        <w:t xml:space="preserve"> </w:t>
      </w:r>
      <w:r w:rsidR="00F17CD0" w:rsidRPr="0037437C">
        <w:rPr>
          <w:sz w:val="24"/>
          <w:szCs w:val="24"/>
        </w:rPr>
        <w:t xml:space="preserve">shorter measure </w:t>
      </w:r>
      <w:r w:rsidR="0068267C" w:rsidRPr="0037437C">
        <w:rPr>
          <w:sz w:val="24"/>
          <w:szCs w:val="24"/>
        </w:rPr>
        <w:t>makes it more feasible for use, thus increasing</w:t>
      </w:r>
      <w:r w:rsidR="00F17CD0" w:rsidRPr="0037437C">
        <w:rPr>
          <w:sz w:val="24"/>
          <w:szCs w:val="24"/>
        </w:rPr>
        <w:t xml:space="preserve"> the likelihood of </w:t>
      </w:r>
      <w:r w:rsidR="00634B3D" w:rsidRPr="0037437C">
        <w:rPr>
          <w:sz w:val="24"/>
          <w:szCs w:val="24"/>
        </w:rPr>
        <w:t>completion</w:t>
      </w:r>
      <w:r w:rsidR="0068267C" w:rsidRPr="0037437C">
        <w:rPr>
          <w:sz w:val="24"/>
          <w:szCs w:val="24"/>
        </w:rPr>
        <w:t xml:space="preserve"> </w:t>
      </w:r>
      <w:r w:rsidR="00835778" w:rsidRPr="0037437C">
        <w:rPr>
          <w:sz w:val="24"/>
          <w:szCs w:val="24"/>
        </w:rPr>
        <w:fldChar w:fldCharType="begin"/>
      </w:r>
      <w:r w:rsidR="00FA0BC2" w:rsidRPr="0037437C">
        <w:rPr>
          <w:sz w:val="24"/>
          <w:szCs w:val="24"/>
        </w:rPr>
        <w:instrText xml:space="preserve"> ADDIN EN.CITE &lt;EndNote&gt;&lt;Cite&gt;&lt;Author&gt;Slade&lt;/Author&gt;&lt;Year&gt;1999&lt;/Year&gt;&lt;RecNum&gt;211&lt;/RecNum&gt;&lt;DisplayText&gt;(23)&lt;/DisplayText&gt;&lt;record&gt;&lt;rec-number&gt;211&lt;/rec-number&gt;&lt;foreign-keys&gt;&lt;key app="EN" db-id="v9pf5rezaaedx8e552iv20572t5tt95drwf5"&gt;211&lt;/key&gt;&lt;/foreign-keys&gt;&lt;ref-type name="Journal Article"&gt;17&lt;/ref-type&gt;&lt;contributors&gt;&lt;authors&gt;&lt;author&gt;Slade, M.&lt;/author&gt;&lt;author&gt;Thornicroft, G.&lt;/author&gt;&lt;author&gt;Glover, G.&lt;/author&gt;&lt;/authors&gt;&lt;/contributors&gt;&lt;titles&gt;&lt;title&gt;The feasibility of routine outcome measures in mental health&lt;/title&gt;&lt;secondary-title&gt;Social Psychiatry and Psychiatric Epidemiology&lt;/secondary-title&gt;&lt;alt-title&gt;Soc Psychiatry Psychiatr Epidemiol&lt;/alt-title&gt;&lt;/titles&gt;&lt;periodical&gt;&lt;full-title&gt;Social Psychiatry and Psychiatric Epidemiology&lt;/full-title&gt;&lt;/periodical&gt;&lt;pages&gt;243-249&lt;/pages&gt;&lt;volume&gt;34&lt;/volume&gt;&lt;number&gt;5&lt;/number&gt;&lt;dates&gt;&lt;year&gt;1999&lt;/year&gt;&lt;pub-dates&gt;&lt;date&gt;1999/05/01&lt;/date&gt;&lt;/pub-dates&gt;&lt;/dates&gt;&lt;publisher&gt;Steinkopff Verlag&lt;/publisher&gt;&lt;isbn&gt;0933-7954&lt;/isbn&gt;&lt;urls&gt;&lt;related-urls&gt;&lt;url&gt;http://dx.doi.org/10.1007/s001270050139&lt;/url&gt;&lt;/related-urls&gt;&lt;/urls&gt;&lt;electronic-resource-num&gt;10.1007/s001270050139&lt;/electronic-resource-num&gt;&lt;language&gt;English&lt;/language&gt;&lt;/record&gt;&lt;/Cite&gt;&lt;/EndNote&gt;</w:instrText>
      </w:r>
      <w:r w:rsidR="00835778" w:rsidRPr="0037437C">
        <w:rPr>
          <w:sz w:val="24"/>
          <w:szCs w:val="24"/>
        </w:rPr>
        <w:fldChar w:fldCharType="separate"/>
      </w:r>
      <w:r w:rsidR="00FA0BC2" w:rsidRPr="0037437C">
        <w:rPr>
          <w:noProof/>
          <w:sz w:val="24"/>
          <w:szCs w:val="24"/>
        </w:rPr>
        <w:t>(</w:t>
      </w:r>
      <w:hyperlink w:anchor="_ENREF_23" w:tooltip="Slade, 1999 #211" w:history="1">
        <w:r w:rsidR="00FA0BC2" w:rsidRPr="0037437C">
          <w:rPr>
            <w:noProof/>
            <w:sz w:val="24"/>
            <w:szCs w:val="24"/>
          </w:rPr>
          <w:t>23</w:t>
        </w:r>
      </w:hyperlink>
      <w:r w:rsidR="00FA0BC2" w:rsidRPr="0037437C">
        <w:rPr>
          <w:noProof/>
          <w:sz w:val="24"/>
          <w:szCs w:val="24"/>
        </w:rPr>
        <w:t>)</w:t>
      </w:r>
      <w:r w:rsidR="00835778" w:rsidRPr="0037437C">
        <w:rPr>
          <w:sz w:val="24"/>
          <w:szCs w:val="24"/>
        </w:rPr>
        <w:fldChar w:fldCharType="end"/>
      </w:r>
      <w:r w:rsidR="00F17CD0" w:rsidRPr="0037437C">
        <w:rPr>
          <w:sz w:val="24"/>
          <w:szCs w:val="24"/>
        </w:rPr>
        <w:t xml:space="preserve">. </w:t>
      </w:r>
      <w:r w:rsidR="008F71C0" w:rsidRPr="0037437C">
        <w:rPr>
          <w:sz w:val="24"/>
          <w:szCs w:val="24"/>
        </w:rPr>
        <w:t>Future work could evaluate the implications of measuring recovery as a unidimensional construct, using analytic methods such as Item Response Theory or Rasch Measurement Theory.</w:t>
      </w:r>
    </w:p>
    <w:p w:rsidR="0068267C" w:rsidRPr="0037437C" w:rsidRDefault="0068267C" w:rsidP="00057F07">
      <w:pPr>
        <w:pStyle w:val="CommentText"/>
        <w:spacing w:line="360" w:lineRule="auto"/>
        <w:rPr>
          <w:sz w:val="24"/>
          <w:szCs w:val="24"/>
        </w:rPr>
      </w:pPr>
    </w:p>
    <w:p w:rsidR="00057F07" w:rsidRPr="0037437C" w:rsidRDefault="0048060C" w:rsidP="00057F07">
      <w:pPr>
        <w:pStyle w:val="CommentText"/>
        <w:spacing w:line="360" w:lineRule="auto"/>
        <w:rPr>
          <w:sz w:val="24"/>
          <w:szCs w:val="24"/>
        </w:rPr>
      </w:pPr>
      <w:r w:rsidRPr="0037437C">
        <w:rPr>
          <w:sz w:val="24"/>
          <w:szCs w:val="24"/>
        </w:rPr>
        <w:t>Secondly, w</w:t>
      </w:r>
      <w:r w:rsidR="00634B3D" w:rsidRPr="0037437C">
        <w:rPr>
          <w:sz w:val="24"/>
          <w:szCs w:val="24"/>
        </w:rPr>
        <w:t xml:space="preserve">e found </w:t>
      </w:r>
      <w:r w:rsidR="00AE4B87" w:rsidRPr="0037437C">
        <w:rPr>
          <w:sz w:val="24"/>
          <w:szCs w:val="24"/>
        </w:rPr>
        <w:t>preliminary evidence of sensitivity to change</w:t>
      </w:r>
      <w:r w:rsidRPr="0037437C">
        <w:rPr>
          <w:sz w:val="24"/>
          <w:szCs w:val="24"/>
        </w:rPr>
        <w:t xml:space="preserve">. This is </w:t>
      </w:r>
      <w:r w:rsidR="00097A95" w:rsidRPr="0037437C">
        <w:rPr>
          <w:sz w:val="24"/>
          <w:szCs w:val="24"/>
        </w:rPr>
        <w:t xml:space="preserve">a </w:t>
      </w:r>
      <w:r w:rsidRPr="0037437C">
        <w:rPr>
          <w:sz w:val="24"/>
          <w:szCs w:val="24"/>
        </w:rPr>
        <w:t>key</w:t>
      </w:r>
      <w:r w:rsidR="00446687" w:rsidRPr="0037437C">
        <w:rPr>
          <w:sz w:val="24"/>
          <w:szCs w:val="24"/>
        </w:rPr>
        <w:t xml:space="preserve"> </w:t>
      </w:r>
      <w:r w:rsidR="00F17CD0" w:rsidRPr="0037437C">
        <w:rPr>
          <w:color w:val="000000"/>
          <w:sz w:val="24"/>
          <w:szCs w:val="24"/>
        </w:rPr>
        <w:t xml:space="preserve">psychometric property </w:t>
      </w:r>
      <w:r w:rsidRPr="0037437C">
        <w:rPr>
          <w:color w:val="000000"/>
          <w:sz w:val="24"/>
          <w:szCs w:val="24"/>
        </w:rPr>
        <w:t xml:space="preserve">currently </w:t>
      </w:r>
      <w:r w:rsidR="00F17CD0" w:rsidRPr="0037437C">
        <w:rPr>
          <w:color w:val="000000"/>
          <w:sz w:val="24"/>
          <w:szCs w:val="24"/>
        </w:rPr>
        <w:t xml:space="preserve">under-researched in measures of recovery change </w:t>
      </w:r>
      <w:r w:rsidR="00835778" w:rsidRPr="0037437C">
        <w:rPr>
          <w:color w:val="000000"/>
          <w:sz w:val="24"/>
          <w:szCs w:val="24"/>
        </w:rPr>
        <w:fldChar w:fldCharType="begin"/>
      </w:r>
      <w:r w:rsidR="0069691C" w:rsidRPr="0037437C">
        <w:rPr>
          <w:color w:val="000000"/>
          <w:sz w:val="24"/>
          <w:szCs w:val="24"/>
        </w:rPr>
        <w:instrText xml:space="preserve"> ADDIN EN.CITE &lt;EndNote&gt;&lt;Cite&gt;&lt;Author&gt;Shanks&lt;/Author&gt;&lt;Year&gt;2013&lt;/Year&gt;&lt;RecNum&gt;276&lt;/RecNum&gt;&lt;DisplayText&gt;(5)&lt;/DisplayText&gt;&lt;record&gt;&lt;rec-number&gt;276&lt;/rec-number&gt;&lt;foreign-keys&gt;&lt;key app="EN" db-id="v9pf5rezaaedx8e552iv20572t5tt95drwf5"&gt;276&lt;/key&gt;&lt;/foreign-keys&gt;&lt;ref-type name="Journal Article"&gt;17&lt;/ref-type&gt;&lt;contributors&gt;&lt;authors&gt;&lt;author&gt;Shanks, V.&lt;/author&gt;&lt;author&gt;Williams, J.&lt;/author&gt;&lt;author&gt;Leamy, M.&lt;/author&gt;&lt;author&gt;Bird, V.&lt;/author&gt;&lt;author&gt;Le Boutillier, C.&lt;/author&gt;&lt;author&gt;Slade, M.&lt;/author&gt;&lt;/authors&gt;&lt;/contributors&gt;&lt;titles&gt;&lt;title&gt;Measures of Personal Recovery: A Systematic Review&lt;/title&gt;&lt;secondary-title&gt;Psychiatric Services&lt;/secondary-title&gt;&lt;/titles&gt;&lt;periodical&gt;&lt;full-title&gt;Psychiatric Services&lt;/full-title&gt;&lt;/periodical&gt;&lt;pages&gt;7&lt;/pages&gt;&lt;volume&gt;64&lt;/volume&gt;&lt;number&gt;10&lt;/number&gt;&lt;section&gt;974&lt;/section&gt;&lt;dates&gt;&lt;year&gt;2013&lt;/year&gt;&lt;/dates&gt;&lt;urls&gt;&lt;/urls&gt;&lt;/record&gt;&lt;/Cite&gt;&lt;/EndNote&gt;</w:instrText>
      </w:r>
      <w:r w:rsidR="00835778" w:rsidRPr="0037437C">
        <w:rPr>
          <w:color w:val="000000"/>
          <w:sz w:val="24"/>
          <w:szCs w:val="24"/>
        </w:rPr>
        <w:fldChar w:fldCharType="separate"/>
      </w:r>
      <w:r w:rsidR="0069691C" w:rsidRPr="0037437C">
        <w:rPr>
          <w:noProof/>
          <w:color w:val="000000"/>
          <w:sz w:val="24"/>
          <w:szCs w:val="24"/>
        </w:rPr>
        <w:t>(</w:t>
      </w:r>
      <w:hyperlink w:anchor="_ENREF_5" w:tooltip="Shanks, 2013 #276" w:history="1">
        <w:r w:rsidR="00FA0BC2" w:rsidRPr="0037437C">
          <w:rPr>
            <w:noProof/>
            <w:color w:val="000000"/>
            <w:sz w:val="24"/>
            <w:szCs w:val="24"/>
          </w:rPr>
          <w:t>5</w:t>
        </w:r>
      </w:hyperlink>
      <w:r w:rsidR="0069691C" w:rsidRPr="0037437C">
        <w:rPr>
          <w:noProof/>
          <w:color w:val="000000"/>
          <w:sz w:val="24"/>
          <w:szCs w:val="24"/>
        </w:rPr>
        <w:t>)</w:t>
      </w:r>
      <w:r w:rsidR="00835778" w:rsidRPr="0037437C">
        <w:rPr>
          <w:color w:val="000000"/>
          <w:sz w:val="24"/>
          <w:szCs w:val="24"/>
        </w:rPr>
        <w:fldChar w:fldCharType="end"/>
      </w:r>
      <w:r w:rsidR="00F17CD0" w:rsidRPr="0037437C">
        <w:rPr>
          <w:color w:val="000000"/>
          <w:sz w:val="24"/>
          <w:szCs w:val="24"/>
        </w:rPr>
        <w:t xml:space="preserve">. </w:t>
      </w:r>
      <w:r w:rsidR="00F17CD0" w:rsidRPr="0037437C">
        <w:rPr>
          <w:sz w:val="24"/>
          <w:szCs w:val="24"/>
        </w:rPr>
        <w:t>Our results provide some evidence of the ability of the QPR to measure change</w:t>
      </w:r>
      <w:r w:rsidR="00097A95" w:rsidRPr="0037437C">
        <w:rPr>
          <w:sz w:val="24"/>
          <w:szCs w:val="24"/>
        </w:rPr>
        <w:t xml:space="preserve">, suggesting </w:t>
      </w:r>
      <w:r w:rsidR="00F17CD0" w:rsidRPr="0037437C">
        <w:rPr>
          <w:sz w:val="24"/>
          <w:szCs w:val="24"/>
        </w:rPr>
        <w:t xml:space="preserve">that QPR can be used in longitudinal research and to assess change in a clinical setting. </w:t>
      </w:r>
      <w:r w:rsidR="00057F07" w:rsidRPr="0037437C">
        <w:rPr>
          <w:sz w:val="24"/>
          <w:szCs w:val="24"/>
        </w:rPr>
        <w:t>Future research will need to identify a gold standard for evaluating this property, but it is encouraging that there was a correlation with change in two measures assessed at two different time points.</w:t>
      </w:r>
    </w:p>
    <w:p w:rsidR="0048060C" w:rsidRPr="0037437C" w:rsidRDefault="0048060C" w:rsidP="00057F07">
      <w:pPr>
        <w:pStyle w:val="CommentText"/>
        <w:spacing w:line="360" w:lineRule="auto"/>
        <w:rPr>
          <w:sz w:val="24"/>
          <w:szCs w:val="24"/>
        </w:rPr>
      </w:pPr>
    </w:p>
    <w:p w:rsidR="0068267C" w:rsidRPr="0037437C" w:rsidRDefault="005032B4" w:rsidP="00057F07">
      <w:pPr>
        <w:pStyle w:val="CommentText"/>
        <w:spacing w:line="360" w:lineRule="auto"/>
        <w:rPr>
          <w:sz w:val="24"/>
          <w:szCs w:val="24"/>
        </w:rPr>
      </w:pPr>
      <w:r w:rsidRPr="0037437C">
        <w:rPr>
          <w:sz w:val="24"/>
          <w:szCs w:val="24"/>
        </w:rPr>
        <w:t xml:space="preserve">Measuring the recovery of people using mental health services using standardised measures is one method that can be used to assess the effectiveness of services in supporting recovery. Robust measures of recovery are needed to do this. </w:t>
      </w:r>
      <w:r w:rsidR="0068267C" w:rsidRPr="0037437C">
        <w:rPr>
          <w:sz w:val="24"/>
          <w:szCs w:val="24"/>
        </w:rPr>
        <w:t xml:space="preserve">Overall, the </w:t>
      </w:r>
      <w:r w:rsidR="00C25CC7" w:rsidRPr="0037437C">
        <w:rPr>
          <w:sz w:val="24"/>
          <w:szCs w:val="24"/>
        </w:rPr>
        <w:t xml:space="preserve">15-item </w:t>
      </w:r>
      <w:r w:rsidR="0068267C" w:rsidRPr="0037437C">
        <w:rPr>
          <w:sz w:val="24"/>
          <w:szCs w:val="24"/>
        </w:rPr>
        <w:t xml:space="preserve">QPR version is a valuable contribution </w:t>
      </w:r>
      <w:r w:rsidRPr="0037437C">
        <w:rPr>
          <w:sz w:val="24"/>
          <w:szCs w:val="24"/>
        </w:rPr>
        <w:t xml:space="preserve">to the measurement of recovery. </w:t>
      </w:r>
    </w:p>
    <w:p w:rsidR="00491BA4" w:rsidRPr="0037437C" w:rsidRDefault="00491BA4" w:rsidP="00D002E7">
      <w:pPr>
        <w:spacing w:line="360" w:lineRule="auto"/>
      </w:pPr>
    </w:p>
    <w:p w:rsidR="00493A55" w:rsidRPr="0037437C" w:rsidRDefault="00493A55" w:rsidP="00D002E7">
      <w:pPr>
        <w:spacing w:line="360" w:lineRule="auto"/>
      </w:pPr>
    </w:p>
    <w:p w:rsidR="006C0E88" w:rsidRPr="0037437C" w:rsidRDefault="006C0E88" w:rsidP="00D002E7">
      <w:pPr>
        <w:spacing w:line="360" w:lineRule="auto"/>
        <w:rPr>
          <w:b/>
        </w:rPr>
      </w:pPr>
      <w:r w:rsidRPr="0037437C">
        <w:rPr>
          <w:b/>
        </w:rPr>
        <w:t>Acknowledgements</w:t>
      </w:r>
    </w:p>
    <w:p w:rsidR="00491BA4" w:rsidRPr="0037437C" w:rsidRDefault="00275EB6" w:rsidP="000A58C8">
      <w:pPr>
        <w:spacing w:line="360" w:lineRule="auto"/>
        <w:jc w:val="both"/>
        <w:rPr>
          <w:rFonts w:cs="Arial"/>
        </w:rPr>
      </w:pPr>
      <w:r w:rsidRPr="0037437C">
        <w:t>This article presents independent research funded by the National Institute for Health Research (NIHR) under its Programme Grants for Applied Research (PGfAR) Programme (Grant Reference Number RP-PG-0707-10040), and in relation to the NIHR Biomedical Research Centre for Mental Health at South London and Maudsley NHS Foundation Trust and Institute of Psychiatry</w:t>
      </w:r>
      <w:r w:rsidR="005E2B73" w:rsidRPr="0037437C">
        <w:t xml:space="preserve">, Psychology &amp; Neuroscience, </w:t>
      </w:r>
      <w:r w:rsidRPr="0037437C">
        <w:t>King’s College London. The project will be published in full in the NIHR PGfAR journal. The views expressed in this publication are those of the authors and do not necessarily reflect those of the NHS, the NIHR, MRC, CCF, NETSCC, the PGfAR programme or the Department of Health. Further information available at researchintorecovery.com/refocus.</w:t>
      </w:r>
      <w:r w:rsidR="005E2B73" w:rsidRPr="0037437C">
        <w:t xml:space="preserve"> </w:t>
      </w:r>
      <w:r w:rsidR="00491BA4" w:rsidRPr="0037437C">
        <w:rPr>
          <w:rFonts w:cs="Arial"/>
        </w:rPr>
        <w:t xml:space="preserve">We acknowledge the support of the PICuP Clinic at the Maudsley Hospital and the other mental health teams in recruiting participants. </w:t>
      </w:r>
    </w:p>
    <w:p w:rsidR="00491BA4" w:rsidRPr="0037437C" w:rsidRDefault="00491BA4" w:rsidP="009F01DB">
      <w:pPr>
        <w:spacing w:line="360" w:lineRule="auto"/>
        <w:jc w:val="both"/>
      </w:pPr>
    </w:p>
    <w:p w:rsidR="00D002E7" w:rsidRPr="0037437C" w:rsidRDefault="00D002E7">
      <w:pPr>
        <w:rPr>
          <w:b/>
        </w:rPr>
      </w:pPr>
    </w:p>
    <w:p w:rsidR="00D002E7" w:rsidRPr="0037437C" w:rsidRDefault="00D002E7">
      <w:pPr>
        <w:rPr>
          <w:b/>
        </w:rPr>
      </w:pPr>
    </w:p>
    <w:p w:rsidR="004625F1" w:rsidRPr="0037437C" w:rsidRDefault="00705154" w:rsidP="00583A0B">
      <w:pPr>
        <w:jc w:val="center"/>
        <w:rPr>
          <w:b/>
        </w:rPr>
      </w:pPr>
      <w:r w:rsidRPr="0037437C">
        <w:rPr>
          <w:b/>
        </w:rPr>
        <w:br w:type="page"/>
      </w:r>
      <w:r w:rsidR="00BE7B99" w:rsidRPr="0037437C">
        <w:rPr>
          <w:b/>
          <w:sz w:val="20"/>
          <w:szCs w:val="20"/>
        </w:rPr>
        <w:lastRenderedPageBreak/>
        <w:t>Table 1: Baseline characteristics</w:t>
      </w:r>
      <w:r w:rsidR="00BE7B99" w:rsidRPr="0037437C">
        <w:rPr>
          <w:sz w:val="20"/>
          <w:szCs w:val="20"/>
        </w:rPr>
        <w:t xml:space="preserve"> </w:t>
      </w:r>
    </w:p>
    <w:tbl>
      <w:tblPr>
        <w:tblW w:w="0" w:type="auto"/>
        <w:tblInd w:w="1526" w:type="dxa"/>
        <w:tblLook w:val="04A0"/>
      </w:tblPr>
      <w:tblGrid>
        <w:gridCol w:w="2904"/>
        <w:gridCol w:w="1701"/>
        <w:gridCol w:w="1984"/>
      </w:tblGrid>
      <w:tr w:rsidR="00583A0B" w:rsidRPr="0037437C" w:rsidTr="002226AA">
        <w:tc>
          <w:tcPr>
            <w:tcW w:w="2904" w:type="dxa"/>
            <w:tcBorders>
              <w:top w:val="single" w:sz="4" w:space="0" w:color="auto"/>
            </w:tcBorders>
            <w:shd w:val="clear" w:color="auto" w:fill="auto"/>
          </w:tcPr>
          <w:p w:rsidR="00583A0B" w:rsidRPr="0037437C" w:rsidRDefault="00583A0B" w:rsidP="00F508B2"/>
        </w:tc>
        <w:tc>
          <w:tcPr>
            <w:tcW w:w="1701" w:type="dxa"/>
            <w:tcBorders>
              <w:top w:val="single" w:sz="4" w:space="0" w:color="auto"/>
            </w:tcBorders>
            <w:shd w:val="clear" w:color="auto" w:fill="auto"/>
          </w:tcPr>
          <w:p w:rsidR="00583A0B" w:rsidRPr="0037437C" w:rsidRDefault="00583A0B" w:rsidP="00F508B2">
            <w:pPr>
              <w:jc w:val="center"/>
              <w:rPr>
                <w:b/>
              </w:rPr>
            </w:pPr>
            <w:r w:rsidRPr="0037437C">
              <w:rPr>
                <w:b/>
              </w:rPr>
              <w:t>Dataset 1</w:t>
            </w:r>
          </w:p>
        </w:tc>
        <w:tc>
          <w:tcPr>
            <w:tcW w:w="1984" w:type="dxa"/>
            <w:tcBorders>
              <w:top w:val="single" w:sz="4" w:space="0" w:color="auto"/>
            </w:tcBorders>
            <w:shd w:val="clear" w:color="auto" w:fill="auto"/>
          </w:tcPr>
          <w:p w:rsidR="00583A0B" w:rsidRPr="0037437C" w:rsidRDefault="00583A0B" w:rsidP="00F508B2">
            <w:pPr>
              <w:jc w:val="center"/>
              <w:rPr>
                <w:b/>
              </w:rPr>
            </w:pPr>
            <w:r w:rsidRPr="0037437C">
              <w:rPr>
                <w:b/>
              </w:rPr>
              <w:t>Dataset 2</w:t>
            </w:r>
          </w:p>
        </w:tc>
      </w:tr>
      <w:tr w:rsidR="00583A0B" w:rsidRPr="0037437C" w:rsidTr="002226AA">
        <w:tc>
          <w:tcPr>
            <w:tcW w:w="2904" w:type="dxa"/>
            <w:tcBorders>
              <w:bottom w:val="single" w:sz="4" w:space="0" w:color="auto"/>
            </w:tcBorders>
            <w:shd w:val="clear" w:color="auto" w:fill="auto"/>
          </w:tcPr>
          <w:p w:rsidR="00583A0B" w:rsidRPr="0037437C" w:rsidRDefault="004625F1" w:rsidP="00417CD8">
            <w:pPr>
              <w:jc w:val="right"/>
            </w:pPr>
            <w:r w:rsidRPr="0037437C">
              <w:t>n</w:t>
            </w:r>
          </w:p>
        </w:tc>
        <w:tc>
          <w:tcPr>
            <w:tcW w:w="1701" w:type="dxa"/>
            <w:tcBorders>
              <w:bottom w:val="single" w:sz="4" w:space="0" w:color="auto"/>
            </w:tcBorders>
            <w:shd w:val="clear" w:color="auto" w:fill="auto"/>
          </w:tcPr>
          <w:p w:rsidR="00583A0B" w:rsidRPr="0037437C" w:rsidRDefault="00583A0B" w:rsidP="00F508B2">
            <w:pPr>
              <w:jc w:val="center"/>
              <w:rPr>
                <w:i/>
              </w:rPr>
            </w:pPr>
            <w:r w:rsidRPr="0037437C">
              <w:rPr>
                <w:i/>
              </w:rPr>
              <w:t>88</w:t>
            </w:r>
          </w:p>
        </w:tc>
        <w:tc>
          <w:tcPr>
            <w:tcW w:w="1984" w:type="dxa"/>
            <w:tcBorders>
              <w:bottom w:val="single" w:sz="4" w:space="0" w:color="auto"/>
            </w:tcBorders>
            <w:shd w:val="clear" w:color="auto" w:fill="auto"/>
          </w:tcPr>
          <w:p w:rsidR="00583A0B" w:rsidRPr="0037437C" w:rsidRDefault="00583A0B" w:rsidP="00F508B2">
            <w:pPr>
              <w:jc w:val="center"/>
              <w:rPr>
                <w:i/>
              </w:rPr>
            </w:pPr>
            <w:r w:rsidRPr="0037437C">
              <w:rPr>
                <w:i/>
              </w:rPr>
              <w:t>399</w:t>
            </w:r>
          </w:p>
        </w:tc>
      </w:tr>
      <w:tr w:rsidR="00583A0B" w:rsidRPr="0037437C" w:rsidTr="002226AA">
        <w:tc>
          <w:tcPr>
            <w:tcW w:w="2904" w:type="dxa"/>
            <w:tcBorders>
              <w:top w:val="single" w:sz="4" w:space="0" w:color="auto"/>
              <w:bottom w:val="single" w:sz="4" w:space="0" w:color="auto"/>
            </w:tcBorders>
            <w:shd w:val="clear" w:color="auto" w:fill="auto"/>
          </w:tcPr>
          <w:p w:rsidR="00583A0B" w:rsidRPr="0037437C" w:rsidRDefault="00583A0B" w:rsidP="00F508B2">
            <w:r w:rsidRPr="0037437C">
              <w:t xml:space="preserve">Gender   </w:t>
            </w:r>
            <w:r w:rsidR="005D363C" w:rsidRPr="0037437C">
              <w:t>n (%)</w:t>
            </w:r>
          </w:p>
          <w:p w:rsidR="00583A0B" w:rsidRPr="0037437C" w:rsidRDefault="00583A0B" w:rsidP="00F508B2">
            <w:r w:rsidRPr="0037437C">
              <w:t xml:space="preserve"> Male</w:t>
            </w:r>
            <w:r w:rsidR="005D363C" w:rsidRPr="0037437C">
              <w:t xml:space="preserve"> </w:t>
            </w:r>
          </w:p>
          <w:p w:rsidR="00583A0B" w:rsidRPr="0037437C" w:rsidRDefault="00583A0B" w:rsidP="00F508B2">
            <w:r w:rsidRPr="0037437C">
              <w:t xml:space="preserve"> </w:t>
            </w:r>
            <w:r w:rsidR="00D52BFC" w:rsidRPr="0037437C">
              <w:t>F</w:t>
            </w:r>
            <w:r w:rsidRPr="0037437C">
              <w:t xml:space="preserve">emale </w:t>
            </w:r>
          </w:p>
        </w:tc>
        <w:tc>
          <w:tcPr>
            <w:tcW w:w="1701" w:type="dxa"/>
            <w:tcBorders>
              <w:top w:val="single" w:sz="4" w:space="0" w:color="auto"/>
              <w:bottom w:val="single" w:sz="4" w:space="0" w:color="auto"/>
            </w:tcBorders>
            <w:shd w:val="clear" w:color="auto" w:fill="auto"/>
          </w:tcPr>
          <w:p w:rsidR="00583A0B" w:rsidRPr="0037437C" w:rsidRDefault="00583A0B" w:rsidP="00417CD8"/>
          <w:p w:rsidR="00583A0B" w:rsidRPr="0037437C" w:rsidRDefault="00583A0B" w:rsidP="00F508B2">
            <w:pPr>
              <w:jc w:val="center"/>
            </w:pPr>
            <w:r w:rsidRPr="0037437C">
              <w:t>62 (70.4)</w:t>
            </w:r>
          </w:p>
          <w:p w:rsidR="00583A0B" w:rsidRPr="0037437C" w:rsidRDefault="00583A0B" w:rsidP="00F508B2">
            <w:pPr>
              <w:jc w:val="center"/>
            </w:pPr>
            <w:r w:rsidRPr="0037437C">
              <w:t>26 (29.6)</w:t>
            </w:r>
          </w:p>
        </w:tc>
        <w:tc>
          <w:tcPr>
            <w:tcW w:w="1984" w:type="dxa"/>
            <w:tcBorders>
              <w:top w:val="single" w:sz="4" w:space="0" w:color="auto"/>
              <w:bottom w:val="single" w:sz="4" w:space="0" w:color="auto"/>
            </w:tcBorders>
            <w:shd w:val="clear" w:color="auto" w:fill="auto"/>
          </w:tcPr>
          <w:p w:rsidR="004625F1" w:rsidRPr="0037437C" w:rsidRDefault="004625F1" w:rsidP="00F508B2">
            <w:pPr>
              <w:jc w:val="center"/>
            </w:pPr>
          </w:p>
          <w:p w:rsidR="00583A0B" w:rsidRPr="0037437C" w:rsidRDefault="00583A0B" w:rsidP="00F508B2">
            <w:pPr>
              <w:jc w:val="center"/>
            </w:pPr>
            <w:r w:rsidRPr="0037437C">
              <w:t>256 (64.3)</w:t>
            </w:r>
          </w:p>
          <w:p w:rsidR="00583A0B" w:rsidRPr="0037437C" w:rsidRDefault="00583A0B" w:rsidP="00F508B2">
            <w:pPr>
              <w:jc w:val="center"/>
            </w:pPr>
            <w:r w:rsidRPr="0037437C">
              <w:t>142 (35.7)</w:t>
            </w:r>
          </w:p>
        </w:tc>
      </w:tr>
      <w:tr w:rsidR="00583A0B" w:rsidRPr="0037437C" w:rsidTr="002226AA">
        <w:tc>
          <w:tcPr>
            <w:tcW w:w="2904" w:type="dxa"/>
            <w:tcBorders>
              <w:top w:val="single" w:sz="4" w:space="0" w:color="auto"/>
              <w:bottom w:val="single" w:sz="4" w:space="0" w:color="auto"/>
            </w:tcBorders>
            <w:shd w:val="clear" w:color="auto" w:fill="auto"/>
          </w:tcPr>
          <w:p w:rsidR="00D52BFC" w:rsidRPr="0037437C" w:rsidRDefault="00583A0B" w:rsidP="00F508B2">
            <w:r w:rsidRPr="0037437C">
              <w:t xml:space="preserve">Age    </w:t>
            </w:r>
            <w:r w:rsidR="004625F1" w:rsidRPr="0037437C">
              <w:t>mean (s.d.)</w:t>
            </w:r>
          </w:p>
          <w:p w:rsidR="00583A0B" w:rsidRPr="0037437C" w:rsidRDefault="00583A0B" w:rsidP="00F508B2"/>
        </w:tc>
        <w:tc>
          <w:tcPr>
            <w:tcW w:w="1701" w:type="dxa"/>
            <w:tcBorders>
              <w:top w:val="single" w:sz="4" w:space="0" w:color="auto"/>
              <w:bottom w:val="single" w:sz="4" w:space="0" w:color="auto"/>
            </w:tcBorders>
            <w:shd w:val="clear" w:color="auto" w:fill="auto"/>
          </w:tcPr>
          <w:p w:rsidR="00583A0B" w:rsidRPr="0037437C" w:rsidRDefault="00583A0B" w:rsidP="00F508B2">
            <w:pPr>
              <w:jc w:val="center"/>
            </w:pPr>
            <w:r w:rsidRPr="0037437C">
              <w:t>42.3 (10.5)</w:t>
            </w:r>
          </w:p>
        </w:tc>
        <w:tc>
          <w:tcPr>
            <w:tcW w:w="1984" w:type="dxa"/>
            <w:tcBorders>
              <w:top w:val="single" w:sz="4" w:space="0" w:color="auto"/>
              <w:bottom w:val="single" w:sz="4" w:space="0" w:color="auto"/>
            </w:tcBorders>
            <w:shd w:val="clear" w:color="auto" w:fill="auto"/>
          </w:tcPr>
          <w:p w:rsidR="00583A0B" w:rsidRPr="0037437C" w:rsidRDefault="00583A0B" w:rsidP="00F508B2">
            <w:pPr>
              <w:jc w:val="center"/>
            </w:pPr>
            <w:r w:rsidRPr="0037437C">
              <w:t>43.8 (10.9)</w:t>
            </w:r>
          </w:p>
        </w:tc>
      </w:tr>
      <w:tr w:rsidR="00FD151D" w:rsidRPr="0037437C" w:rsidTr="002226AA">
        <w:tc>
          <w:tcPr>
            <w:tcW w:w="2904" w:type="dxa"/>
            <w:tcBorders>
              <w:top w:val="single" w:sz="4" w:space="0" w:color="auto"/>
              <w:bottom w:val="single" w:sz="4" w:space="0" w:color="auto"/>
            </w:tcBorders>
            <w:shd w:val="clear" w:color="auto" w:fill="auto"/>
          </w:tcPr>
          <w:p w:rsidR="00FD151D" w:rsidRPr="0037437C" w:rsidRDefault="00FD151D" w:rsidP="00F508B2">
            <w:r w:rsidRPr="0037437C">
              <w:t>Diagnosis</w:t>
            </w:r>
          </w:p>
        </w:tc>
        <w:tc>
          <w:tcPr>
            <w:tcW w:w="1701" w:type="dxa"/>
            <w:tcBorders>
              <w:top w:val="single" w:sz="4" w:space="0" w:color="auto"/>
              <w:bottom w:val="single" w:sz="4" w:space="0" w:color="auto"/>
            </w:tcBorders>
            <w:shd w:val="clear" w:color="auto" w:fill="auto"/>
          </w:tcPr>
          <w:p w:rsidR="00FD151D" w:rsidRPr="0037437C" w:rsidRDefault="00FD151D" w:rsidP="00F508B2">
            <w:pPr>
              <w:jc w:val="center"/>
            </w:pPr>
          </w:p>
        </w:tc>
        <w:tc>
          <w:tcPr>
            <w:tcW w:w="1984" w:type="dxa"/>
            <w:tcBorders>
              <w:top w:val="single" w:sz="4" w:space="0" w:color="auto"/>
              <w:bottom w:val="single" w:sz="4" w:space="0" w:color="auto"/>
            </w:tcBorders>
            <w:shd w:val="clear" w:color="auto" w:fill="auto"/>
          </w:tcPr>
          <w:p w:rsidR="00FD151D" w:rsidRPr="0037437C" w:rsidRDefault="00FD151D" w:rsidP="00F508B2">
            <w:pPr>
              <w:jc w:val="center"/>
            </w:pPr>
          </w:p>
        </w:tc>
      </w:tr>
      <w:tr w:rsidR="003A338E" w:rsidRPr="0037437C" w:rsidTr="002226AA">
        <w:tc>
          <w:tcPr>
            <w:tcW w:w="2904" w:type="dxa"/>
            <w:tcBorders>
              <w:top w:val="single" w:sz="4" w:space="0" w:color="auto"/>
            </w:tcBorders>
            <w:shd w:val="clear" w:color="auto" w:fill="auto"/>
          </w:tcPr>
          <w:p w:rsidR="003A338E" w:rsidRPr="0037437C" w:rsidRDefault="003A338E" w:rsidP="00F508B2">
            <w:r w:rsidRPr="0037437C">
              <w:t>Schizophrenia</w:t>
            </w:r>
          </w:p>
        </w:tc>
        <w:tc>
          <w:tcPr>
            <w:tcW w:w="1701" w:type="dxa"/>
            <w:tcBorders>
              <w:top w:val="single" w:sz="4" w:space="0" w:color="auto"/>
            </w:tcBorders>
            <w:shd w:val="clear" w:color="auto" w:fill="auto"/>
          </w:tcPr>
          <w:p w:rsidR="003A338E" w:rsidRPr="0037437C" w:rsidRDefault="003A338E" w:rsidP="00F508B2">
            <w:pPr>
              <w:jc w:val="center"/>
            </w:pPr>
            <w:r w:rsidRPr="0037437C">
              <w:t>43 (48)</w:t>
            </w:r>
          </w:p>
        </w:tc>
        <w:tc>
          <w:tcPr>
            <w:tcW w:w="1984" w:type="dxa"/>
            <w:tcBorders>
              <w:top w:val="single" w:sz="4" w:space="0" w:color="auto"/>
            </w:tcBorders>
            <w:shd w:val="clear" w:color="auto" w:fill="auto"/>
          </w:tcPr>
          <w:p w:rsidR="003A338E" w:rsidRPr="0037437C" w:rsidRDefault="002226AA" w:rsidP="00F508B2">
            <w:pPr>
              <w:jc w:val="center"/>
            </w:pPr>
            <w:r w:rsidRPr="0037437C">
              <w:t>234 (58)</w:t>
            </w:r>
          </w:p>
        </w:tc>
      </w:tr>
      <w:tr w:rsidR="003A338E" w:rsidRPr="0037437C" w:rsidTr="002226AA">
        <w:tc>
          <w:tcPr>
            <w:tcW w:w="2904" w:type="dxa"/>
            <w:shd w:val="clear" w:color="auto" w:fill="auto"/>
          </w:tcPr>
          <w:p w:rsidR="003A338E" w:rsidRPr="0037437C" w:rsidRDefault="003A338E" w:rsidP="00F508B2">
            <w:r w:rsidRPr="0037437C">
              <w:t>Bipolar disorder</w:t>
            </w:r>
          </w:p>
        </w:tc>
        <w:tc>
          <w:tcPr>
            <w:tcW w:w="1701" w:type="dxa"/>
            <w:shd w:val="clear" w:color="auto" w:fill="auto"/>
          </w:tcPr>
          <w:p w:rsidR="003A338E" w:rsidRPr="0037437C" w:rsidRDefault="003A338E" w:rsidP="00F508B2">
            <w:pPr>
              <w:jc w:val="center"/>
            </w:pPr>
            <w:r w:rsidRPr="0037437C">
              <w:t>21 (24)</w:t>
            </w:r>
          </w:p>
        </w:tc>
        <w:tc>
          <w:tcPr>
            <w:tcW w:w="1984" w:type="dxa"/>
            <w:shd w:val="clear" w:color="auto" w:fill="auto"/>
          </w:tcPr>
          <w:p w:rsidR="003A338E" w:rsidRPr="0037437C" w:rsidRDefault="002226AA" w:rsidP="00F508B2">
            <w:pPr>
              <w:jc w:val="center"/>
            </w:pPr>
            <w:r w:rsidRPr="0037437C">
              <w:t>50 (12.5)</w:t>
            </w:r>
          </w:p>
        </w:tc>
      </w:tr>
      <w:tr w:rsidR="002226AA" w:rsidRPr="0037437C" w:rsidTr="002226AA">
        <w:tc>
          <w:tcPr>
            <w:tcW w:w="2904" w:type="dxa"/>
            <w:shd w:val="clear" w:color="auto" w:fill="auto"/>
          </w:tcPr>
          <w:p w:rsidR="002226AA" w:rsidRPr="0037437C" w:rsidRDefault="002226AA" w:rsidP="002226AA">
            <w:r w:rsidRPr="0037437C">
              <w:t>Schizoaffective  disorder</w:t>
            </w:r>
          </w:p>
        </w:tc>
        <w:tc>
          <w:tcPr>
            <w:tcW w:w="1701" w:type="dxa"/>
            <w:shd w:val="clear" w:color="auto" w:fill="auto"/>
          </w:tcPr>
          <w:p w:rsidR="002226AA" w:rsidRPr="0037437C" w:rsidRDefault="002226AA" w:rsidP="00F508B2">
            <w:pPr>
              <w:jc w:val="center"/>
            </w:pPr>
          </w:p>
        </w:tc>
        <w:tc>
          <w:tcPr>
            <w:tcW w:w="1984" w:type="dxa"/>
            <w:shd w:val="clear" w:color="auto" w:fill="auto"/>
          </w:tcPr>
          <w:p w:rsidR="002226AA" w:rsidRPr="0037437C" w:rsidRDefault="002226AA" w:rsidP="00F508B2">
            <w:pPr>
              <w:jc w:val="center"/>
            </w:pPr>
            <w:r w:rsidRPr="0037437C">
              <w:t>46 (11.5)</w:t>
            </w:r>
          </w:p>
        </w:tc>
      </w:tr>
      <w:tr w:rsidR="003A338E" w:rsidRPr="0037437C" w:rsidTr="002226AA">
        <w:tc>
          <w:tcPr>
            <w:tcW w:w="2904" w:type="dxa"/>
            <w:shd w:val="clear" w:color="auto" w:fill="auto"/>
          </w:tcPr>
          <w:p w:rsidR="003A338E" w:rsidRPr="0037437C" w:rsidRDefault="003A338E" w:rsidP="00F508B2">
            <w:r w:rsidRPr="0037437C">
              <w:t>Depression</w:t>
            </w:r>
          </w:p>
        </w:tc>
        <w:tc>
          <w:tcPr>
            <w:tcW w:w="1701" w:type="dxa"/>
            <w:shd w:val="clear" w:color="auto" w:fill="auto"/>
          </w:tcPr>
          <w:p w:rsidR="003A338E" w:rsidRPr="0037437C" w:rsidRDefault="003A338E" w:rsidP="00F508B2">
            <w:pPr>
              <w:jc w:val="center"/>
            </w:pPr>
            <w:r w:rsidRPr="0037437C">
              <w:t>2 (2)</w:t>
            </w:r>
          </w:p>
        </w:tc>
        <w:tc>
          <w:tcPr>
            <w:tcW w:w="1984" w:type="dxa"/>
            <w:shd w:val="clear" w:color="auto" w:fill="auto"/>
          </w:tcPr>
          <w:p w:rsidR="003A338E" w:rsidRPr="0037437C" w:rsidRDefault="003A338E" w:rsidP="00F508B2">
            <w:pPr>
              <w:jc w:val="center"/>
            </w:pPr>
          </w:p>
        </w:tc>
      </w:tr>
      <w:tr w:rsidR="003A338E" w:rsidRPr="0037437C" w:rsidTr="002226AA">
        <w:tc>
          <w:tcPr>
            <w:tcW w:w="2904" w:type="dxa"/>
            <w:shd w:val="clear" w:color="auto" w:fill="auto"/>
          </w:tcPr>
          <w:p w:rsidR="003A338E" w:rsidRPr="0037437C" w:rsidRDefault="003A338E" w:rsidP="00F508B2">
            <w:r w:rsidRPr="0037437C">
              <w:t>Personality disorder</w:t>
            </w:r>
          </w:p>
        </w:tc>
        <w:tc>
          <w:tcPr>
            <w:tcW w:w="1701" w:type="dxa"/>
            <w:shd w:val="clear" w:color="auto" w:fill="auto"/>
          </w:tcPr>
          <w:p w:rsidR="003A338E" w:rsidRPr="0037437C" w:rsidRDefault="003A338E" w:rsidP="00F508B2">
            <w:pPr>
              <w:jc w:val="center"/>
            </w:pPr>
            <w:r w:rsidRPr="0037437C">
              <w:t>2 (2)</w:t>
            </w:r>
          </w:p>
        </w:tc>
        <w:tc>
          <w:tcPr>
            <w:tcW w:w="1984" w:type="dxa"/>
            <w:shd w:val="clear" w:color="auto" w:fill="auto"/>
          </w:tcPr>
          <w:p w:rsidR="003A338E" w:rsidRPr="0037437C" w:rsidRDefault="003A338E" w:rsidP="00F508B2">
            <w:pPr>
              <w:jc w:val="center"/>
            </w:pPr>
          </w:p>
        </w:tc>
      </w:tr>
      <w:tr w:rsidR="00FD151D" w:rsidRPr="0037437C" w:rsidTr="002226AA">
        <w:tc>
          <w:tcPr>
            <w:tcW w:w="2904" w:type="dxa"/>
            <w:shd w:val="clear" w:color="auto" w:fill="auto"/>
          </w:tcPr>
          <w:p w:rsidR="00FD151D" w:rsidRPr="0037437C" w:rsidRDefault="00FD151D" w:rsidP="00F508B2">
            <w:r w:rsidRPr="0037437C">
              <w:t>Not known</w:t>
            </w:r>
          </w:p>
        </w:tc>
        <w:tc>
          <w:tcPr>
            <w:tcW w:w="1701" w:type="dxa"/>
            <w:shd w:val="clear" w:color="auto" w:fill="auto"/>
          </w:tcPr>
          <w:p w:rsidR="00FD151D" w:rsidRPr="0037437C" w:rsidRDefault="003A338E" w:rsidP="00F508B2">
            <w:pPr>
              <w:jc w:val="center"/>
            </w:pPr>
            <w:r w:rsidRPr="0037437C">
              <w:t>3 (3)</w:t>
            </w:r>
          </w:p>
        </w:tc>
        <w:tc>
          <w:tcPr>
            <w:tcW w:w="1984" w:type="dxa"/>
            <w:shd w:val="clear" w:color="auto" w:fill="auto"/>
          </w:tcPr>
          <w:p w:rsidR="00FD151D" w:rsidRPr="0037437C" w:rsidRDefault="00FD151D" w:rsidP="00F508B2">
            <w:pPr>
              <w:jc w:val="center"/>
            </w:pPr>
          </w:p>
        </w:tc>
      </w:tr>
      <w:tr w:rsidR="00FD151D" w:rsidRPr="0037437C" w:rsidTr="002226AA">
        <w:tc>
          <w:tcPr>
            <w:tcW w:w="2904" w:type="dxa"/>
            <w:shd w:val="clear" w:color="auto" w:fill="auto"/>
          </w:tcPr>
          <w:p w:rsidR="00FD151D" w:rsidRPr="0037437C" w:rsidRDefault="00FD151D" w:rsidP="00F508B2">
            <w:r w:rsidRPr="0037437C">
              <w:t>Other</w:t>
            </w:r>
          </w:p>
        </w:tc>
        <w:tc>
          <w:tcPr>
            <w:tcW w:w="1701" w:type="dxa"/>
            <w:shd w:val="clear" w:color="auto" w:fill="auto"/>
          </w:tcPr>
          <w:p w:rsidR="00FD151D" w:rsidRPr="0037437C" w:rsidRDefault="003A338E" w:rsidP="00F508B2">
            <w:pPr>
              <w:jc w:val="center"/>
            </w:pPr>
            <w:r w:rsidRPr="0037437C">
              <w:t>11 (14)</w:t>
            </w:r>
          </w:p>
        </w:tc>
        <w:tc>
          <w:tcPr>
            <w:tcW w:w="1984" w:type="dxa"/>
            <w:shd w:val="clear" w:color="auto" w:fill="auto"/>
          </w:tcPr>
          <w:p w:rsidR="00FD151D" w:rsidRPr="0037437C" w:rsidRDefault="002226AA" w:rsidP="00F508B2">
            <w:pPr>
              <w:jc w:val="center"/>
            </w:pPr>
            <w:r w:rsidRPr="0037437C">
              <w:t>69 (18)</w:t>
            </w:r>
          </w:p>
        </w:tc>
      </w:tr>
      <w:tr w:rsidR="00FD151D" w:rsidRPr="0037437C" w:rsidTr="002226AA">
        <w:tc>
          <w:tcPr>
            <w:tcW w:w="2904" w:type="dxa"/>
            <w:tcBorders>
              <w:bottom w:val="single" w:sz="4" w:space="0" w:color="auto"/>
            </w:tcBorders>
            <w:shd w:val="clear" w:color="auto" w:fill="auto"/>
          </w:tcPr>
          <w:p w:rsidR="00FD151D" w:rsidRPr="0037437C" w:rsidRDefault="00FD151D" w:rsidP="00F508B2">
            <w:r w:rsidRPr="0037437C">
              <w:t>More than one</w:t>
            </w:r>
          </w:p>
        </w:tc>
        <w:tc>
          <w:tcPr>
            <w:tcW w:w="1701" w:type="dxa"/>
            <w:tcBorders>
              <w:bottom w:val="single" w:sz="4" w:space="0" w:color="auto"/>
            </w:tcBorders>
            <w:shd w:val="clear" w:color="auto" w:fill="auto"/>
          </w:tcPr>
          <w:p w:rsidR="00FD151D" w:rsidRPr="0037437C" w:rsidRDefault="003A338E" w:rsidP="00F508B2">
            <w:pPr>
              <w:jc w:val="center"/>
            </w:pPr>
            <w:r w:rsidRPr="0037437C">
              <w:t>6 (7)</w:t>
            </w:r>
          </w:p>
        </w:tc>
        <w:tc>
          <w:tcPr>
            <w:tcW w:w="1984" w:type="dxa"/>
            <w:tcBorders>
              <w:bottom w:val="single" w:sz="4" w:space="0" w:color="auto"/>
            </w:tcBorders>
            <w:shd w:val="clear" w:color="auto" w:fill="auto"/>
          </w:tcPr>
          <w:p w:rsidR="00FD151D" w:rsidRPr="0037437C" w:rsidRDefault="00FD151D" w:rsidP="00F508B2">
            <w:pPr>
              <w:jc w:val="center"/>
            </w:pPr>
          </w:p>
        </w:tc>
      </w:tr>
      <w:tr w:rsidR="00583A0B" w:rsidRPr="0037437C" w:rsidTr="002226AA">
        <w:tc>
          <w:tcPr>
            <w:tcW w:w="2904" w:type="dxa"/>
            <w:tcBorders>
              <w:top w:val="single" w:sz="4" w:space="0" w:color="auto"/>
              <w:bottom w:val="single" w:sz="4" w:space="0" w:color="auto"/>
            </w:tcBorders>
            <w:shd w:val="clear" w:color="auto" w:fill="auto"/>
          </w:tcPr>
          <w:p w:rsidR="00583A0B" w:rsidRPr="0037437C" w:rsidRDefault="00583A0B" w:rsidP="00F508B2">
            <w:r w:rsidRPr="0037437C">
              <w:t>Ethnicity</w:t>
            </w:r>
            <w:r w:rsidR="005D363C" w:rsidRPr="0037437C">
              <w:t xml:space="preserve">  n (%)</w:t>
            </w:r>
          </w:p>
          <w:p w:rsidR="00583A0B" w:rsidRPr="0037437C" w:rsidRDefault="00D52BFC" w:rsidP="00F508B2">
            <w:r w:rsidRPr="0037437C">
              <w:t xml:space="preserve"> </w:t>
            </w:r>
            <w:r w:rsidR="00583A0B" w:rsidRPr="0037437C">
              <w:t xml:space="preserve">White </w:t>
            </w:r>
          </w:p>
          <w:p w:rsidR="00583A0B" w:rsidRPr="0037437C" w:rsidRDefault="00D52BFC" w:rsidP="00F508B2">
            <w:r w:rsidRPr="0037437C">
              <w:t xml:space="preserve"> </w:t>
            </w:r>
            <w:r w:rsidR="00583A0B" w:rsidRPr="0037437C">
              <w:t>Black</w:t>
            </w:r>
          </w:p>
          <w:p w:rsidR="00583A0B" w:rsidRPr="0037437C" w:rsidRDefault="00D52BFC" w:rsidP="00F508B2">
            <w:r w:rsidRPr="0037437C">
              <w:t xml:space="preserve"> </w:t>
            </w:r>
            <w:r w:rsidR="00583A0B" w:rsidRPr="0037437C">
              <w:t>Other/mixed</w:t>
            </w:r>
          </w:p>
        </w:tc>
        <w:tc>
          <w:tcPr>
            <w:tcW w:w="1701" w:type="dxa"/>
            <w:tcBorders>
              <w:top w:val="single" w:sz="4" w:space="0" w:color="auto"/>
              <w:bottom w:val="single" w:sz="4" w:space="0" w:color="auto"/>
            </w:tcBorders>
            <w:shd w:val="clear" w:color="auto" w:fill="auto"/>
          </w:tcPr>
          <w:p w:rsidR="00583A0B" w:rsidRPr="0037437C" w:rsidRDefault="00583A0B" w:rsidP="00F508B2">
            <w:pPr>
              <w:jc w:val="center"/>
            </w:pPr>
          </w:p>
          <w:p w:rsidR="00583A0B" w:rsidRPr="0037437C" w:rsidRDefault="00583A0B" w:rsidP="00F508B2">
            <w:pPr>
              <w:jc w:val="center"/>
            </w:pPr>
            <w:r w:rsidRPr="0037437C">
              <w:t>37 (44.0)</w:t>
            </w:r>
          </w:p>
          <w:p w:rsidR="00583A0B" w:rsidRPr="0037437C" w:rsidRDefault="00583A0B" w:rsidP="00F508B2">
            <w:pPr>
              <w:jc w:val="center"/>
            </w:pPr>
            <w:r w:rsidRPr="0037437C">
              <w:t>40 (45.0)</w:t>
            </w:r>
          </w:p>
          <w:p w:rsidR="00583A0B" w:rsidRPr="0037437C" w:rsidRDefault="00583A0B" w:rsidP="00F508B2">
            <w:pPr>
              <w:jc w:val="center"/>
            </w:pPr>
            <w:r w:rsidRPr="0037437C">
              <w:t>10 (11.0)</w:t>
            </w:r>
          </w:p>
        </w:tc>
        <w:tc>
          <w:tcPr>
            <w:tcW w:w="1984" w:type="dxa"/>
            <w:tcBorders>
              <w:top w:val="single" w:sz="4" w:space="0" w:color="auto"/>
              <w:bottom w:val="single" w:sz="4" w:space="0" w:color="auto"/>
            </w:tcBorders>
            <w:shd w:val="clear" w:color="auto" w:fill="auto"/>
          </w:tcPr>
          <w:p w:rsidR="00583A0B" w:rsidRPr="0037437C" w:rsidRDefault="00583A0B" w:rsidP="00F508B2">
            <w:pPr>
              <w:jc w:val="center"/>
            </w:pPr>
          </w:p>
          <w:p w:rsidR="00583A0B" w:rsidRPr="0037437C" w:rsidRDefault="00583A0B" w:rsidP="00F508B2">
            <w:pPr>
              <w:jc w:val="center"/>
            </w:pPr>
            <w:r w:rsidRPr="0037437C">
              <w:t>228 (57.6)</w:t>
            </w:r>
          </w:p>
          <w:p w:rsidR="00583A0B" w:rsidRPr="0037437C" w:rsidRDefault="00583A0B" w:rsidP="00F508B2">
            <w:pPr>
              <w:jc w:val="center"/>
            </w:pPr>
            <w:r w:rsidRPr="0037437C">
              <w:t>109 (27.5)</w:t>
            </w:r>
          </w:p>
          <w:p w:rsidR="00583A0B" w:rsidRPr="0037437C" w:rsidRDefault="00583A0B" w:rsidP="00F508B2">
            <w:pPr>
              <w:jc w:val="center"/>
            </w:pPr>
            <w:r w:rsidRPr="0037437C">
              <w:t>59 (14.9)</w:t>
            </w:r>
          </w:p>
        </w:tc>
      </w:tr>
      <w:tr w:rsidR="00583A0B" w:rsidRPr="0037437C" w:rsidTr="002226AA">
        <w:tc>
          <w:tcPr>
            <w:tcW w:w="2904" w:type="dxa"/>
            <w:tcBorders>
              <w:top w:val="single" w:sz="4" w:space="0" w:color="auto"/>
            </w:tcBorders>
            <w:shd w:val="clear" w:color="auto" w:fill="auto"/>
          </w:tcPr>
          <w:p w:rsidR="00583A0B" w:rsidRPr="0037437C" w:rsidRDefault="00583A0B" w:rsidP="004625F1">
            <w:r w:rsidRPr="0037437C">
              <w:t xml:space="preserve">Unemployed </w:t>
            </w:r>
            <w:r w:rsidR="005D363C" w:rsidRPr="0037437C">
              <w:t>n</w:t>
            </w:r>
            <w:r w:rsidR="004625F1" w:rsidRPr="0037437C">
              <w:t xml:space="preserve"> </w:t>
            </w:r>
            <w:r w:rsidRPr="0037437C">
              <w:t>(%)</w:t>
            </w:r>
          </w:p>
        </w:tc>
        <w:tc>
          <w:tcPr>
            <w:tcW w:w="1701" w:type="dxa"/>
            <w:tcBorders>
              <w:top w:val="single" w:sz="4" w:space="0" w:color="auto"/>
            </w:tcBorders>
            <w:shd w:val="clear" w:color="auto" w:fill="auto"/>
          </w:tcPr>
          <w:p w:rsidR="00583A0B" w:rsidRPr="0037437C" w:rsidRDefault="00583A0B" w:rsidP="004625F1">
            <w:pPr>
              <w:jc w:val="center"/>
            </w:pPr>
            <w:r w:rsidRPr="0037437C">
              <w:t>63 (72.4)</w:t>
            </w:r>
          </w:p>
        </w:tc>
        <w:tc>
          <w:tcPr>
            <w:tcW w:w="1984" w:type="dxa"/>
            <w:tcBorders>
              <w:top w:val="single" w:sz="4" w:space="0" w:color="auto"/>
            </w:tcBorders>
            <w:shd w:val="clear" w:color="auto" w:fill="auto"/>
          </w:tcPr>
          <w:p w:rsidR="00583A0B" w:rsidRPr="0037437C" w:rsidRDefault="00583A0B" w:rsidP="00F508B2">
            <w:pPr>
              <w:jc w:val="center"/>
            </w:pPr>
            <w:r w:rsidRPr="0037437C">
              <w:t>291 (73.1)</w:t>
            </w:r>
          </w:p>
        </w:tc>
      </w:tr>
      <w:tr w:rsidR="00583A0B" w:rsidRPr="0037437C" w:rsidTr="002226AA">
        <w:tc>
          <w:tcPr>
            <w:tcW w:w="2904" w:type="dxa"/>
            <w:tcBorders>
              <w:bottom w:val="single" w:sz="4" w:space="0" w:color="auto"/>
            </w:tcBorders>
            <w:shd w:val="clear" w:color="auto" w:fill="auto"/>
          </w:tcPr>
          <w:p w:rsidR="00583A0B" w:rsidRPr="0037437C" w:rsidRDefault="00583A0B" w:rsidP="004625F1">
            <w:r w:rsidRPr="0037437C">
              <w:t xml:space="preserve">Single </w:t>
            </w:r>
            <w:r w:rsidR="004625F1" w:rsidRPr="0037437C">
              <w:t xml:space="preserve"> </w:t>
            </w:r>
            <w:r w:rsidRPr="0037437C">
              <w:t xml:space="preserve"> n (%)</w:t>
            </w:r>
          </w:p>
        </w:tc>
        <w:tc>
          <w:tcPr>
            <w:tcW w:w="1701" w:type="dxa"/>
            <w:tcBorders>
              <w:bottom w:val="single" w:sz="4" w:space="0" w:color="auto"/>
            </w:tcBorders>
            <w:shd w:val="clear" w:color="auto" w:fill="auto"/>
          </w:tcPr>
          <w:p w:rsidR="00583A0B" w:rsidRPr="0037437C" w:rsidRDefault="00583A0B" w:rsidP="00F508B2">
            <w:pPr>
              <w:jc w:val="center"/>
            </w:pPr>
            <w:r w:rsidRPr="0037437C">
              <w:t>63 (73.3)</w:t>
            </w:r>
          </w:p>
        </w:tc>
        <w:tc>
          <w:tcPr>
            <w:tcW w:w="1984" w:type="dxa"/>
            <w:tcBorders>
              <w:bottom w:val="single" w:sz="4" w:space="0" w:color="auto"/>
            </w:tcBorders>
            <w:shd w:val="clear" w:color="auto" w:fill="auto"/>
          </w:tcPr>
          <w:p w:rsidR="00583A0B" w:rsidRPr="0037437C" w:rsidRDefault="00583A0B" w:rsidP="00F508B2">
            <w:pPr>
              <w:jc w:val="center"/>
            </w:pPr>
            <w:r w:rsidRPr="0037437C">
              <w:t>306 (76.7)</w:t>
            </w:r>
          </w:p>
        </w:tc>
      </w:tr>
      <w:tr w:rsidR="004625F1" w:rsidRPr="0037437C" w:rsidTr="002226AA">
        <w:tc>
          <w:tcPr>
            <w:tcW w:w="2904" w:type="dxa"/>
            <w:tcBorders>
              <w:top w:val="single" w:sz="4" w:space="0" w:color="auto"/>
            </w:tcBorders>
            <w:shd w:val="clear" w:color="auto" w:fill="auto"/>
          </w:tcPr>
          <w:p w:rsidR="004625F1" w:rsidRPr="0037437C" w:rsidRDefault="004625F1" w:rsidP="00F508B2">
            <w:r w:rsidRPr="0037437C">
              <w:t>QPR mean (s.d.)</w:t>
            </w:r>
          </w:p>
        </w:tc>
        <w:tc>
          <w:tcPr>
            <w:tcW w:w="1701" w:type="dxa"/>
            <w:tcBorders>
              <w:top w:val="single" w:sz="4" w:space="0" w:color="auto"/>
            </w:tcBorders>
            <w:shd w:val="clear" w:color="auto" w:fill="auto"/>
          </w:tcPr>
          <w:p w:rsidR="004625F1" w:rsidRPr="0037437C" w:rsidRDefault="004625F1" w:rsidP="00F508B2">
            <w:pPr>
              <w:jc w:val="center"/>
            </w:pPr>
          </w:p>
        </w:tc>
        <w:tc>
          <w:tcPr>
            <w:tcW w:w="1984" w:type="dxa"/>
            <w:tcBorders>
              <w:top w:val="single" w:sz="4" w:space="0" w:color="auto"/>
            </w:tcBorders>
            <w:shd w:val="clear" w:color="auto" w:fill="auto"/>
          </w:tcPr>
          <w:p w:rsidR="004625F1" w:rsidRPr="0037437C" w:rsidRDefault="004625F1" w:rsidP="00F508B2">
            <w:pPr>
              <w:jc w:val="center"/>
            </w:pPr>
          </w:p>
        </w:tc>
      </w:tr>
      <w:tr w:rsidR="00D270C6" w:rsidRPr="0037437C" w:rsidTr="002226AA">
        <w:tc>
          <w:tcPr>
            <w:tcW w:w="2904" w:type="dxa"/>
            <w:shd w:val="clear" w:color="auto" w:fill="auto"/>
          </w:tcPr>
          <w:p w:rsidR="00D52BFC" w:rsidRPr="0037437C" w:rsidRDefault="004625F1" w:rsidP="00F508B2">
            <w:r w:rsidRPr="0037437C">
              <w:tab/>
            </w:r>
            <w:r w:rsidR="00D52BFC" w:rsidRPr="0037437C">
              <w:t>Intrapersonal</w:t>
            </w:r>
          </w:p>
        </w:tc>
        <w:tc>
          <w:tcPr>
            <w:tcW w:w="1701" w:type="dxa"/>
            <w:shd w:val="clear" w:color="auto" w:fill="auto"/>
          </w:tcPr>
          <w:p w:rsidR="00D270C6" w:rsidRPr="0037437C" w:rsidRDefault="00D52BFC" w:rsidP="00F508B2">
            <w:pPr>
              <w:jc w:val="center"/>
            </w:pPr>
            <w:r w:rsidRPr="0037437C">
              <w:t>46.33 (9.6)</w:t>
            </w:r>
          </w:p>
        </w:tc>
        <w:tc>
          <w:tcPr>
            <w:tcW w:w="1984" w:type="dxa"/>
            <w:shd w:val="clear" w:color="auto" w:fill="auto"/>
          </w:tcPr>
          <w:p w:rsidR="00D270C6" w:rsidRPr="0037437C" w:rsidRDefault="00D52BFC" w:rsidP="00F508B2">
            <w:pPr>
              <w:jc w:val="center"/>
            </w:pPr>
            <w:r w:rsidRPr="0037437C">
              <w:t>48.83 (10.1)</w:t>
            </w:r>
          </w:p>
        </w:tc>
      </w:tr>
      <w:tr w:rsidR="00D270C6" w:rsidRPr="0037437C" w:rsidTr="002226AA">
        <w:tc>
          <w:tcPr>
            <w:tcW w:w="2904" w:type="dxa"/>
            <w:shd w:val="clear" w:color="auto" w:fill="auto"/>
          </w:tcPr>
          <w:p w:rsidR="00D270C6" w:rsidRPr="0037437C" w:rsidRDefault="004625F1" w:rsidP="00F508B2">
            <w:r w:rsidRPr="0037437C">
              <w:tab/>
            </w:r>
            <w:r w:rsidR="00D52BFC" w:rsidRPr="0037437C">
              <w:t>Interperson</w:t>
            </w:r>
            <w:r w:rsidRPr="0037437C">
              <w:t>al</w:t>
            </w:r>
          </w:p>
        </w:tc>
        <w:tc>
          <w:tcPr>
            <w:tcW w:w="1701" w:type="dxa"/>
            <w:shd w:val="clear" w:color="auto" w:fill="auto"/>
          </w:tcPr>
          <w:p w:rsidR="00D270C6" w:rsidRPr="0037437C" w:rsidRDefault="00D52BFC" w:rsidP="00F508B2">
            <w:pPr>
              <w:jc w:val="center"/>
            </w:pPr>
            <w:r w:rsidRPr="0037437C">
              <w:t>13.73 (2.8)</w:t>
            </w:r>
          </w:p>
        </w:tc>
        <w:tc>
          <w:tcPr>
            <w:tcW w:w="1984" w:type="dxa"/>
            <w:shd w:val="clear" w:color="auto" w:fill="auto"/>
          </w:tcPr>
          <w:p w:rsidR="00D270C6" w:rsidRPr="0037437C" w:rsidRDefault="00D52BFC" w:rsidP="00F508B2">
            <w:pPr>
              <w:jc w:val="center"/>
            </w:pPr>
            <w:r w:rsidRPr="0037437C">
              <w:t>13.27 (2.6)</w:t>
            </w:r>
          </w:p>
        </w:tc>
      </w:tr>
      <w:tr w:rsidR="00D270C6" w:rsidRPr="0037437C" w:rsidTr="002226AA">
        <w:tc>
          <w:tcPr>
            <w:tcW w:w="2904" w:type="dxa"/>
            <w:tcBorders>
              <w:bottom w:val="single" w:sz="4" w:space="0" w:color="auto"/>
            </w:tcBorders>
            <w:shd w:val="clear" w:color="auto" w:fill="auto"/>
          </w:tcPr>
          <w:p w:rsidR="00D270C6" w:rsidRPr="0037437C" w:rsidRDefault="004625F1" w:rsidP="004625F1">
            <w:r w:rsidRPr="0037437C">
              <w:tab/>
              <w:t>Total</w:t>
            </w:r>
          </w:p>
        </w:tc>
        <w:tc>
          <w:tcPr>
            <w:tcW w:w="1701" w:type="dxa"/>
            <w:tcBorders>
              <w:bottom w:val="single" w:sz="4" w:space="0" w:color="auto"/>
            </w:tcBorders>
            <w:shd w:val="clear" w:color="auto" w:fill="auto"/>
          </w:tcPr>
          <w:p w:rsidR="00D270C6" w:rsidRPr="0037437C" w:rsidRDefault="00D52BFC" w:rsidP="00F508B2">
            <w:pPr>
              <w:jc w:val="center"/>
            </w:pPr>
            <w:r w:rsidRPr="0037437C">
              <w:t>41.17 (8.6)</w:t>
            </w:r>
          </w:p>
        </w:tc>
        <w:tc>
          <w:tcPr>
            <w:tcW w:w="1984" w:type="dxa"/>
            <w:tcBorders>
              <w:bottom w:val="single" w:sz="4" w:space="0" w:color="auto"/>
            </w:tcBorders>
            <w:shd w:val="clear" w:color="auto" w:fill="auto"/>
          </w:tcPr>
          <w:p w:rsidR="00D270C6" w:rsidRPr="0037437C" w:rsidRDefault="00D52BFC" w:rsidP="00F508B2">
            <w:pPr>
              <w:jc w:val="center"/>
            </w:pPr>
            <w:r w:rsidRPr="0037437C">
              <w:t>38.72 (9.1)</w:t>
            </w:r>
          </w:p>
        </w:tc>
      </w:tr>
    </w:tbl>
    <w:p w:rsidR="00705154" w:rsidRPr="0037437C" w:rsidRDefault="00705154" w:rsidP="00583A0B"/>
    <w:p w:rsidR="00C7730C" w:rsidRPr="0037437C" w:rsidRDefault="00C7730C">
      <w:pPr>
        <w:rPr>
          <w:b/>
          <w:sz w:val="20"/>
          <w:szCs w:val="20"/>
        </w:rPr>
      </w:pPr>
      <w:r w:rsidRPr="0037437C">
        <w:rPr>
          <w:b/>
          <w:sz w:val="20"/>
          <w:szCs w:val="20"/>
        </w:rPr>
        <w:br w:type="page"/>
      </w:r>
    </w:p>
    <w:p w:rsidR="00CA506E" w:rsidRPr="0037437C" w:rsidRDefault="00ED411F" w:rsidP="00417CD8">
      <w:pPr>
        <w:jc w:val="center"/>
      </w:pPr>
      <w:r w:rsidRPr="0037437C">
        <w:rPr>
          <w:b/>
          <w:sz w:val="20"/>
          <w:szCs w:val="20"/>
        </w:rPr>
        <w:lastRenderedPageBreak/>
        <w:t xml:space="preserve">Table 2: </w:t>
      </w:r>
      <w:r w:rsidR="00D54A8C" w:rsidRPr="0037437C">
        <w:rPr>
          <w:b/>
          <w:sz w:val="20"/>
          <w:szCs w:val="20"/>
        </w:rPr>
        <w:t>QPR s</w:t>
      </w:r>
      <w:r w:rsidRPr="0037437C">
        <w:rPr>
          <w:b/>
          <w:sz w:val="20"/>
          <w:szCs w:val="20"/>
        </w:rPr>
        <w:t>ensitivity to change</w:t>
      </w:r>
    </w:p>
    <w:tbl>
      <w:tblPr>
        <w:tblStyle w:val="TableGrid"/>
        <w:tblW w:w="0" w:type="auto"/>
        <w:jc w:val="center"/>
        <w:tblInd w:w="1384" w:type="dxa"/>
        <w:tblLook w:val="04A0"/>
      </w:tblPr>
      <w:tblGrid>
        <w:gridCol w:w="2268"/>
        <w:gridCol w:w="2652"/>
        <w:gridCol w:w="2735"/>
      </w:tblGrid>
      <w:tr w:rsidR="00ED411F" w:rsidRPr="0037437C" w:rsidTr="00ED411F">
        <w:trPr>
          <w:jc w:val="center"/>
        </w:trPr>
        <w:tc>
          <w:tcPr>
            <w:tcW w:w="2268" w:type="dxa"/>
            <w:tcBorders>
              <w:left w:val="nil"/>
              <w:right w:val="nil"/>
            </w:tcBorders>
          </w:tcPr>
          <w:p w:rsidR="00ED411F" w:rsidRPr="0037437C" w:rsidRDefault="00ED411F" w:rsidP="00F5794D">
            <w:pPr>
              <w:spacing w:line="360" w:lineRule="auto"/>
              <w:jc w:val="center"/>
              <w:rPr>
                <w:b/>
                <w:sz w:val="20"/>
                <w:szCs w:val="20"/>
              </w:rPr>
            </w:pPr>
          </w:p>
        </w:tc>
        <w:tc>
          <w:tcPr>
            <w:tcW w:w="2652" w:type="dxa"/>
            <w:tcBorders>
              <w:left w:val="nil"/>
              <w:right w:val="nil"/>
            </w:tcBorders>
          </w:tcPr>
          <w:p w:rsidR="00ED411F" w:rsidRPr="0037437C" w:rsidRDefault="00ED411F" w:rsidP="00F5794D">
            <w:pPr>
              <w:spacing w:line="360" w:lineRule="auto"/>
              <w:jc w:val="center"/>
              <w:rPr>
                <w:b/>
                <w:sz w:val="20"/>
                <w:szCs w:val="20"/>
              </w:rPr>
            </w:pPr>
            <w:r w:rsidRPr="0037437C">
              <w:rPr>
                <w:b/>
                <w:sz w:val="20"/>
                <w:szCs w:val="20"/>
              </w:rPr>
              <w:t>Database 1</w:t>
            </w:r>
          </w:p>
          <w:p w:rsidR="00D54A8C" w:rsidRPr="0037437C" w:rsidRDefault="00D54A8C" w:rsidP="00F5794D">
            <w:pPr>
              <w:spacing w:line="360" w:lineRule="auto"/>
              <w:jc w:val="center"/>
              <w:rPr>
                <w:i/>
                <w:sz w:val="20"/>
                <w:szCs w:val="20"/>
              </w:rPr>
            </w:pPr>
            <w:r w:rsidRPr="0037437C">
              <w:rPr>
                <w:i/>
                <w:sz w:val="20"/>
                <w:szCs w:val="20"/>
              </w:rPr>
              <w:t>n=57</w:t>
            </w:r>
          </w:p>
        </w:tc>
        <w:tc>
          <w:tcPr>
            <w:tcW w:w="2735" w:type="dxa"/>
            <w:tcBorders>
              <w:left w:val="nil"/>
              <w:right w:val="nil"/>
            </w:tcBorders>
          </w:tcPr>
          <w:p w:rsidR="00ED411F" w:rsidRPr="0037437C" w:rsidRDefault="00ED411F" w:rsidP="00F5794D">
            <w:pPr>
              <w:spacing w:line="360" w:lineRule="auto"/>
              <w:jc w:val="center"/>
              <w:rPr>
                <w:sz w:val="20"/>
                <w:szCs w:val="20"/>
              </w:rPr>
            </w:pPr>
            <w:r w:rsidRPr="0037437C">
              <w:rPr>
                <w:b/>
                <w:sz w:val="20"/>
                <w:szCs w:val="20"/>
              </w:rPr>
              <w:t>Database 2</w:t>
            </w:r>
          </w:p>
          <w:p w:rsidR="00D54A8C" w:rsidRPr="0037437C" w:rsidRDefault="00D54A8C" w:rsidP="00F5794D">
            <w:pPr>
              <w:spacing w:line="360" w:lineRule="auto"/>
              <w:jc w:val="center"/>
              <w:rPr>
                <w:i/>
                <w:sz w:val="20"/>
                <w:szCs w:val="20"/>
              </w:rPr>
            </w:pPr>
            <w:r w:rsidRPr="0037437C">
              <w:rPr>
                <w:i/>
                <w:sz w:val="20"/>
                <w:szCs w:val="20"/>
              </w:rPr>
              <w:t>n=267</w:t>
            </w:r>
          </w:p>
        </w:tc>
      </w:tr>
      <w:tr w:rsidR="00ED411F" w:rsidRPr="0037437C" w:rsidTr="00ED411F">
        <w:trPr>
          <w:jc w:val="center"/>
        </w:trPr>
        <w:tc>
          <w:tcPr>
            <w:tcW w:w="2268" w:type="dxa"/>
            <w:tcBorders>
              <w:left w:val="nil"/>
              <w:right w:val="nil"/>
            </w:tcBorders>
          </w:tcPr>
          <w:p w:rsidR="00ED411F" w:rsidRPr="0037437C" w:rsidRDefault="00ED411F" w:rsidP="00F5794D">
            <w:pPr>
              <w:spacing w:line="360" w:lineRule="auto"/>
              <w:jc w:val="center"/>
              <w:rPr>
                <w:b/>
                <w:sz w:val="20"/>
                <w:szCs w:val="20"/>
              </w:rPr>
            </w:pPr>
          </w:p>
        </w:tc>
        <w:tc>
          <w:tcPr>
            <w:tcW w:w="5387" w:type="dxa"/>
            <w:gridSpan w:val="2"/>
            <w:tcBorders>
              <w:left w:val="nil"/>
              <w:right w:val="nil"/>
            </w:tcBorders>
          </w:tcPr>
          <w:p w:rsidR="00ED411F" w:rsidRPr="0037437C" w:rsidRDefault="00ED411F" w:rsidP="00F5794D">
            <w:pPr>
              <w:spacing w:line="360" w:lineRule="auto"/>
              <w:jc w:val="center"/>
              <w:rPr>
                <w:b/>
                <w:sz w:val="20"/>
                <w:szCs w:val="20"/>
              </w:rPr>
            </w:pPr>
            <w:r w:rsidRPr="0037437C">
              <w:rPr>
                <w:b/>
                <w:sz w:val="20"/>
                <w:szCs w:val="20"/>
              </w:rPr>
              <w:t>WEMWBS</w:t>
            </w:r>
          </w:p>
        </w:tc>
      </w:tr>
      <w:tr w:rsidR="00ED411F" w:rsidRPr="0037437C" w:rsidTr="00ED411F">
        <w:trPr>
          <w:jc w:val="center"/>
        </w:trPr>
        <w:tc>
          <w:tcPr>
            <w:tcW w:w="2268" w:type="dxa"/>
            <w:tcBorders>
              <w:left w:val="nil"/>
              <w:right w:val="nil"/>
            </w:tcBorders>
          </w:tcPr>
          <w:p w:rsidR="00ED411F" w:rsidRPr="0037437C" w:rsidRDefault="00ED411F" w:rsidP="00F5794D">
            <w:pPr>
              <w:spacing w:line="360" w:lineRule="auto"/>
              <w:jc w:val="center"/>
              <w:rPr>
                <w:b/>
                <w:sz w:val="20"/>
                <w:szCs w:val="20"/>
              </w:rPr>
            </w:pPr>
            <w:r w:rsidRPr="0037437C">
              <w:rPr>
                <w:b/>
                <w:sz w:val="20"/>
                <w:szCs w:val="20"/>
              </w:rPr>
              <w:t>QPR Intrapersonal</w:t>
            </w:r>
          </w:p>
        </w:tc>
        <w:tc>
          <w:tcPr>
            <w:tcW w:w="2652" w:type="dxa"/>
            <w:tcBorders>
              <w:left w:val="nil"/>
              <w:right w:val="nil"/>
            </w:tcBorders>
          </w:tcPr>
          <w:p w:rsidR="00ED411F" w:rsidRPr="0037437C" w:rsidRDefault="00ED411F" w:rsidP="00F5794D">
            <w:pPr>
              <w:spacing w:line="360" w:lineRule="auto"/>
              <w:jc w:val="center"/>
              <w:rPr>
                <w:b/>
                <w:sz w:val="20"/>
                <w:szCs w:val="20"/>
              </w:rPr>
            </w:pPr>
            <w:r w:rsidRPr="0037437C">
              <w:rPr>
                <w:b/>
                <w:sz w:val="20"/>
                <w:szCs w:val="20"/>
              </w:rPr>
              <w:t>r=0.50 95% CI 0.28-0.67</w:t>
            </w:r>
          </w:p>
        </w:tc>
        <w:tc>
          <w:tcPr>
            <w:tcW w:w="2735" w:type="dxa"/>
            <w:tcBorders>
              <w:left w:val="nil"/>
              <w:right w:val="nil"/>
            </w:tcBorders>
          </w:tcPr>
          <w:p w:rsidR="00ED411F" w:rsidRPr="0037437C" w:rsidRDefault="00ED411F" w:rsidP="00F5794D">
            <w:pPr>
              <w:spacing w:line="360" w:lineRule="auto"/>
              <w:jc w:val="center"/>
              <w:rPr>
                <w:b/>
                <w:sz w:val="20"/>
                <w:szCs w:val="20"/>
              </w:rPr>
            </w:pPr>
            <w:r w:rsidRPr="0037437C">
              <w:rPr>
                <w:b/>
                <w:sz w:val="20"/>
                <w:szCs w:val="20"/>
              </w:rPr>
              <w:t>r=0.39 95% CI 0.27-0.49</w:t>
            </w:r>
          </w:p>
        </w:tc>
      </w:tr>
      <w:tr w:rsidR="00ED411F" w:rsidRPr="0037437C" w:rsidTr="00ED411F">
        <w:trPr>
          <w:jc w:val="center"/>
        </w:trPr>
        <w:tc>
          <w:tcPr>
            <w:tcW w:w="2268" w:type="dxa"/>
            <w:tcBorders>
              <w:left w:val="nil"/>
              <w:right w:val="nil"/>
            </w:tcBorders>
          </w:tcPr>
          <w:p w:rsidR="00ED411F" w:rsidRPr="0037437C" w:rsidRDefault="00ED411F" w:rsidP="00F5794D">
            <w:pPr>
              <w:spacing w:line="360" w:lineRule="auto"/>
              <w:jc w:val="center"/>
              <w:rPr>
                <w:b/>
                <w:sz w:val="20"/>
                <w:szCs w:val="20"/>
              </w:rPr>
            </w:pPr>
            <w:r w:rsidRPr="0037437C">
              <w:rPr>
                <w:b/>
                <w:sz w:val="20"/>
                <w:szCs w:val="20"/>
              </w:rPr>
              <w:t>QPR Interpersonal</w:t>
            </w:r>
          </w:p>
        </w:tc>
        <w:tc>
          <w:tcPr>
            <w:tcW w:w="2652" w:type="dxa"/>
            <w:tcBorders>
              <w:left w:val="nil"/>
              <w:right w:val="nil"/>
            </w:tcBorders>
          </w:tcPr>
          <w:p w:rsidR="00ED411F" w:rsidRPr="0037437C" w:rsidRDefault="00ED411F" w:rsidP="00F5794D">
            <w:pPr>
              <w:spacing w:line="360" w:lineRule="auto"/>
              <w:jc w:val="center"/>
              <w:rPr>
                <w:b/>
                <w:sz w:val="20"/>
                <w:szCs w:val="20"/>
              </w:rPr>
            </w:pPr>
            <w:r w:rsidRPr="0037437C">
              <w:rPr>
                <w:b/>
                <w:sz w:val="20"/>
                <w:szCs w:val="20"/>
              </w:rPr>
              <w:t>r=0.18 95% CI -0.09-0.42</w:t>
            </w:r>
          </w:p>
        </w:tc>
        <w:tc>
          <w:tcPr>
            <w:tcW w:w="2735" w:type="dxa"/>
            <w:tcBorders>
              <w:left w:val="nil"/>
              <w:right w:val="nil"/>
            </w:tcBorders>
          </w:tcPr>
          <w:p w:rsidR="00ED411F" w:rsidRPr="0037437C" w:rsidRDefault="00ED411F" w:rsidP="00F5794D">
            <w:pPr>
              <w:spacing w:line="360" w:lineRule="auto"/>
              <w:jc w:val="center"/>
              <w:rPr>
                <w:b/>
                <w:sz w:val="20"/>
                <w:szCs w:val="20"/>
              </w:rPr>
            </w:pPr>
            <w:r w:rsidRPr="0037437C">
              <w:rPr>
                <w:b/>
                <w:sz w:val="20"/>
                <w:szCs w:val="20"/>
              </w:rPr>
              <w:t>r=0.18 95% CI 0.07-0.31</w:t>
            </w:r>
          </w:p>
        </w:tc>
      </w:tr>
      <w:tr w:rsidR="00ED411F" w:rsidRPr="0037437C" w:rsidTr="00ED411F">
        <w:trPr>
          <w:jc w:val="center"/>
        </w:trPr>
        <w:tc>
          <w:tcPr>
            <w:tcW w:w="2268" w:type="dxa"/>
            <w:tcBorders>
              <w:left w:val="nil"/>
              <w:right w:val="nil"/>
            </w:tcBorders>
          </w:tcPr>
          <w:p w:rsidR="00ED411F" w:rsidRPr="0037437C" w:rsidRDefault="00ED411F" w:rsidP="00F5794D">
            <w:pPr>
              <w:spacing w:line="360" w:lineRule="auto"/>
              <w:jc w:val="center"/>
              <w:rPr>
                <w:b/>
                <w:sz w:val="20"/>
                <w:szCs w:val="20"/>
              </w:rPr>
            </w:pPr>
            <w:r w:rsidRPr="0037437C">
              <w:rPr>
                <w:b/>
                <w:sz w:val="20"/>
                <w:szCs w:val="20"/>
              </w:rPr>
              <w:t>QPR Total</w:t>
            </w:r>
          </w:p>
        </w:tc>
        <w:tc>
          <w:tcPr>
            <w:tcW w:w="2652" w:type="dxa"/>
            <w:tcBorders>
              <w:left w:val="nil"/>
              <w:right w:val="nil"/>
            </w:tcBorders>
          </w:tcPr>
          <w:p w:rsidR="00ED411F" w:rsidRPr="0037437C" w:rsidRDefault="00ED411F" w:rsidP="00F5794D">
            <w:pPr>
              <w:spacing w:line="360" w:lineRule="auto"/>
              <w:jc w:val="center"/>
              <w:rPr>
                <w:b/>
                <w:sz w:val="20"/>
                <w:szCs w:val="20"/>
              </w:rPr>
            </w:pPr>
            <w:r w:rsidRPr="0037437C">
              <w:rPr>
                <w:b/>
                <w:sz w:val="20"/>
                <w:szCs w:val="20"/>
              </w:rPr>
              <w:t>r=0.47 95% CI 0.24-0.64</w:t>
            </w:r>
          </w:p>
        </w:tc>
        <w:tc>
          <w:tcPr>
            <w:tcW w:w="2735" w:type="dxa"/>
            <w:tcBorders>
              <w:left w:val="nil"/>
              <w:right w:val="nil"/>
            </w:tcBorders>
          </w:tcPr>
          <w:p w:rsidR="00ED411F" w:rsidRPr="0037437C" w:rsidRDefault="00ED411F" w:rsidP="00ED411F">
            <w:pPr>
              <w:spacing w:line="360" w:lineRule="auto"/>
              <w:jc w:val="center"/>
              <w:rPr>
                <w:b/>
                <w:sz w:val="20"/>
                <w:szCs w:val="20"/>
              </w:rPr>
            </w:pPr>
            <w:r w:rsidRPr="0037437C">
              <w:rPr>
                <w:b/>
                <w:sz w:val="20"/>
                <w:szCs w:val="20"/>
              </w:rPr>
              <w:t>r=0.40 95% CI 0.27-0.49</w:t>
            </w:r>
          </w:p>
        </w:tc>
      </w:tr>
    </w:tbl>
    <w:p w:rsidR="00F222B7" w:rsidRPr="0037437C" w:rsidRDefault="00B81E3D" w:rsidP="00F5794D">
      <w:pPr>
        <w:spacing w:line="360" w:lineRule="auto"/>
        <w:jc w:val="center"/>
        <w:rPr>
          <w:b/>
          <w:sz w:val="20"/>
          <w:szCs w:val="20"/>
        </w:rPr>
      </w:pPr>
      <w:r w:rsidRPr="0037437C">
        <w:rPr>
          <w:b/>
          <w:sz w:val="20"/>
          <w:szCs w:val="20"/>
        </w:rPr>
        <w:br w:type="page"/>
      </w:r>
      <w:r w:rsidR="00F5794D" w:rsidRPr="0037437C">
        <w:rPr>
          <w:b/>
          <w:sz w:val="20"/>
          <w:szCs w:val="20"/>
        </w:rPr>
        <w:lastRenderedPageBreak/>
        <w:t xml:space="preserve">Table </w:t>
      </w:r>
      <w:r w:rsidR="00ED411F" w:rsidRPr="0037437C">
        <w:rPr>
          <w:b/>
          <w:sz w:val="20"/>
          <w:szCs w:val="20"/>
        </w:rPr>
        <w:t>3</w:t>
      </w:r>
      <w:r w:rsidR="00F06C07" w:rsidRPr="0037437C">
        <w:rPr>
          <w:b/>
          <w:sz w:val="20"/>
          <w:szCs w:val="20"/>
        </w:rPr>
        <w:t>:</w:t>
      </w:r>
      <w:r w:rsidR="00F5794D" w:rsidRPr="0037437C">
        <w:rPr>
          <w:b/>
          <w:sz w:val="20"/>
          <w:szCs w:val="20"/>
        </w:rPr>
        <w:t xml:space="preserve"> Item loadings </w:t>
      </w:r>
      <w:r w:rsidR="00F06C07" w:rsidRPr="0037437C">
        <w:rPr>
          <w:b/>
          <w:sz w:val="20"/>
          <w:szCs w:val="20"/>
        </w:rPr>
        <w:t xml:space="preserve">in </w:t>
      </w:r>
      <w:r w:rsidR="00F5794D" w:rsidRPr="0037437C">
        <w:rPr>
          <w:b/>
          <w:sz w:val="20"/>
          <w:szCs w:val="20"/>
        </w:rPr>
        <w:t>Confirmatory Factor Analysis</w:t>
      </w:r>
    </w:p>
    <w:tbl>
      <w:tblPr>
        <w:tblW w:w="0" w:type="auto"/>
        <w:jc w:val="center"/>
        <w:tblInd w:w="-1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05"/>
        <w:gridCol w:w="1701"/>
        <w:gridCol w:w="1775"/>
        <w:gridCol w:w="1737"/>
      </w:tblGrid>
      <w:tr w:rsidR="00F222B7" w:rsidRPr="0037437C" w:rsidTr="00CE69FB">
        <w:trPr>
          <w:jc w:val="center"/>
        </w:trPr>
        <w:tc>
          <w:tcPr>
            <w:tcW w:w="5005" w:type="dxa"/>
            <w:shd w:val="clear" w:color="auto" w:fill="auto"/>
          </w:tcPr>
          <w:p w:rsidR="00F222B7" w:rsidRPr="0037437C" w:rsidRDefault="00F222B7" w:rsidP="00D66D0F">
            <w:pPr>
              <w:rPr>
                <w:b/>
              </w:rPr>
            </w:pPr>
            <w:r w:rsidRPr="0037437C">
              <w:rPr>
                <w:b/>
              </w:rPr>
              <w:t xml:space="preserve">QPR Item </w:t>
            </w:r>
          </w:p>
          <w:p w:rsidR="00F222B7" w:rsidRPr="0037437C" w:rsidRDefault="00F222B7" w:rsidP="009864D9">
            <w:pPr>
              <w:rPr>
                <w:b/>
              </w:rPr>
            </w:pPr>
            <w:r w:rsidRPr="0037437C">
              <w:rPr>
                <w:b/>
              </w:rPr>
              <w:t xml:space="preserve">(original </w:t>
            </w:r>
            <w:r w:rsidR="009864D9" w:rsidRPr="0037437C">
              <w:rPr>
                <w:b/>
              </w:rPr>
              <w:t xml:space="preserve">22 version </w:t>
            </w:r>
            <w:r w:rsidRPr="0037437C">
              <w:rPr>
                <w:b/>
              </w:rPr>
              <w:t xml:space="preserve">item </w:t>
            </w:r>
            <w:r w:rsidR="009864D9" w:rsidRPr="0037437C">
              <w:rPr>
                <w:b/>
              </w:rPr>
              <w:t>number)</w:t>
            </w:r>
          </w:p>
        </w:tc>
        <w:tc>
          <w:tcPr>
            <w:tcW w:w="1701" w:type="dxa"/>
            <w:shd w:val="clear" w:color="auto" w:fill="auto"/>
          </w:tcPr>
          <w:p w:rsidR="00F222B7" w:rsidRPr="0037437C" w:rsidRDefault="00F222B7" w:rsidP="00D66D0F">
            <w:pPr>
              <w:jc w:val="center"/>
              <w:rPr>
                <w:b/>
              </w:rPr>
            </w:pPr>
            <w:r w:rsidRPr="0037437C">
              <w:rPr>
                <w:b/>
              </w:rPr>
              <w:t>1-factor model</w:t>
            </w:r>
          </w:p>
        </w:tc>
        <w:tc>
          <w:tcPr>
            <w:tcW w:w="3512" w:type="dxa"/>
            <w:gridSpan w:val="2"/>
            <w:shd w:val="clear" w:color="auto" w:fill="auto"/>
          </w:tcPr>
          <w:p w:rsidR="00F222B7" w:rsidRPr="0037437C" w:rsidRDefault="00F222B7" w:rsidP="00D66D0F">
            <w:pPr>
              <w:jc w:val="center"/>
              <w:rPr>
                <w:b/>
              </w:rPr>
            </w:pPr>
            <w:r w:rsidRPr="0037437C">
              <w:rPr>
                <w:b/>
              </w:rPr>
              <w:t>2-factor model</w:t>
            </w:r>
          </w:p>
        </w:tc>
      </w:tr>
      <w:tr w:rsidR="00F222B7" w:rsidRPr="0037437C" w:rsidTr="00CE69FB">
        <w:trPr>
          <w:jc w:val="center"/>
        </w:trPr>
        <w:tc>
          <w:tcPr>
            <w:tcW w:w="5005" w:type="dxa"/>
            <w:shd w:val="clear" w:color="auto" w:fill="auto"/>
          </w:tcPr>
          <w:p w:rsidR="00F222B7" w:rsidRPr="0037437C" w:rsidRDefault="00F222B7" w:rsidP="00D66D0F"/>
        </w:tc>
        <w:tc>
          <w:tcPr>
            <w:tcW w:w="1701" w:type="dxa"/>
            <w:shd w:val="clear" w:color="auto" w:fill="auto"/>
          </w:tcPr>
          <w:p w:rsidR="00F222B7" w:rsidRPr="0037437C" w:rsidRDefault="00F222B7" w:rsidP="00D66D0F">
            <w:pPr>
              <w:jc w:val="center"/>
              <w:rPr>
                <w:b/>
              </w:rPr>
            </w:pPr>
            <w:r w:rsidRPr="0037437C">
              <w:rPr>
                <w:b/>
              </w:rPr>
              <w:t>15 item Total</w:t>
            </w:r>
          </w:p>
        </w:tc>
        <w:tc>
          <w:tcPr>
            <w:tcW w:w="1775" w:type="dxa"/>
            <w:shd w:val="clear" w:color="auto" w:fill="auto"/>
          </w:tcPr>
          <w:p w:rsidR="00F222B7" w:rsidRPr="0037437C" w:rsidRDefault="00F222B7" w:rsidP="00D66D0F">
            <w:pPr>
              <w:jc w:val="center"/>
              <w:rPr>
                <w:b/>
              </w:rPr>
            </w:pPr>
            <w:r w:rsidRPr="0037437C">
              <w:rPr>
                <w:b/>
              </w:rPr>
              <w:t>Intrapersonal</w:t>
            </w:r>
          </w:p>
        </w:tc>
        <w:tc>
          <w:tcPr>
            <w:tcW w:w="1737" w:type="dxa"/>
            <w:shd w:val="clear" w:color="auto" w:fill="auto"/>
          </w:tcPr>
          <w:p w:rsidR="00F222B7" w:rsidRPr="0037437C" w:rsidRDefault="00F222B7" w:rsidP="00D66D0F">
            <w:pPr>
              <w:jc w:val="center"/>
              <w:rPr>
                <w:b/>
              </w:rPr>
            </w:pPr>
            <w:r w:rsidRPr="0037437C">
              <w:rPr>
                <w:b/>
              </w:rPr>
              <w:t>Interpersonal</w:t>
            </w:r>
          </w:p>
        </w:tc>
      </w:tr>
      <w:tr w:rsidR="00EE39D5" w:rsidRPr="0037437C" w:rsidTr="00EE39D5">
        <w:trPr>
          <w:jc w:val="center"/>
        </w:trPr>
        <w:tc>
          <w:tcPr>
            <w:tcW w:w="10218" w:type="dxa"/>
            <w:gridSpan w:val="4"/>
            <w:shd w:val="clear" w:color="auto" w:fill="auto"/>
          </w:tcPr>
          <w:p w:rsidR="00EE39D5" w:rsidRPr="0037437C" w:rsidRDefault="00EE39D5" w:rsidP="001319AA">
            <w:r w:rsidRPr="0037437C">
              <w:rPr>
                <w:b/>
              </w:rPr>
              <w:t>QPR Intrapersonal items</w:t>
            </w:r>
          </w:p>
        </w:tc>
      </w:tr>
      <w:tr w:rsidR="00F222B7" w:rsidRPr="0037437C" w:rsidTr="00CE69FB">
        <w:trPr>
          <w:jc w:val="center"/>
        </w:trPr>
        <w:tc>
          <w:tcPr>
            <w:tcW w:w="5005" w:type="dxa"/>
            <w:shd w:val="clear" w:color="auto" w:fill="auto"/>
          </w:tcPr>
          <w:p w:rsidR="00F222B7" w:rsidRPr="0037437C" w:rsidRDefault="00F222B7" w:rsidP="00D66D0F">
            <w:r w:rsidRPr="0037437C">
              <w:t xml:space="preserve">Feel better </w:t>
            </w:r>
            <w:r w:rsidR="00CE69FB" w:rsidRPr="0037437C">
              <w:t xml:space="preserve">about myself </w:t>
            </w:r>
            <w:r w:rsidRPr="0037437C">
              <w:t>(1)</w:t>
            </w:r>
          </w:p>
        </w:tc>
        <w:tc>
          <w:tcPr>
            <w:tcW w:w="1701" w:type="dxa"/>
            <w:shd w:val="clear" w:color="auto" w:fill="auto"/>
          </w:tcPr>
          <w:p w:rsidR="00F222B7" w:rsidRPr="0037437C" w:rsidRDefault="00F222B7" w:rsidP="001319AA">
            <w:pPr>
              <w:jc w:val="center"/>
            </w:pPr>
            <w:r w:rsidRPr="0037437C">
              <w:t>.</w:t>
            </w:r>
            <w:r w:rsidR="00351DB7" w:rsidRPr="0037437C">
              <w:t>60</w:t>
            </w:r>
            <w:r w:rsidRPr="0037437C">
              <w:t>**</w:t>
            </w:r>
          </w:p>
        </w:tc>
        <w:tc>
          <w:tcPr>
            <w:tcW w:w="1775" w:type="dxa"/>
            <w:shd w:val="clear" w:color="auto" w:fill="auto"/>
          </w:tcPr>
          <w:p w:rsidR="00F222B7" w:rsidRPr="0037437C" w:rsidRDefault="00F222B7" w:rsidP="001319AA">
            <w:pPr>
              <w:jc w:val="center"/>
            </w:pPr>
            <w:r w:rsidRPr="0037437C">
              <w:t>.5</w:t>
            </w:r>
            <w:r w:rsidR="00351DB7" w:rsidRPr="0037437C">
              <w:t>9</w:t>
            </w:r>
            <w:r w:rsidRPr="0037437C">
              <w:t>**</w:t>
            </w:r>
          </w:p>
        </w:tc>
        <w:tc>
          <w:tcPr>
            <w:tcW w:w="1737" w:type="dxa"/>
            <w:shd w:val="clear" w:color="auto" w:fill="auto"/>
          </w:tcPr>
          <w:p w:rsidR="00F222B7" w:rsidRPr="0037437C" w:rsidRDefault="00F222B7" w:rsidP="001319AA">
            <w:pPr>
              <w:jc w:val="center"/>
            </w:pPr>
            <w:r w:rsidRPr="0037437C">
              <w:t>-</w:t>
            </w:r>
          </w:p>
        </w:tc>
      </w:tr>
      <w:tr w:rsidR="00F222B7" w:rsidRPr="0037437C" w:rsidTr="00CE69FB">
        <w:trPr>
          <w:jc w:val="center"/>
        </w:trPr>
        <w:tc>
          <w:tcPr>
            <w:tcW w:w="5005" w:type="dxa"/>
            <w:shd w:val="clear" w:color="auto" w:fill="auto"/>
          </w:tcPr>
          <w:p w:rsidR="00F222B7" w:rsidRPr="0037437C" w:rsidRDefault="00CE69FB" w:rsidP="00CE69FB">
            <w:r w:rsidRPr="0037437C">
              <w:t>Feel able to t</w:t>
            </w:r>
            <w:r w:rsidR="00F222B7" w:rsidRPr="0037437C">
              <w:t xml:space="preserve">ake chances </w:t>
            </w:r>
            <w:r w:rsidRPr="0037437C">
              <w:t xml:space="preserve">in life </w:t>
            </w:r>
            <w:r w:rsidR="00F222B7" w:rsidRPr="0037437C">
              <w:t>(2)</w:t>
            </w:r>
          </w:p>
        </w:tc>
        <w:tc>
          <w:tcPr>
            <w:tcW w:w="1701" w:type="dxa"/>
            <w:shd w:val="clear" w:color="auto" w:fill="auto"/>
          </w:tcPr>
          <w:p w:rsidR="00F222B7" w:rsidRPr="0037437C" w:rsidRDefault="00F222B7" w:rsidP="001319AA">
            <w:pPr>
              <w:jc w:val="center"/>
            </w:pPr>
            <w:r w:rsidRPr="0037437C">
              <w:t>.66**</w:t>
            </w:r>
          </w:p>
        </w:tc>
        <w:tc>
          <w:tcPr>
            <w:tcW w:w="1775" w:type="dxa"/>
            <w:shd w:val="clear" w:color="auto" w:fill="auto"/>
          </w:tcPr>
          <w:p w:rsidR="00F222B7" w:rsidRPr="0037437C" w:rsidRDefault="00F222B7" w:rsidP="001319AA">
            <w:pPr>
              <w:jc w:val="center"/>
            </w:pPr>
            <w:r w:rsidRPr="0037437C">
              <w:t>.65**</w:t>
            </w:r>
          </w:p>
        </w:tc>
        <w:tc>
          <w:tcPr>
            <w:tcW w:w="1737" w:type="dxa"/>
            <w:shd w:val="clear" w:color="auto" w:fill="auto"/>
          </w:tcPr>
          <w:p w:rsidR="00F222B7" w:rsidRPr="0037437C" w:rsidRDefault="00F222B7" w:rsidP="001319AA">
            <w:pPr>
              <w:jc w:val="center"/>
            </w:pPr>
            <w:r w:rsidRPr="0037437C">
              <w:t>-</w:t>
            </w:r>
          </w:p>
        </w:tc>
      </w:tr>
      <w:tr w:rsidR="00F222B7" w:rsidRPr="0037437C" w:rsidTr="00CE69FB">
        <w:trPr>
          <w:jc w:val="center"/>
        </w:trPr>
        <w:tc>
          <w:tcPr>
            <w:tcW w:w="5005" w:type="dxa"/>
            <w:shd w:val="clear" w:color="auto" w:fill="auto"/>
          </w:tcPr>
          <w:p w:rsidR="00F222B7" w:rsidRPr="0037437C" w:rsidRDefault="00CE69FB" w:rsidP="00CE69FB">
            <w:r w:rsidRPr="0037437C">
              <w:t>Able to develop p</w:t>
            </w:r>
            <w:r w:rsidR="00F222B7" w:rsidRPr="0037437C">
              <w:t>ositive relationships (3)</w:t>
            </w:r>
          </w:p>
        </w:tc>
        <w:tc>
          <w:tcPr>
            <w:tcW w:w="1701" w:type="dxa"/>
            <w:shd w:val="clear" w:color="auto" w:fill="auto"/>
          </w:tcPr>
          <w:p w:rsidR="00F222B7" w:rsidRPr="0037437C" w:rsidRDefault="00F222B7" w:rsidP="001319AA">
            <w:pPr>
              <w:jc w:val="center"/>
            </w:pPr>
            <w:r w:rsidRPr="0037437C">
              <w:t>.71**</w:t>
            </w:r>
          </w:p>
        </w:tc>
        <w:tc>
          <w:tcPr>
            <w:tcW w:w="1775" w:type="dxa"/>
            <w:shd w:val="clear" w:color="auto" w:fill="auto"/>
          </w:tcPr>
          <w:p w:rsidR="00F222B7" w:rsidRPr="0037437C" w:rsidRDefault="00F222B7" w:rsidP="001319AA">
            <w:pPr>
              <w:jc w:val="center"/>
            </w:pPr>
            <w:r w:rsidRPr="0037437C">
              <w:t>.70**</w:t>
            </w:r>
          </w:p>
        </w:tc>
        <w:tc>
          <w:tcPr>
            <w:tcW w:w="1737" w:type="dxa"/>
            <w:shd w:val="clear" w:color="auto" w:fill="auto"/>
          </w:tcPr>
          <w:p w:rsidR="00F222B7" w:rsidRPr="0037437C" w:rsidRDefault="00F222B7" w:rsidP="001319AA">
            <w:pPr>
              <w:jc w:val="center"/>
            </w:pPr>
            <w:r w:rsidRPr="0037437C">
              <w:t>-</w:t>
            </w:r>
          </w:p>
        </w:tc>
      </w:tr>
      <w:tr w:rsidR="00F222B7" w:rsidRPr="0037437C" w:rsidTr="00CE69FB">
        <w:trPr>
          <w:jc w:val="center"/>
        </w:trPr>
        <w:tc>
          <w:tcPr>
            <w:tcW w:w="5005" w:type="dxa"/>
            <w:shd w:val="clear" w:color="auto" w:fill="auto"/>
          </w:tcPr>
          <w:p w:rsidR="00F222B7" w:rsidRPr="0037437C" w:rsidRDefault="00CE69FB" w:rsidP="00CE69FB">
            <w:r w:rsidRPr="0037437C">
              <w:t>Feel p</w:t>
            </w:r>
            <w:r w:rsidR="00F222B7" w:rsidRPr="0037437C">
              <w:t xml:space="preserve">art of society (4) </w:t>
            </w:r>
          </w:p>
        </w:tc>
        <w:tc>
          <w:tcPr>
            <w:tcW w:w="1701" w:type="dxa"/>
            <w:shd w:val="clear" w:color="auto" w:fill="auto"/>
          </w:tcPr>
          <w:p w:rsidR="00F222B7" w:rsidRPr="0037437C" w:rsidRDefault="00F222B7" w:rsidP="001319AA">
            <w:pPr>
              <w:jc w:val="center"/>
            </w:pPr>
            <w:r w:rsidRPr="0037437C">
              <w:t>.60**</w:t>
            </w:r>
          </w:p>
        </w:tc>
        <w:tc>
          <w:tcPr>
            <w:tcW w:w="1775" w:type="dxa"/>
            <w:shd w:val="clear" w:color="auto" w:fill="auto"/>
          </w:tcPr>
          <w:p w:rsidR="00F222B7" w:rsidRPr="0037437C" w:rsidRDefault="00F222B7" w:rsidP="001319AA">
            <w:pPr>
              <w:jc w:val="center"/>
            </w:pPr>
            <w:r w:rsidRPr="0037437C">
              <w:t>.57**</w:t>
            </w:r>
          </w:p>
        </w:tc>
        <w:tc>
          <w:tcPr>
            <w:tcW w:w="1737" w:type="dxa"/>
            <w:shd w:val="clear" w:color="auto" w:fill="auto"/>
          </w:tcPr>
          <w:p w:rsidR="00F222B7" w:rsidRPr="0037437C" w:rsidRDefault="00F222B7" w:rsidP="001319AA">
            <w:pPr>
              <w:jc w:val="center"/>
            </w:pPr>
            <w:r w:rsidRPr="0037437C">
              <w:t>-</w:t>
            </w:r>
          </w:p>
        </w:tc>
      </w:tr>
      <w:tr w:rsidR="00F222B7" w:rsidRPr="0037437C" w:rsidTr="00CE69FB">
        <w:trPr>
          <w:jc w:val="center"/>
        </w:trPr>
        <w:tc>
          <w:tcPr>
            <w:tcW w:w="5005" w:type="dxa"/>
            <w:shd w:val="clear" w:color="auto" w:fill="auto"/>
          </w:tcPr>
          <w:p w:rsidR="00F222B7" w:rsidRPr="0037437C" w:rsidRDefault="00CE69FB" w:rsidP="00CE69FB">
            <w:r w:rsidRPr="0037437C">
              <w:t>Able to a</w:t>
            </w:r>
            <w:r w:rsidR="00F222B7" w:rsidRPr="0037437C">
              <w:t>ssert myself (5)</w:t>
            </w:r>
          </w:p>
        </w:tc>
        <w:tc>
          <w:tcPr>
            <w:tcW w:w="1701" w:type="dxa"/>
            <w:shd w:val="clear" w:color="auto" w:fill="auto"/>
          </w:tcPr>
          <w:p w:rsidR="00F222B7" w:rsidRPr="0037437C" w:rsidRDefault="00F222B7" w:rsidP="001319AA">
            <w:pPr>
              <w:jc w:val="center"/>
            </w:pPr>
            <w:r w:rsidRPr="0037437C">
              <w:t>.61**</w:t>
            </w:r>
          </w:p>
        </w:tc>
        <w:tc>
          <w:tcPr>
            <w:tcW w:w="1775" w:type="dxa"/>
            <w:shd w:val="clear" w:color="auto" w:fill="auto"/>
          </w:tcPr>
          <w:p w:rsidR="00F222B7" w:rsidRPr="0037437C" w:rsidRDefault="00F222B7" w:rsidP="001319AA">
            <w:pPr>
              <w:jc w:val="center"/>
            </w:pPr>
            <w:r w:rsidRPr="0037437C">
              <w:t>.60**</w:t>
            </w:r>
          </w:p>
        </w:tc>
        <w:tc>
          <w:tcPr>
            <w:tcW w:w="1737" w:type="dxa"/>
            <w:shd w:val="clear" w:color="auto" w:fill="auto"/>
          </w:tcPr>
          <w:p w:rsidR="00F222B7" w:rsidRPr="0037437C" w:rsidRDefault="00F222B7" w:rsidP="001319AA">
            <w:pPr>
              <w:jc w:val="center"/>
            </w:pPr>
            <w:r w:rsidRPr="0037437C">
              <w:t>-</w:t>
            </w:r>
          </w:p>
        </w:tc>
      </w:tr>
      <w:tr w:rsidR="00F222B7" w:rsidRPr="0037437C" w:rsidTr="00CE69FB">
        <w:trPr>
          <w:jc w:val="center"/>
        </w:trPr>
        <w:tc>
          <w:tcPr>
            <w:tcW w:w="5005" w:type="dxa"/>
            <w:shd w:val="clear" w:color="auto" w:fill="auto"/>
          </w:tcPr>
          <w:p w:rsidR="00F222B7" w:rsidRPr="0037437C" w:rsidRDefault="00CE69FB" w:rsidP="00CE69FB">
            <w:r w:rsidRPr="0037437C">
              <w:t>Feel my l</w:t>
            </w:r>
            <w:r w:rsidR="00F222B7" w:rsidRPr="0037437C">
              <w:t xml:space="preserve">ife has </w:t>
            </w:r>
            <w:r w:rsidRPr="0037437C">
              <w:t xml:space="preserve">a </w:t>
            </w:r>
            <w:r w:rsidR="00F222B7" w:rsidRPr="0037437C">
              <w:t>purpose (6)</w:t>
            </w:r>
          </w:p>
        </w:tc>
        <w:tc>
          <w:tcPr>
            <w:tcW w:w="1701" w:type="dxa"/>
            <w:shd w:val="clear" w:color="auto" w:fill="auto"/>
          </w:tcPr>
          <w:p w:rsidR="00F222B7" w:rsidRPr="0037437C" w:rsidRDefault="00F222B7" w:rsidP="001319AA">
            <w:pPr>
              <w:jc w:val="center"/>
            </w:pPr>
            <w:r w:rsidRPr="0037437C">
              <w:t>.64**</w:t>
            </w:r>
          </w:p>
        </w:tc>
        <w:tc>
          <w:tcPr>
            <w:tcW w:w="1775" w:type="dxa"/>
            <w:shd w:val="clear" w:color="auto" w:fill="auto"/>
          </w:tcPr>
          <w:p w:rsidR="00F222B7" w:rsidRPr="0037437C" w:rsidRDefault="00F222B7" w:rsidP="001319AA">
            <w:pPr>
              <w:jc w:val="center"/>
            </w:pPr>
            <w:r w:rsidRPr="0037437C">
              <w:t>.63**</w:t>
            </w:r>
          </w:p>
        </w:tc>
        <w:tc>
          <w:tcPr>
            <w:tcW w:w="1737" w:type="dxa"/>
            <w:shd w:val="clear" w:color="auto" w:fill="auto"/>
          </w:tcPr>
          <w:p w:rsidR="00F222B7" w:rsidRPr="0037437C" w:rsidRDefault="00F222B7" w:rsidP="001319AA">
            <w:pPr>
              <w:jc w:val="center"/>
            </w:pPr>
            <w:r w:rsidRPr="0037437C">
              <w:t>-</w:t>
            </w:r>
          </w:p>
        </w:tc>
      </w:tr>
      <w:tr w:rsidR="00F222B7" w:rsidRPr="0037437C" w:rsidTr="00CE69FB">
        <w:trPr>
          <w:jc w:val="center"/>
        </w:trPr>
        <w:tc>
          <w:tcPr>
            <w:tcW w:w="5005" w:type="dxa"/>
            <w:shd w:val="clear" w:color="auto" w:fill="auto"/>
          </w:tcPr>
          <w:p w:rsidR="00F222B7" w:rsidRPr="0037437C" w:rsidRDefault="00CE69FB" w:rsidP="00CE69FB">
            <w:r w:rsidRPr="0037437C">
              <w:t>E</w:t>
            </w:r>
            <w:r w:rsidR="00F222B7" w:rsidRPr="0037437C">
              <w:t xml:space="preserve">xperiences changed </w:t>
            </w:r>
            <w:r w:rsidRPr="0037437C">
              <w:t xml:space="preserve">me for better </w:t>
            </w:r>
            <w:r w:rsidR="00F222B7" w:rsidRPr="0037437C">
              <w:t>(7)</w:t>
            </w:r>
          </w:p>
        </w:tc>
        <w:tc>
          <w:tcPr>
            <w:tcW w:w="1701" w:type="dxa"/>
            <w:shd w:val="clear" w:color="auto" w:fill="auto"/>
          </w:tcPr>
          <w:p w:rsidR="00F222B7" w:rsidRPr="0037437C" w:rsidRDefault="00F222B7" w:rsidP="001319AA">
            <w:pPr>
              <w:jc w:val="center"/>
            </w:pPr>
            <w:r w:rsidRPr="0037437C">
              <w:t>.67**</w:t>
            </w:r>
          </w:p>
        </w:tc>
        <w:tc>
          <w:tcPr>
            <w:tcW w:w="1775" w:type="dxa"/>
            <w:shd w:val="clear" w:color="auto" w:fill="auto"/>
          </w:tcPr>
          <w:p w:rsidR="00F222B7" w:rsidRPr="0037437C" w:rsidRDefault="00F222B7" w:rsidP="001319AA">
            <w:pPr>
              <w:jc w:val="center"/>
            </w:pPr>
            <w:r w:rsidRPr="0037437C">
              <w:t>.66**</w:t>
            </w:r>
          </w:p>
        </w:tc>
        <w:tc>
          <w:tcPr>
            <w:tcW w:w="1737" w:type="dxa"/>
            <w:shd w:val="clear" w:color="auto" w:fill="auto"/>
          </w:tcPr>
          <w:p w:rsidR="00F222B7" w:rsidRPr="0037437C" w:rsidRDefault="00F222B7" w:rsidP="001319AA">
            <w:pPr>
              <w:jc w:val="center"/>
            </w:pPr>
            <w:r w:rsidRPr="0037437C">
              <w:t>-</w:t>
            </w:r>
          </w:p>
        </w:tc>
      </w:tr>
      <w:tr w:rsidR="00F222B7" w:rsidRPr="0037437C" w:rsidTr="00CE69FB">
        <w:trPr>
          <w:jc w:val="center"/>
        </w:trPr>
        <w:tc>
          <w:tcPr>
            <w:tcW w:w="5005" w:type="dxa"/>
            <w:shd w:val="clear" w:color="auto" w:fill="auto"/>
          </w:tcPr>
          <w:p w:rsidR="00F222B7" w:rsidRPr="0037437C" w:rsidRDefault="00CE69FB" w:rsidP="00CE69FB">
            <w:r w:rsidRPr="0037437C">
              <w:t>Able to c</w:t>
            </w:r>
            <w:r w:rsidR="00F222B7" w:rsidRPr="0037437C">
              <w:t>ome to terms</w:t>
            </w:r>
            <w:r w:rsidRPr="0037437C">
              <w:t xml:space="preserve"> with past </w:t>
            </w:r>
            <w:r w:rsidR="00F222B7" w:rsidRPr="0037437C">
              <w:t>(8)</w:t>
            </w:r>
          </w:p>
        </w:tc>
        <w:tc>
          <w:tcPr>
            <w:tcW w:w="1701" w:type="dxa"/>
            <w:shd w:val="clear" w:color="auto" w:fill="auto"/>
          </w:tcPr>
          <w:p w:rsidR="00F222B7" w:rsidRPr="0037437C" w:rsidRDefault="00F222B7" w:rsidP="001319AA">
            <w:pPr>
              <w:jc w:val="center"/>
            </w:pPr>
            <w:r w:rsidRPr="0037437C">
              <w:t>.61**</w:t>
            </w:r>
          </w:p>
        </w:tc>
        <w:tc>
          <w:tcPr>
            <w:tcW w:w="1775" w:type="dxa"/>
            <w:shd w:val="clear" w:color="auto" w:fill="auto"/>
          </w:tcPr>
          <w:p w:rsidR="00F222B7" w:rsidRPr="0037437C" w:rsidRDefault="00351DB7" w:rsidP="001319AA">
            <w:pPr>
              <w:jc w:val="center"/>
            </w:pPr>
            <w:r w:rsidRPr="0037437C">
              <w:t>.61</w:t>
            </w:r>
            <w:r w:rsidR="00F222B7" w:rsidRPr="0037437C">
              <w:t>**</w:t>
            </w:r>
          </w:p>
        </w:tc>
        <w:tc>
          <w:tcPr>
            <w:tcW w:w="1737" w:type="dxa"/>
            <w:shd w:val="clear" w:color="auto" w:fill="auto"/>
          </w:tcPr>
          <w:p w:rsidR="00F222B7" w:rsidRPr="0037437C" w:rsidRDefault="00F222B7" w:rsidP="001319AA">
            <w:pPr>
              <w:jc w:val="center"/>
            </w:pPr>
            <w:r w:rsidRPr="0037437C">
              <w:t>-</w:t>
            </w:r>
          </w:p>
        </w:tc>
      </w:tr>
      <w:tr w:rsidR="00F222B7" w:rsidRPr="0037437C" w:rsidTr="00CE69FB">
        <w:trPr>
          <w:jc w:val="center"/>
        </w:trPr>
        <w:tc>
          <w:tcPr>
            <w:tcW w:w="5005" w:type="dxa"/>
            <w:shd w:val="clear" w:color="auto" w:fill="auto"/>
          </w:tcPr>
          <w:p w:rsidR="00F222B7" w:rsidRPr="0037437C" w:rsidRDefault="00CE69FB" w:rsidP="00CE69FB">
            <w:r w:rsidRPr="0037437C">
              <w:t>Strongly m</w:t>
            </w:r>
            <w:r w:rsidR="00F222B7" w:rsidRPr="0037437C">
              <w:t>otivated to get better (9)</w:t>
            </w:r>
          </w:p>
        </w:tc>
        <w:tc>
          <w:tcPr>
            <w:tcW w:w="1701" w:type="dxa"/>
            <w:shd w:val="clear" w:color="auto" w:fill="auto"/>
          </w:tcPr>
          <w:p w:rsidR="00F222B7" w:rsidRPr="0037437C" w:rsidRDefault="00351DB7" w:rsidP="001319AA">
            <w:pPr>
              <w:jc w:val="center"/>
            </w:pPr>
            <w:r w:rsidRPr="0037437C">
              <w:t>.73</w:t>
            </w:r>
            <w:r w:rsidR="00F222B7" w:rsidRPr="0037437C">
              <w:t>**</w:t>
            </w:r>
          </w:p>
        </w:tc>
        <w:tc>
          <w:tcPr>
            <w:tcW w:w="1775" w:type="dxa"/>
            <w:shd w:val="clear" w:color="auto" w:fill="auto"/>
          </w:tcPr>
          <w:p w:rsidR="00F222B7" w:rsidRPr="0037437C" w:rsidRDefault="00351DB7" w:rsidP="001319AA">
            <w:pPr>
              <w:jc w:val="center"/>
            </w:pPr>
            <w:r w:rsidRPr="0037437C">
              <w:t>.73</w:t>
            </w:r>
            <w:r w:rsidR="00F222B7" w:rsidRPr="0037437C">
              <w:t>**</w:t>
            </w:r>
          </w:p>
        </w:tc>
        <w:tc>
          <w:tcPr>
            <w:tcW w:w="1737" w:type="dxa"/>
            <w:shd w:val="clear" w:color="auto" w:fill="auto"/>
          </w:tcPr>
          <w:p w:rsidR="00F222B7" w:rsidRPr="0037437C" w:rsidRDefault="00F222B7" w:rsidP="001319AA">
            <w:pPr>
              <w:jc w:val="center"/>
            </w:pPr>
            <w:r w:rsidRPr="0037437C">
              <w:t>-</w:t>
            </w:r>
          </w:p>
        </w:tc>
      </w:tr>
      <w:tr w:rsidR="00F222B7" w:rsidRPr="0037437C" w:rsidTr="00CE69FB">
        <w:trPr>
          <w:jc w:val="center"/>
        </w:trPr>
        <w:tc>
          <w:tcPr>
            <w:tcW w:w="5005" w:type="dxa"/>
            <w:shd w:val="clear" w:color="auto" w:fill="auto"/>
          </w:tcPr>
          <w:p w:rsidR="00F222B7" w:rsidRPr="0037437C" w:rsidRDefault="00F222B7" w:rsidP="00D66D0F">
            <w:r w:rsidRPr="0037437C">
              <w:t>Recognise positive</w:t>
            </w:r>
            <w:r w:rsidR="00CE69FB" w:rsidRPr="0037437C">
              <w:t xml:space="preserve"> things I have done</w:t>
            </w:r>
            <w:r w:rsidRPr="0037437C">
              <w:t xml:space="preserve"> (10)</w:t>
            </w:r>
          </w:p>
        </w:tc>
        <w:tc>
          <w:tcPr>
            <w:tcW w:w="1701" w:type="dxa"/>
            <w:shd w:val="clear" w:color="auto" w:fill="auto"/>
          </w:tcPr>
          <w:p w:rsidR="00F222B7" w:rsidRPr="0037437C" w:rsidRDefault="00351DB7" w:rsidP="001319AA">
            <w:pPr>
              <w:jc w:val="center"/>
            </w:pPr>
            <w:r w:rsidRPr="0037437C">
              <w:t>.67</w:t>
            </w:r>
            <w:r w:rsidR="00F222B7" w:rsidRPr="0037437C">
              <w:t>**</w:t>
            </w:r>
          </w:p>
        </w:tc>
        <w:tc>
          <w:tcPr>
            <w:tcW w:w="1775" w:type="dxa"/>
            <w:shd w:val="clear" w:color="auto" w:fill="auto"/>
          </w:tcPr>
          <w:p w:rsidR="00F222B7" w:rsidRPr="0037437C" w:rsidRDefault="00351DB7" w:rsidP="001319AA">
            <w:pPr>
              <w:jc w:val="center"/>
            </w:pPr>
            <w:r w:rsidRPr="0037437C">
              <w:t>.69</w:t>
            </w:r>
            <w:r w:rsidR="00F222B7" w:rsidRPr="0037437C">
              <w:t>**</w:t>
            </w:r>
          </w:p>
        </w:tc>
        <w:tc>
          <w:tcPr>
            <w:tcW w:w="1737" w:type="dxa"/>
            <w:shd w:val="clear" w:color="auto" w:fill="auto"/>
          </w:tcPr>
          <w:p w:rsidR="00F222B7" w:rsidRPr="0037437C" w:rsidRDefault="00F222B7" w:rsidP="001319AA">
            <w:pPr>
              <w:jc w:val="center"/>
            </w:pPr>
            <w:r w:rsidRPr="0037437C">
              <w:t>-</w:t>
            </w:r>
          </w:p>
        </w:tc>
      </w:tr>
      <w:tr w:rsidR="00F222B7" w:rsidRPr="0037437C" w:rsidTr="00CE69FB">
        <w:trPr>
          <w:jc w:val="center"/>
        </w:trPr>
        <w:tc>
          <w:tcPr>
            <w:tcW w:w="5005" w:type="dxa"/>
            <w:shd w:val="clear" w:color="auto" w:fill="auto"/>
          </w:tcPr>
          <w:p w:rsidR="00F222B7" w:rsidRPr="0037437C" w:rsidRDefault="00CE69FB" w:rsidP="00CE69FB">
            <w:r w:rsidRPr="0037437C">
              <w:t>Able to u</w:t>
            </w:r>
            <w:r w:rsidR="00F222B7" w:rsidRPr="0037437C">
              <w:t xml:space="preserve">nderstand </w:t>
            </w:r>
            <w:r w:rsidRPr="0037437C">
              <w:t>myself better</w:t>
            </w:r>
            <w:r w:rsidR="00F222B7" w:rsidRPr="0037437C">
              <w:t xml:space="preserve"> (11)</w:t>
            </w:r>
          </w:p>
        </w:tc>
        <w:tc>
          <w:tcPr>
            <w:tcW w:w="1701" w:type="dxa"/>
            <w:shd w:val="clear" w:color="auto" w:fill="auto"/>
          </w:tcPr>
          <w:p w:rsidR="00F222B7" w:rsidRPr="0037437C" w:rsidRDefault="00F222B7" w:rsidP="001319AA">
            <w:pPr>
              <w:jc w:val="center"/>
            </w:pPr>
            <w:r w:rsidRPr="0037437C">
              <w:t>.68**</w:t>
            </w:r>
          </w:p>
        </w:tc>
        <w:tc>
          <w:tcPr>
            <w:tcW w:w="1775" w:type="dxa"/>
            <w:shd w:val="clear" w:color="auto" w:fill="auto"/>
          </w:tcPr>
          <w:p w:rsidR="00F222B7" w:rsidRPr="0037437C" w:rsidRDefault="00F222B7" w:rsidP="001319AA">
            <w:pPr>
              <w:jc w:val="center"/>
            </w:pPr>
            <w:r w:rsidRPr="0037437C">
              <w:t>.68**</w:t>
            </w:r>
          </w:p>
        </w:tc>
        <w:tc>
          <w:tcPr>
            <w:tcW w:w="1737" w:type="dxa"/>
            <w:shd w:val="clear" w:color="auto" w:fill="auto"/>
          </w:tcPr>
          <w:p w:rsidR="00F222B7" w:rsidRPr="0037437C" w:rsidRDefault="00F222B7" w:rsidP="001319AA">
            <w:pPr>
              <w:jc w:val="center"/>
            </w:pPr>
            <w:r w:rsidRPr="0037437C">
              <w:t>-</w:t>
            </w:r>
          </w:p>
        </w:tc>
      </w:tr>
      <w:tr w:rsidR="00F222B7" w:rsidRPr="0037437C" w:rsidTr="00CE69FB">
        <w:trPr>
          <w:jc w:val="center"/>
        </w:trPr>
        <w:tc>
          <w:tcPr>
            <w:tcW w:w="5005" w:type="dxa"/>
            <w:shd w:val="clear" w:color="auto" w:fill="auto"/>
          </w:tcPr>
          <w:p w:rsidR="00F222B7" w:rsidRPr="0037437C" w:rsidRDefault="00CE69FB" w:rsidP="00CE69FB">
            <w:r w:rsidRPr="0037437C">
              <w:t>Can t</w:t>
            </w:r>
            <w:r w:rsidR="00F222B7" w:rsidRPr="0037437C">
              <w:t xml:space="preserve">ake charge of </w:t>
            </w:r>
            <w:r w:rsidRPr="0037437C">
              <w:t xml:space="preserve">my </w:t>
            </w:r>
            <w:r w:rsidR="00F222B7" w:rsidRPr="0037437C">
              <w:t>life (12)</w:t>
            </w:r>
          </w:p>
        </w:tc>
        <w:tc>
          <w:tcPr>
            <w:tcW w:w="1701" w:type="dxa"/>
            <w:shd w:val="clear" w:color="auto" w:fill="auto"/>
          </w:tcPr>
          <w:p w:rsidR="00F222B7" w:rsidRPr="0037437C" w:rsidRDefault="00F222B7" w:rsidP="001319AA">
            <w:pPr>
              <w:jc w:val="center"/>
            </w:pPr>
            <w:r w:rsidRPr="0037437C">
              <w:t>.75**</w:t>
            </w:r>
          </w:p>
        </w:tc>
        <w:tc>
          <w:tcPr>
            <w:tcW w:w="1775" w:type="dxa"/>
            <w:shd w:val="clear" w:color="auto" w:fill="auto"/>
          </w:tcPr>
          <w:p w:rsidR="00F222B7" w:rsidRPr="0037437C" w:rsidRDefault="00F222B7" w:rsidP="001319AA">
            <w:pPr>
              <w:jc w:val="center"/>
            </w:pPr>
            <w:r w:rsidRPr="0037437C">
              <w:t>.75**</w:t>
            </w:r>
          </w:p>
        </w:tc>
        <w:tc>
          <w:tcPr>
            <w:tcW w:w="1737" w:type="dxa"/>
            <w:shd w:val="clear" w:color="auto" w:fill="auto"/>
          </w:tcPr>
          <w:p w:rsidR="00F222B7" w:rsidRPr="0037437C" w:rsidRDefault="00F222B7" w:rsidP="001319AA">
            <w:pPr>
              <w:jc w:val="center"/>
            </w:pPr>
            <w:r w:rsidRPr="0037437C">
              <w:t>-</w:t>
            </w:r>
          </w:p>
        </w:tc>
      </w:tr>
      <w:tr w:rsidR="00F222B7" w:rsidRPr="0037437C" w:rsidTr="00CE69FB">
        <w:trPr>
          <w:jc w:val="center"/>
        </w:trPr>
        <w:tc>
          <w:tcPr>
            <w:tcW w:w="5005" w:type="dxa"/>
            <w:tcBorders>
              <w:top w:val="single" w:sz="4" w:space="0" w:color="auto"/>
              <w:left w:val="single" w:sz="4" w:space="0" w:color="auto"/>
              <w:bottom w:val="single" w:sz="4" w:space="0" w:color="auto"/>
              <w:right w:val="single" w:sz="4" w:space="0" w:color="auto"/>
            </w:tcBorders>
            <w:shd w:val="clear" w:color="auto" w:fill="auto"/>
          </w:tcPr>
          <w:p w:rsidR="00F222B7" w:rsidRPr="0037437C" w:rsidRDefault="00CE69FB" w:rsidP="00CE69FB">
            <w:r w:rsidRPr="0037437C">
              <w:t>Can a</w:t>
            </w:r>
            <w:r w:rsidR="00F222B7" w:rsidRPr="0037437C">
              <w:t xml:space="preserve">ctively engage </w:t>
            </w:r>
            <w:r w:rsidRPr="0037437C">
              <w:t xml:space="preserve">with life </w:t>
            </w:r>
            <w:r w:rsidR="00F222B7" w:rsidRPr="0037437C">
              <w:t>(19)</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222B7" w:rsidRPr="0037437C" w:rsidRDefault="00351DB7" w:rsidP="001319AA">
            <w:pPr>
              <w:jc w:val="center"/>
            </w:pPr>
            <w:r w:rsidRPr="0037437C">
              <w:t>.75</w:t>
            </w:r>
            <w:r w:rsidR="00F222B7" w:rsidRPr="0037437C">
              <w:t>**</w:t>
            </w: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F222B7" w:rsidRPr="0037437C" w:rsidRDefault="00351DB7" w:rsidP="001319AA">
            <w:pPr>
              <w:jc w:val="center"/>
            </w:pPr>
            <w:r w:rsidRPr="0037437C">
              <w:t>.76</w:t>
            </w:r>
            <w:r w:rsidR="00F222B7" w:rsidRPr="0037437C">
              <w:t>**</w:t>
            </w:r>
          </w:p>
        </w:tc>
        <w:tc>
          <w:tcPr>
            <w:tcW w:w="1737" w:type="dxa"/>
            <w:tcBorders>
              <w:top w:val="single" w:sz="4" w:space="0" w:color="auto"/>
              <w:left w:val="single" w:sz="4" w:space="0" w:color="auto"/>
              <w:bottom w:val="single" w:sz="4" w:space="0" w:color="auto"/>
              <w:right w:val="single" w:sz="4" w:space="0" w:color="auto"/>
            </w:tcBorders>
            <w:shd w:val="clear" w:color="auto" w:fill="auto"/>
          </w:tcPr>
          <w:p w:rsidR="00F222B7" w:rsidRPr="0037437C" w:rsidRDefault="00F222B7" w:rsidP="001319AA">
            <w:pPr>
              <w:jc w:val="center"/>
            </w:pPr>
            <w:r w:rsidRPr="0037437C">
              <w:t>-</w:t>
            </w:r>
          </w:p>
        </w:tc>
      </w:tr>
      <w:tr w:rsidR="00F222B7" w:rsidRPr="0037437C" w:rsidTr="00CE69FB">
        <w:trPr>
          <w:jc w:val="center"/>
        </w:trPr>
        <w:tc>
          <w:tcPr>
            <w:tcW w:w="5005" w:type="dxa"/>
            <w:shd w:val="clear" w:color="auto" w:fill="auto"/>
          </w:tcPr>
          <w:p w:rsidR="00F222B7" w:rsidRPr="0037437C" w:rsidRDefault="00F222B7" w:rsidP="00D66D0F">
            <w:r w:rsidRPr="0037437C">
              <w:t xml:space="preserve">Take control </w:t>
            </w:r>
            <w:r w:rsidR="00CE69FB" w:rsidRPr="0037437C">
              <w:t xml:space="preserve">of aspects of my life </w:t>
            </w:r>
            <w:r w:rsidRPr="0037437C">
              <w:t>(21)</w:t>
            </w:r>
          </w:p>
        </w:tc>
        <w:tc>
          <w:tcPr>
            <w:tcW w:w="1701" w:type="dxa"/>
            <w:shd w:val="clear" w:color="auto" w:fill="auto"/>
          </w:tcPr>
          <w:p w:rsidR="00F222B7" w:rsidRPr="0037437C" w:rsidRDefault="00F222B7" w:rsidP="001319AA">
            <w:pPr>
              <w:jc w:val="center"/>
            </w:pPr>
            <w:r w:rsidRPr="0037437C">
              <w:t>.73**</w:t>
            </w:r>
          </w:p>
        </w:tc>
        <w:tc>
          <w:tcPr>
            <w:tcW w:w="1775" w:type="dxa"/>
            <w:shd w:val="clear" w:color="auto" w:fill="auto"/>
          </w:tcPr>
          <w:p w:rsidR="00F222B7" w:rsidRPr="0037437C" w:rsidRDefault="00F222B7" w:rsidP="001319AA">
            <w:pPr>
              <w:jc w:val="center"/>
            </w:pPr>
            <w:r w:rsidRPr="0037437C">
              <w:t>.74**</w:t>
            </w:r>
          </w:p>
        </w:tc>
        <w:tc>
          <w:tcPr>
            <w:tcW w:w="1737" w:type="dxa"/>
            <w:shd w:val="clear" w:color="auto" w:fill="auto"/>
          </w:tcPr>
          <w:p w:rsidR="00F222B7" w:rsidRPr="0037437C" w:rsidRDefault="00F222B7" w:rsidP="001319AA">
            <w:pPr>
              <w:jc w:val="center"/>
            </w:pPr>
            <w:r w:rsidRPr="0037437C">
              <w:t>-</w:t>
            </w:r>
          </w:p>
        </w:tc>
      </w:tr>
      <w:tr w:rsidR="00F222B7" w:rsidRPr="0037437C" w:rsidTr="00CE69FB">
        <w:trPr>
          <w:jc w:val="center"/>
        </w:trPr>
        <w:tc>
          <w:tcPr>
            <w:tcW w:w="5005" w:type="dxa"/>
            <w:shd w:val="clear" w:color="auto" w:fill="auto"/>
          </w:tcPr>
          <w:p w:rsidR="00F222B7" w:rsidRPr="0037437C" w:rsidRDefault="00F222B7" w:rsidP="00CE69FB">
            <w:r w:rsidRPr="0037437C">
              <w:t xml:space="preserve">Find time </w:t>
            </w:r>
            <w:r w:rsidR="00CE69FB" w:rsidRPr="0037437C">
              <w:t xml:space="preserve">to do the things I enjoy </w:t>
            </w:r>
            <w:r w:rsidRPr="0037437C">
              <w:t>(22)</w:t>
            </w:r>
          </w:p>
        </w:tc>
        <w:tc>
          <w:tcPr>
            <w:tcW w:w="1701" w:type="dxa"/>
            <w:shd w:val="clear" w:color="auto" w:fill="auto"/>
          </w:tcPr>
          <w:p w:rsidR="00F222B7" w:rsidRPr="0037437C" w:rsidRDefault="00351DB7" w:rsidP="001319AA">
            <w:pPr>
              <w:jc w:val="center"/>
            </w:pPr>
            <w:r w:rsidRPr="0037437C">
              <w:t>.55</w:t>
            </w:r>
            <w:r w:rsidR="00F222B7" w:rsidRPr="0037437C">
              <w:t>**</w:t>
            </w:r>
          </w:p>
        </w:tc>
        <w:tc>
          <w:tcPr>
            <w:tcW w:w="1775" w:type="dxa"/>
            <w:shd w:val="clear" w:color="auto" w:fill="auto"/>
          </w:tcPr>
          <w:p w:rsidR="00F222B7" w:rsidRPr="0037437C" w:rsidRDefault="00F222B7" w:rsidP="001319AA">
            <w:pPr>
              <w:jc w:val="center"/>
            </w:pPr>
            <w:r w:rsidRPr="0037437C">
              <w:t>.56**</w:t>
            </w:r>
          </w:p>
        </w:tc>
        <w:tc>
          <w:tcPr>
            <w:tcW w:w="1737" w:type="dxa"/>
            <w:shd w:val="clear" w:color="auto" w:fill="auto"/>
          </w:tcPr>
          <w:p w:rsidR="00F222B7" w:rsidRPr="0037437C" w:rsidRDefault="00F222B7" w:rsidP="001319AA">
            <w:pPr>
              <w:jc w:val="center"/>
            </w:pPr>
            <w:r w:rsidRPr="0037437C">
              <w:t>-</w:t>
            </w:r>
          </w:p>
        </w:tc>
      </w:tr>
      <w:tr w:rsidR="00F222B7" w:rsidRPr="0037437C" w:rsidTr="00CE69FB">
        <w:trPr>
          <w:jc w:val="center"/>
        </w:trPr>
        <w:tc>
          <w:tcPr>
            <w:tcW w:w="5005" w:type="dxa"/>
            <w:shd w:val="clear" w:color="auto" w:fill="auto"/>
          </w:tcPr>
          <w:p w:rsidR="00F222B7" w:rsidRPr="0037437C" w:rsidRDefault="00CE69FB" w:rsidP="00CE69FB">
            <w:r w:rsidRPr="0037437C">
              <w:t>Able to ac</w:t>
            </w:r>
            <w:r w:rsidR="00F222B7" w:rsidRPr="0037437C">
              <w:t xml:space="preserve">cess </w:t>
            </w:r>
            <w:r w:rsidRPr="0037437C">
              <w:t xml:space="preserve">independent </w:t>
            </w:r>
            <w:r w:rsidR="00F222B7" w:rsidRPr="0037437C">
              <w:t>support (13)</w:t>
            </w:r>
          </w:p>
        </w:tc>
        <w:tc>
          <w:tcPr>
            <w:tcW w:w="1701" w:type="dxa"/>
            <w:shd w:val="clear" w:color="auto" w:fill="auto"/>
          </w:tcPr>
          <w:p w:rsidR="00F222B7" w:rsidRPr="0037437C" w:rsidRDefault="00F222B7" w:rsidP="001319AA">
            <w:pPr>
              <w:jc w:val="center"/>
            </w:pPr>
            <w:r w:rsidRPr="0037437C">
              <w:t>-</w:t>
            </w:r>
          </w:p>
        </w:tc>
        <w:tc>
          <w:tcPr>
            <w:tcW w:w="1775" w:type="dxa"/>
            <w:shd w:val="clear" w:color="auto" w:fill="auto"/>
          </w:tcPr>
          <w:p w:rsidR="00F222B7" w:rsidRPr="0037437C" w:rsidRDefault="00F222B7" w:rsidP="001319AA">
            <w:pPr>
              <w:jc w:val="center"/>
            </w:pPr>
            <w:r w:rsidRPr="0037437C">
              <w:t>.53**</w:t>
            </w:r>
          </w:p>
        </w:tc>
        <w:tc>
          <w:tcPr>
            <w:tcW w:w="1737" w:type="dxa"/>
            <w:shd w:val="clear" w:color="auto" w:fill="auto"/>
          </w:tcPr>
          <w:p w:rsidR="00F222B7" w:rsidRPr="0037437C" w:rsidRDefault="00F222B7" w:rsidP="001319AA">
            <w:pPr>
              <w:jc w:val="center"/>
            </w:pPr>
            <w:r w:rsidRPr="0037437C">
              <w:t>-</w:t>
            </w:r>
          </w:p>
        </w:tc>
      </w:tr>
      <w:tr w:rsidR="00F222B7" w:rsidRPr="0037437C" w:rsidTr="00CE69FB">
        <w:trPr>
          <w:jc w:val="center"/>
        </w:trPr>
        <w:tc>
          <w:tcPr>
            <w:tcW w:w="5005" w:type="dxa"/>
            <w:shd w:val="clear" w:color="auto" w:fill="auto"/>
          </w:tcPr>
          <w:p w:rsidR="00F222B7" w:rsidRPr="0037437C" w:rsidRDefault="00CE69FB" w:rsidP="00CE69FB">
            <w:r w:rsidRPr="0037437C">
              <w:t>Make sense of d</w:t>
            </w:r>
            <w:r w:rsidR="00F222B7" w:rsidRPr="0037437C">
              <w:t>istressing experiences (18)</w:t>
            </w:r>
          </w:p>
        </w:tc>
        <w:tc>
          <w:tcPr>
            <w:tcW w:w="1701" w:type="dxa"/>
            <w:shd w:val="clear" w:color="auto" w:fill="auto"/>
          </w:tcPr>
          <w:p w:rsidR="00F222B7" w:rsidRPr="0037437C" w:rsidRDefault="00F222B7" w:rsidP="001319AA">
            <w:pPr>
              <w:jc w:val="center"/>
            </w:pPr>
            <w:r w:rsidRPr="0037437C">
              <w:t>-</w:t>
            </w:r>
          </w:p>
        </w:tc>
        <w:tc>
          <w:tcPr>
            <w:tcW w:w="1775" w:type="dxa"/>
            <w:shd w:val="clear" w:color="auto" w:fill="auto"/>
          </w:tcPr>
          <w:p w:rsidR="00F222B7" w:rsidRPr="0037437C" w:rsidRDefault="00F222B7" w:rsidP="001319AA">
            <w:pPr>
              <w:jc w:val="center"/>
            </w:pPr>
            <w:r w:rsidRPr="0037437C">
              <w:t>.62**</w:t>
            </w:r>
          </w:p>
        </w:tc>
        <w:tc>
          <w:tcPr>
            <w:tcW w:w="1737" w:type="dxa"/>
            <w:shd w:val="clear" w:color="auto" w:fill="auto"/>
          </w:tcPr>
          <w:p w:rsidR="00F222B7" w:rsidRPr="0037437C" w:rsidRDefault="00F222B7" w:rsidP="001319AA">
            <w:pPr>
              <w:jc w:val="center"/>
            </w:pPr>
            <w:r w:rsidRPr="0037437C">
              <w:t>-</w:t>
            </w:r>
          </w:p>
        </w:tc>
      </w:tr>
      <w:tr w:rsidR="00EE39D5" w:rsidRPr="0037437C" w:rsidTr="00EE39D5">
        <w:trPr>
          <w:jc w:val="center"/>
        </w:trPr>
        <w:tc>
          <w:tcPr>
            <w:tcW w:w="10218" w:type="dxa"/>
            <w:gridSpan w:val="4"/>
            <w:shd w:val="clear" w:color="auto" w:fill="auto"/>
          </w:tcPr>
          <w:p w:rsidR="00EE39D5" w:rsidRPr="0037437C" w:rsidRDefault="00EE39D5" w:rsidP="001319AA">
            <w:r w:rsidRPr="0037437C">
              <w:rPr>
                <w:b/>
              </w:rPr>
              <w:t>QPR Interpersonal items</w:t>
            </w:r>
          </w:p>
        </w:tc>
      </w:tr>
      <w:tr w:rsidR="00F222B7" w:rsidRPr="0037437C" w:rsidTr="00CE69FB">
        <w:trPr>
          <w:jc w:val="center"/>
        </w:trPr>
        <w:tc>
          <w:tcPr>
            <w:tcW w:w="5005" w:type="dxa"/>
            <w:shd w:val="clear" w:color="auto" w:fill="auto"/>
          </w:tcPr>
          <w:p w:rsidR="00F222B7" w:rsidRPr="0037437C" w:rsidRDefault="00CE69FB" w:rsidP="00CE69FB">
            <w:r w:rsidRPr="0037437C">
              <w:t>Weigh up p</w:t>
            </w:r>
            <w:r w:rsidR="00F222B7" w:rsidRPr="0037437C">
              <w:t>ros and cons</w:t>
            </w:r>
            <w:r w:rsidRPr="0037437C">
              <w:t xml:space="preserve"> of treatment</w:t>
            </w:r>
            <w:r w:rsidR="00F222B7" w:rsidRPr="0037437C">
              <w:t xml:space="preserve"> (14)</w:t>
            </w:r>
          </w:p>
        </w:tc>
        <w:tc>
          <w:tcPr>
            <w:tcW w:w="1701" w:type="dxa"/>
            <w:shd w:val="clear" w:color="auto" w:fill="auto"/>
          </w:tcPr>
          <w:p w:rsidR="00F222B7" w:rsidRPr="0037437C" w:rsidRDefault="00F222B7" w:rsidP="001319AA">
            <w:pPr>
              <w:jc w:val="center"/>
            </w:pPr>
            <w:r w:rsidRPr="0037437C">
              <w:t>-</w:t>
            </w:r>
          </w:p>
        </w:tc>
        <w:tc>
          <w:tcPr>
            <w:tcW w:w="1775" w:type="dxa"/>
            <w:shd w:val="clear" w:color="auto" w:fill="auto"/>
          </w:tcPr>
          <w:p w:rsidR="00F222B7" w:rsidRPr="0037437C" w:rsidRDefault="00F222B7" w:rsidP="001319AA">
            <w:pPr>
              <w:jc w:val="center"/>
            </w:pPr>
            <w:r w:rsidRPr="0037437C">
              <w:t>-</w:t>
            </w:r>
          </w:p>
        </w:tc>
        <w:tc>
          <w:tcPr>
            <w:tcW w:w="1737" w:type="dxa"/>
            <w:shd w:val="clear" w:color="auto" w:fill="auto"/>
          </w:tcPr>
          <w:p w:rsidR="00F222B7" w:rsidRPr="0037437C" w:rsidRDefault="00F222B7" w:rsidP="001319AA">
            <w:pPr>
              <w:jc w:val="center"/>
            </w:pPr>
            <w:r w:rsidRPr="0037437C">
              <w:t>.6</w:t>
            </w:r>
            <w:r w:rsidR="00351DB7" w:rsidRPr="0037437C">
              <w:t>1</w:t>
            </w:r>
            <w:r w:rsidRPr="0037437C">
              <w:t>**</w:t>
            </w:r>
          </w:p>
        </w:tc>
      </w:tr>
      <w:tr w:rsidR="00F222B7" w:rsidRPr="0037437C" w:rsidTr="00CE69FB">
        <w:trPr>
          <w:jc w:val="center"/>
        </w:trPr>
        <w:tc>
          <w:tcPr>
            <w:tcW w:w="5005" w:type="dxa"/>
            <w:shd w:val="clear" w:color="auto" w:fill="auto"/>
          </w:tcPr>
          <w:p w:rsidR="00F222B7" w:rsidRPr="0037437C" w:rsidRDefault="00CE69FB" w:rsidP="00CE69FB">
            <w:r w:rsidRPr="0037437C">
              <w:t>Experiences made me m</w:t>
            </w:r>
            <w:r w:rsidR="00F222B7" w:rsidRPr="0037437C">
              <w:t>ore sensitive (15)</w:t>
            </w:r>
          </w:p>
        </w:tc>
        <w:tc>
          <w:tcPr>
            <w:tcW w:w="1701" w:type="dxa"/>
            <w:shd w:val="clear" w:color="auto" w:fill="auto"/>
          </w:tcPr>
          <w:p w:rsidR="00F222B7" w:rsidRPr="0037437C" w:rsidRDefault="00F222B7" w:rsidP="001319AA">
            <w:pPr>
              <w:jc w:val="center"/>
            </w:pPr>
            <w:r w:rsidRPr="0037437C">
              <w:t>-</w:t>
            </w:r>
          </w:p>
        </w:tc>
        <w:tc>
          <w:tcPr>
            <w:tcW w:w="1775" w:type="dxa"/>
            <w:shd w:val="clear" w:color="auto" w:fill="auto"/>
          </w:tcPr>
          <w:p w:rsidR="00F222B7" w:rsidRPr="0037437C" w:rsidRDefault="00F222B7" w:rsidP="001319AA">
            <w:pPr>
              <w:jc w:val="center"/>
            </w:pPr>
            <w:r w:rsidRPr="0037437C">
              <w:t>-</w:t>
            </w:r>
          </w:p>
        </w:tc>
        <w:tc>
          <w:tcPr>
            <w:tcW w:w="1737" w:type="dxa"/>
            <w:shd w:val="clear" w:color="auto" w:fill="auto"/>
          </w:tcPr>
          <w:p w:rsidR="00F222B7" w:rsidRPr="0037437C" w:rsidRDefault="00F222B7" w:rsidP="001319AA">
            <w:pPr>
              <w:jc w:val="center"/>
            </w:pPr>
            <w:r w:rsidRPr="0037437C">
              <w:t>.52**</w:t>
            </w:r>
          </w:p>
        </w:tc>
      </w:tr>
      <w:tr w:rsidR="00F222B7" w:rsidRPr="0037437C" w:rsidTr="00CE69FB">
        <w:trPr>
          <w:jc w:val="center"/>
        </w:trPr>
        <w:tc>
          <w:tcPr>
            <w:tcW w:w="5005" w:type="dxa"/>
            <w:shd w:val="clear" w:color="auto" w:fill="auto"/>
          </w:tcPr>
          <w:p w:rsidR="00F222B7" w:rsidRPr="0037437C" w:rsidRDefault="00CE69FB" w:rsidP="00CE69FB">
            <w:r w:rsidRPr="0037437C">
              <w:t>Meeting people with si</w:t>
            </w:r>
            <w:r w:rsidR="00F222B7" w:rsidRPr="0037437C">
              <w:t>milar experiences (16)</w:t>
            </w:r>
          </w:p>
        </w:tc>
        <w:tc>
          <w:tcPr>
            <w:tcW w:w="1701" w:type="dxa"/>
            <w:shd w:val="clear" w:color="auto" w:fill="auto"/>
          </w:tcPr>
          <w:p w:rsidR="00F222B7" w:rsidRPr="0037437C" w:rsidRDefault="00F222B7" w:rsidP="001319AA">
            <w:pPr>
              <w:jc w:val="center"/>
            </w:pPr>
            <w:r w:rsidRPr="0037437C">
              <w:t>-</w:t>
            </w:r>
          </w:p>
        </w:tc>
        <w:tc>
          <w:tcPr>
            <w:tcW w:w="1775" w:type="dxa"/>
            <w:shd w:val="clear" w:color="auto" w:fill="auto"/>
          </w:tcPr>
          <w:p w:rsidR="00F222B7" w:rsidRPr="0037437C" w:rsidRDefault="00F222B7" w:rsidP="001319AA">
            <w:pPr>
              <w:jc w:val="center"/>
            </w:pPr>
            <w:r w:rsidRPr="0037437C">
              <w:t>-</w:t>
            </w:r>
          </w:p>
        </w:tc>
        <w:tc>
          <w:tcPr>
            <w:tcW w:w="1737" w:type="dxa"/>
            <w:shd w:val="clear" w:color="auto" w:fill="auto"/>
          </w:tcPr>
          <w:p w:rsidR="00F222B7" w:rsidRPr="0037437C" w:rsidRDefault="00351DB7" w:rsidP="00EE39D5">
            <w:pPr>
              <w:jc w:val="center"/>
            </w:pPr>
            <w:r w:rsidRPr="0037437C">
              <w:t>.26</w:t>
            </w:r>
            <w:r w:rsidR="00F222B7" w:rsidRPr="0037437C">
              <w:t>*</w:t>
            </w:r>
          </w:p>
        </w:tc>
      </w:tr>
      <w:tr w:rsidR="00F222B7" w:rsidRPr="0037437C" w:rsidTr="00CE69FB">
        <w:trPr>
          <w:jc w:val="center"/>
        </w:trPr>
        <w:tc>
          <w:tcPr>
            <w:tcW w:w="5005" w:type="dxa"/>
            <w:shd w:val="clear" w:color="auto" w:fill="auto"/>
          </w:tcPr>
          <w:p w:rsidR="00F222B7" w:rsidRPr="0037437C" w:rsidRDefault="00CE69FB" w:rsidP="00CE69FB">
            <w:r w:rsidRPr="0037437C">
              <w:t>My recovery has c</w:t>
            </w:r>
            <w:r w:rsidR="00F222B7" w:rsidRPr="0037437C">
              <w:t>hallenged others (17)</w:t>
            </w:r>
          </w:p>
        </w:tc>
        <w:tc>
          <w:tcPr>
            <w:tcW w:w="1701" w:type="dxa"/>
            <w:shd w:val="clear" w:color="auto" w:fill="auto"/>
          </w:tcPr>
          <w:p w:rsidR="00F222B7" w:rsidRPr="0037437C" w:rsidRDefault="00F222B7" w:rsidP="001319AA">
            <w:pPr>
              <w:jc w:val="center"/>
            </w:pPr>
            <w:r w:rsidRPr="0037437C">
              <w:t>-</w:t>
            </w:r>
          </w:p>
        </w:tc>
        <w:tc>
          <w:tcPr>
            <w:tcW w:w="1775" w:type="dxa"/>
            <w:shd w:val="clear" w:color="auto" w:fill="auto"/>
          </w:tcPr>
          <w:p w:rsidR="00F222B7" w:rsidRPr="0037437C" w:rsidRDefault="00F222B7" w:rsidP="001319AA">
            <w:pPr>
              <w:jc w:val="center"/>
            </w:pPr>
            <w:r w:rsidRPr="0037437C">
              <w:t>-</w:t>
            </w:r>
          </w:p>
        </w:tc>
        <w:tc>
          <w:tcPr>
            <w:tcW w:w="1737" w:type="dxa"/>
            <w:shd w:val="clear" w:color="auto" w:fill="auto"/>
          </w:tcPr>
          <w:p w:rsidR="00F222B7" w:rsidRPr="0037437C" w:rsidRDefault="00F222B7" w:rsidP="001319AA">
            <w:pPr>
              <w:jc w:val="center"/>
            </w:pPr>
            <w:r w:rsidRPr="0037437C">
              <w:t>.49**</w:t>
            </w:r>
          </w:p>
        </w:tc>
      </w:tr>
      <w:tr w:rsidR="00F222B7" w:rsidRPr="0037437C" w:rsidTr="00CE69FB">
        <w:trPr>
          <w:jc w:val="center"/>
        </w:trPr>
        <w:tc>
          <w:tcPr>
            <w:tcW w:w="5005" w:type="dxa"/>
            <w:shd w:val="clear" w:color="auto" w:fill="auto"/>
          </w:tcPr>
          <w:p w:rsidR="00F222B7" w:rsidRPr="0037437C" w:rsidRDefault="00F222B7" w:rsidP="00D66D0F">
            <w:r w:rsidRPr="0037437C">
              <w:t xml:space="preserve">Views of professionals </w:t>
            </w:r>
            <w:r w:rsidR="00CE69FB" w:rsidRPr="0037437C">
              <w:t xml:space="preserve">not only way </w:t>
            </w:r>
            <w:r w:rsidRPr="0037437C">
              <w:t>(20)</w:t>
            </w:r>
          </w:p>
        </w:tc>
        <w:tc>
          <w:tcPr>
            <w:tcW w:w="1701" w:type="dxa"/>
            <w:shd w:val="clear" w:color="auto" w:fill="auto"/>
          </w:tcPr>
          <w:p w:rsidR="00F222B7" w:rsidRPr="0037437C" w:rsidRDefault="00F222B7" w:rsidP="001319AA">
            <w:pPr>
              <w:jc w:val="center"/>
            </w:pPr>
            <w:r w:rsidRPr="0037437C">
              <w:t>-</w:t>
            </w:r>
          </w:p>
        </w:tc>
        <w:tc>
          <w:tcPr>
            <w:tcW w:w="1775" w:type="dxa"/>
            <w:shd w:val="clear" w:color="auto" w:fill="auto"/>
          </w:tcPr>
          <w:p w:rsidR="00F222B7" w:rsidRPr="0037437C" w:rsidRDefault="00F222B7" w:rsidP="001319AA">
            <w:pPr>
              <w:jc w:val="center"/>
            </w:pPr>
            <w:r w:rsidRPr="0037437C">
              <w:t>-</w:t>
            </w:r>
          </w:p>
        </w:tc>
        <w:tc>
          <w:tcPr>
            <w:tcW w:w="1737" w:type="dxa"/>
            <w:shd w:val="clear" w:color="auto" w:fill="auto"/>
          </w:tcPr>
          <w:p w:rsidR="00F222B7" w:rsidRPr="0037437C" w:rsidRDefault="00351DB7" w:rsidP="00EE39D5">
            <w:pPr>
              <w:jc w:val="center"/>
            </w:pPr>
            <w:r w:rsidRPr="0037437C">
              <w:t>.38</w:t>
            </w:r>
            <w:r w:rsidR="00F222B7" w:rsidRPr="0037437C">
              <w:t>*</w:t>
            </w:r>
          </w:p>
        </w:tc>
      </w:tr>
    </w:tbl>
    <w:p w:rsidR="00F222B7" w:rsidRPr="0037437C" w:rsidRDefault="00F222B7" w:rsidP="00F222B7">
      <w:pPr>
        <w:spacing w:line="360" w:lineRule="auto"/>
        <w:rPr>
          <w:b/>
          <w:sz w:val="20"/>
          <w:szCs w:val="20"/>
        </w:rPr>
      </w:pPr>
      <w:r w:rsidRPr="0037437C">
        <w:rPr>
          <w:b/>
          <w:sz w:val="20"/>
          <w:szCs w:val="20"/>
        </w:rPr>
        <w:t xml:space="preserve"> * p </w:t>
      </w:r>
      <w:r w:rsidR="00A06337" w:rsidRPr="0037437C">
        <w:rPr>
          <w:b/>
          <w:sz w:val="20"/>
          <w:szCs w:val="20"/>
        </w:rPr>
        <w:t>&lt;</w:t>
      </w:r>
      <w:r w:rsidRPr="0037437C">
        <w:rPr>
          <w:b/>
          <w:sz w:val="20"/>
          <w:szCs w:val="20"/>
        </w:rPr>
        <w:t xml:space="preserve"> .05</w:t>
      </w:r>
      <w:r w:rsidR="00CE69FB" w:rsidRPr="0037437C">
        <w:rPr>
          <w:b/>
          <w:sz w:val="20"/>
          <w:szCs w:val="20"/>
        </w:rPr>
        <w:t xml:space="preserve">, </w:t>
      </w:r>
      <w:r w:rsidRPr="0037437C">
        <w:rPr>
          <w:b/>
          <w:sz w:val="20"/>
          <w:szCs w:val="20"/>
        </w:rPr>
        <w:t xml:space="preserve"> ** p </w:t>
      </w:r>
      <w:r w:rsidR="00A06337" w:rsidRPr="0037437C">
        <w:rPr>
          <w:b/>
          <w:sz w:val="20"/>
          <w:szCs w:val="20"/>
        </w:rPr>
        <w:t>&lt;</w:t>
      </w:r>
      <w:r w:rsidRPr="0037437C">
        <w:rPr>
          <w:b/>
          <w:sz w:val="20"/>
          <w:szCs w:val="20"/>
        </w:rPr>
        <w:t xml:space="preserve"> .001</w:t>
      </w:r>
    </w:p>
    <w:p w:rsidR="00F222B7" w:rsidRPr="0037437C" w:rsidRDefault="00F222B7" w:rsidP="00F5794D">
      <w:pPr>
        <w:spacing w:line="360" w:lineRule="auto"/>
        <w:jc w:val="center"/>
        <w:rPr>
          <w:b/>
          <w:sz w:val="20"/>
          <w:szCs w:val="20"/>
        </w:rPr>
      </w:pPr>
    </w:p>
    <w:p w:rsidR="00F222B7" w:rsidRPr="0037437C" w:rsidRDefault="00F222B7" w:rsidP="00F5794D">
      <w:pPr>
        <w:spacing w:line="360" w:lineRule="auto"/>
        <w:jc w:val="center"/>
        <w:rPr>
          <w:b/>
          <w:sz w:val="20"/>
          <w:szCs w:val="20"/>
        </w:rPr>
      </w:pPr>
    </w:p>
    <w:p w:rsidR="009E0B4D" w:rsidRPr="0037437C" w:rsidRDefault="009E0B4D" w:rsidP="00F5794D">
      <w:pPr>
        <w:spacing w:line="360" w:lineRule="auto"/>
        <w:jc w:val="both"/>
      </w:pPr>
    </w:p>
    <w:p w:rsidR="009E0B4D" w:rsidRPr="0037437C" w:rsidRDefault="009E0B4D" w:rsidP="00F5794D">
      <w:pPr>
        <w:spacing w:line="360" w:lineRule="auto"/>
        <w:jc w:val="both"/>
      </w:pPr>
    </w:p>
    <w:p w:rsidR="001905A1" w:rsidRPr="0037437C" w:rsidRDefault="00B81E3D" w:rsidP="00F5794D">
      <w:pPr>
        <w:spacing w:line="360" w:lineRule="auto"/>
        <w:jc w:val="both"/>
      </w:pPr>
      <w:r w:rsidRPr="0037437C">
        <w:br w:type="page"/>
      </w:r>
    </w:p>
    <w:p w:rsidR="001905A1" w:rsidRPr="0037437C" w:rsidRDefault="001905A1" w:rsidP="00F5794D">
      <w:pPr>
        <w:spacing w:line="360" w:lineRule="auto"/>
        <w:jc w:val="both"/>
      </w:pPr>
    </w:p>
    <w:p w:rsidR="00FA0BC2" w:rsidRPr="0037437C" w:rsidRDefault="00835778" w:rsidP="00FA0BC2">
      <w:pPr>
        <w:jc w:val="center"/>
        <w:rPr>
          <w:rFonts w:cs="Arial"/>
          <w:noProof/>
        </w:rPr>
      </w:pPr>
      <w:r w:rsidRPr="0037437C">
        <w:fldChar w:fldCharType="begin"/>
      </w:r>
      <w:r w:rsidR="001905A1" w:rsidRPr="0037437C">
        <w:instrText xml:space="preserve"> ADDIN EN.REFLIST </w:instrText>
      </w:r>
      <w:r w:rsidRPr="0037437C">
        <w:fldChar w:fldCharType="separate"/>
      </w:r>
      <w:r w:rsidR="00FA0BC2" w:rsidRPr="0037437C">
        <w:rPr>
          <w:rFonts w:cs="Arial"/>
          <w:noProof/>
        </w:rPr>
        <w:t>Reference List</w:t>
      </w:r>
    </w:p>
    <w:p w:rsidR="00FA0BC2" w:rsidRPr="0037437C" w:rsidRDefault="00FA0BC2" w:rsidP="00FA0BC2">
      <w:pPr>
        <w:jc w:val="center"/>
        <w:rPr>
          <w:rFonts w:cs="Arial"/>
          <w:noProof/>
        </w:rPr>
      </w:pPr>
    </w:p>
    <w:p w:rsidR="00FA0BC2" w:rsidRPr="0037437C" w:rsidRDefault="00FA0BC2" w:rsidP="00FA0BC2">
      <w:pPr>
        <w:jc w:val="both"/>
        <w:rPr>
          <w:rFonts w:cs="Arial"/>
          <w:noProof/>
        </w:rPr>
      </w:pPr>
      <w:bookmarkStart w:id="1" w:name="_ENREF_1"/>
      <w:r w:rsidRPr="0037437C">
        <w:rPr>
          <w:rFonts w:cs="Arial"/>
          <w:noProof/>
        </w:rPr>
        <w:t>1.</w:t>
      </w:r>
      <w:r w:rsidRPr="0037437C">
        <w:rPr>
          <w:rFonts w:cs="Arial"/>
          <w:noProof/>
        </w:rPr>
        <w:tab/>
        <w:t>Anthony W. Recovery from mental illness: The guiding vision of the mental health service system in the 1990s. Psychosocial Rehabilitation Journal. 1993;16(4):11-23.</w:t>
      </w:r>
      <w:bookmarkEnd w:id="1"/>
    </w:p>
    <w:p w:rsidR="00FA0BC2" w:rsidRPr="0037437C" w:rsidRDefault="00FA0BC2" w:rsidP="00FA0BC2">
      <w:pPr>
        <w:jc w:val="both"/>
        <w:rPr>
          <w:rFonts w:cs="Arial"/>
          <w:noProof/>
        </w:rPr>
      </w:pPr>
      <w:bookmarkStart w:id="2" w:name="_ENREF_2"/>
      <w:r w:rsidRPr="0037437C">
        <w:rPr>
          <w:rFonts w:cs="Arial"/>
          <w:noProof/>
        </w:rPr>
        <w:t>2.</w:t>
      </w:r>
      <w:r w:rsidRPr="0037437C">
        <w:rPr>
          <w:rFonts w:cs="Arial"/>
          <w:noProof/>
        </w:rPr>
        <w:tab/>
        <w:t>Department of Health. No health without mental health: a cross-government mental health outcomes strategy for people of all ages. London: Department of Health, 2011.</w:t>
      </w:r>
      <w:bookmarkEnd w:id="2"/>
    </w:p>
    <w:p w:rsidR="00FA0BC2" w:rsidRPr="0037437C" w:rsidRDefault="00FA0BC2" w:rsidP="00FA0BC2">
      <w:pPr>
        <w:jc w:val="both"/>
        <w:rPr>
          <w:rFonts w:cs="Arial"/>
          <w:noProof/>
        </w:rPr>
      </w:pPr>
      <w:bookmarkStart w:id="3" w:name="_ENREF_3"/>
      <w:r w:rsidRPr="0037437C">
        <w:rPr>
          <w:rFonts w:cs="Arial"/>
          <w:noProof/>
        </w:rPr>
        <w:t>3.</w:t>
      </w:r>
      <w:r w:rsidRPr="0037437C">
        <w:rPr>
          <w:rFonts w:cs="Arial"/>
          <w:noProof/>
        </w:rPr>
        <w:tab/>
        <w:t>Leamy M, Slade M, Le Boutillier C, Williams J, Bird V. A conceptual framework for personal recovery in mental health: systematic review and narrative synthesis. British Journal of Psychiatry. 2011;199:8.</w:t>
      </w:r>
      <w:bookmarkEnd w:id="3"/>
    </w:p>
    <w:p w:rsidR="00FA0BC2" w:rsidRPr="0037437C" w:rsidRDefault="00FA0BC2" w:rsidP="00FA0BC2">
      <w:pPr>
        <w:jc w:val="both"/>
        <w:rPr>
          <w:rFonts w:cs="Arial"/>
          <w:noProof/>
        </w:rPr>
      </w:pPr>
      <w:bookmarkStart w:id="4" w:name="_ENREF_4"/>
      <w:r w:rsidRPr="0037437C">
        <w:rPr>
          <w:rFonts w:cs="Arial"/>
          <w:noProof/>
        </w:rPr>
        <w:t>4.</w:t>
      </w:r>
      <w:r w:rsidRPr="0037437C">
        <w:rPr>
          <w:rFonts w:cs="Arial"/>
          <w:noProof/>
        </w:rPr>
        <w:tab/>
        <w:t>Le Boutillier C, Leamy M, Bird V, Davidson L, Williams J, Slade M. What does recovery mean in practice? A qualitative analysis of international recovery-oriented practice guidance. Psychiatric Services. 2011;62:7.</w:t>
      </w:r>
      <w:bookmarkEnd w:id="4"/>
    </w:p>
    <w:p w:rsidR="00FA0BC2" w:rsidRPr="0037437C" w:rsidRDefault="00FA0BC2" w:rsidP="00FA0BC2">
      <w:pPr>
        <w:jc w:val="both"/>
        <w:rPr>
          <w:rFonts w:cs="Arial"/>
          <w:noProof/>
        </w:rPr>
      </w:pPr>
      <w:bookmarkStart w:id="5" w:name="_ENREF_5"/>
      <w:r w:rsidRPr="0037437C">
        <w:rPr>
          <w:rFonts w:cs="Arial"/>
          <w:noProof/>
        </w:rPr>
        <w:t>5.</w:t>
      </w:r>
      <w:r w:rsidRPr="0037437C">
        <w:rPr>
          <w:rFonts w:cs="Arial"/>
          <w:noProof/>
        </w:rPr>
        <w:tab/>
        <w:t>Shanks V, Williams J, Leamy M, Bird V, Le Boutillier C, Slade M. Measures of Personal Recovery: A Systematic Review. Psychiatric Services. 2013;64(10):7.</w:t>
      </w:r>
      <w:bookmarkEnd w:id="5"/>
    </w:p>
    <w:p w:rsidR="00FA0BC2" w:rsidRPr="0037437C" w:rsidRDefault="00FA0BC2" w:rsidP="00FA0BC2">
      <w:pPr>
        <w:jc w:val="both"/>
        <w:rPr>
          <w:rFonts w:cs="Arial"/>
          <w:noProof/>
        </w:rPr>
      </w:pPr>
      <w:bookmarkStart w:id="6" w:name="_ENREF_6"/>
      <w:r w:rsidRPr="0037437C">
        <w:rPr>
          <w:rFonts w:cs="Arial"/>
          <w:noProof/>
        </w:rPr>
        <w:t>6.</w:t>
      </w:r>
      <w:r w:rsidRPr="0037437C">
        <w:rPr>
          <w:rFonts w:cs="Arial"/>
          <w:noProof/>
        </w:rPr>
        <w:tab/>
        <w:t>Sklar M, Groessl E, O'Connell M, L. D, Aarons G. Instruments for measuring mental health recovery: A systematic review. Clinical Psychology Review. 2013;33:12.</w:t>
      </w:r>
      <w:bookmarkEnd w:id="6"/>
    </w:p>
    <w:p w:rsidR="00FA0BC2" w:rsidRPr="0037437C" w:rsidRDefault="00FA0BC2" w:rsidP="00FA0BC2">
      <w:pPr>
        <w:jc w:val="both"/>
        <w:rPr>
          <w:rFonts w:cs="Arial"/>
          <w:noProof/>
        </w:rPr>
      </w:pPr>
      <w:bookmarkStart w:id="7" w:name="_ENREF_7"/>
      <w:r w:rsidRPr="0037437C">
        <w:rPr>
          <w:rFonts w:cs="Arial"/>
          <w:noProof/>
        </w:rPr>
        <w:t>7.</w:t>
      </w:r>
      <w:r w:rsidRPr="0037437C">
        <w:rPr>
          <w:rFonts w:cs="Arial"/>
          <w:noProof/>
        </w:rPr>
        <w:tab/>
        <w:t>Neil S, Kilbride M, Pitt L, Nothard S, Welford M, Sellwood W, et al. The questionnaire about the process of recovery (QPR): A measurement tool developed in collaboration with service users. Psychosis. 2009;1:1-11.</w:t>
      </w:r>
      <w:bookmarkEnd w:id="7"/>
    </w:p>
    <w:p w:rsidR="00FA0BC2" w:rsidRPr="0037437C" w:rsidRDefault="00FA0BC2" w:rsidP="00FA0BC2">
      <w:pPr>
        <w:jc w:val="both"/>
        <w:rPr>
          <w:rFonts w:cs="Arial"/>
          <w:noProof/>
        </w:rPr>
      </w:pPr>
      <w:bookmarkStart w:id="8" w:name="_ENREF_8"/>
      <w:r w:rsidRPr="0037437C">
        <w:rPr>
          <w:rFonts w:cs="Arial"/>
          <w:noProof/>
        </w:rPr>
        <w:t>8.</w:t>
      </w:r>
      <w:r w:rsidRPr="0037437C">
        <w:rPr>
          <w:rFonts w:cs="Arial"/>
          <w:noProof/>
        </w:rPr>
        <w:tab/>
        <w:t>Law H, Neil S, Dunn G, Morrison A. Psychometric Properties of the Questionnaire about the Process of Recovery (QPR). Schizophrenia Research. 2014.</w:t>
      </w:r>
      <w:bookmarkEnd w:id="8"/>
    </w:p>
    <w:p w:rsidR="00FA0BC2" w:rsidRPr="0037437C" w:rsidRDefault="00FA0BC2" w:rsidP="00FA0BC2">
      <w:pPr>
        <w:jc w:val="both"/>
        <w:rPr>
          <w:rFonts w:cs="Arial"/>
          <w:noProof/>
        </w:rPr>
      </w:pPr>
      <w:bookmarkStart w:id="9" w:name="_ENREF_9"/>
      <w:r w:rsidRPr="0037437C">
        <w:rPr>
          <w:rFonts w:cs="Arial"/>
          <w:noProof/>
        </w:rPr>
        <w:t>9.</w:t>
      </w:r>
      <w:r w:rsidRPr="0037437C">
        <w:rPr>
          <w:rFonts w:cs="Arial"/>
          <w:noProof/>
        </w:rPr>
        <w:tab/>
        <w:t>Slade M, Bird V, Le Boutillier C, Williams J, McCrone P, Leamy M. REFOCUS Trial: protocol for a cluster randomised controlled trial of a pro-recovery intervention within community based mental health teams. BMC Psychiatry. 2011;11.</w:t>
      </w:r>
      <w:bookmarkEnd w:id="9"/>
    </w:p>
    <w:p w:rsidR="00FA0BC2" w:rsidRPr="0037437C" w:rsidRDefault="00FA0BC2" w:rsidP="00FA0BC2">
      <w:pPr>
        <w:jc w:val="both"/>
        <w:rPr>
          <w:rFonts w:cs="Arial"/>
          <w:noProof/>
        </w:rPr>
      </w:pPr>
      <w:bookmarkStart w:id="10" w:name="_ENREF_10"/>
      <w:r w:rsidRPr="0037437C">
        <w:rPr>
          <w:rFonts w:cs="Arial"/>
          <w:noProof/>
        </w:rPr>
        <w:t>10.</w:t>
      </w:r>
      <w:r w:rsidRPr="0037437C">
        <w:rPr>
          <w:rFonts w:cs="Arial"/>
          <w:noProof/>
        </w:rPr>
        <w:tab/>
        <w:t>Corrigan P, Giffort D, Rashid F, Leary M, Okeke I. Recovery as a Psychological Construct. Community Mental Health Journal. 1999;35(3):231-9.</w:t>
      </w:r>
      <w:bookmarkEnd w:id="10"/>
    </w:p>
    <w:p w:rsidR="00FA0BC2" w:rsidRPr="0037437C" w:rsidRDefault="00FA0BC2" w:rsidP="00FA0BC2">
      <w:pPr>
        <w:jc w:val="both"/>
        <w:rPr>
          <w:rFonts w:cs="Arial"/>
          <w:noProof/>
        </w:rPr>
      </w:pPr>
      <w:bookmarkStart w:id="11" w:name="_ENREF_11"/>
      <w:r w:rsidRPr="0037437C">
        <w:rPr>
          <w:rFonts w:cs="Arial"/>
          <w:noProof/>
        </w:rPr>
        <w:t>11.</w:t>
      </w:r>
      <w:r w:rsidRPr="0037437C">
        <w:rPr>
          <w:rFonts w:cs="Arial"/>
          <w:noProof/>
        </w:rPr>
        <w:tab/>
        <w:t>Tennant R, Hiller L, Fishwick R, Platt S, Joseph S, Weich S, et al. The Warwick-Edinburgh Mental Well-being Scale (WEMWBS): development and UK validation. Health and Quality of Life Outcomes. 2007;5(63).</w:t>
      </w:r>
      <w:bookmarkEnd w:id="11"/>
    </w:p>
    <w:p w:rsidR="00FA0BC2" w:rsidRPr="0037437C" w:rsidRDefault="00FA0BC2" w:rsidP="00FA0BC2">
      <w:pPr>
        <w:jc w:val="both"/>
        <w:rPr>
          <w:rFonts w:cs="Arial"/>
          <w:noProof/>
        </w:rPr>
      </w:pPr>
      <w:bookmarkStart w:id="12" w:name="_ENREF_12"/>
      <w:r w:rsidRPr="0037437C">
        <w:rPr>
          <w:rFonts w:cs="Arial"/>
          <w:noProof/>
        </w:rPr>
        <w:t>12.</w:t>
      </w:r>
      <w:r w:rsidRPr="0037437C">
        <w:rPr>
          <w:rFonts w:cs="Arial"/>
          <w:noProof/>
        </w:rPr>
        <w:tab/>
        <w:t>Maheswaran H, Weich S, Powell J, Stewart-Brown S. Evaluating the responsiveness of the Warwick Edinburgh Mental Well-Being Scale (WEMWBS): Group and individual level analysis. Health and Quality of Life Outcomes. 2012;10.</w:t>
      </w:r>
      <w:bookmarkEnd w:id="12"/>
    </w:p>
    <w:p w:rsidR="00FA0BC2" w:rsidRPr="0037437C" w:rsidRDefault="00FA0BC2" w:rsidP="00FA0BC2">
      <w:pPr>
        <w:jc w:val="both"/>
        <w:rPr>
          <w:rFonts w:cs="Arial"/>
          <w:noProof/>
        </w:rPr>
      </w:pPr>
      <w:bookmarkStart w:id="13" w:name="_ENREF_13"/>
      <w:r w:rsidRPr="0037437C">
        <w:rPr>
          <w:rFonts w:cs="Arial"/>
          <w:noProof/>
        </w:rPr>
        <w:t>13.</w:t>
      </w:r>
      <w:r w:rsidRPr="0037437C">
        <w:rPr>
          <w:rFonts w:cs="Arial"/>
          <w:noProof/>
        </w:rPr>
        <w:tab/>
        <w:t>Muthén L, Muthén B. Mplus User's Guide. Los Angeles: Muthén and Muthén; 1998-2011.</w:t>
      </w:r>
      <w:bookmarkEnd w:id="13"/>
    </w:p>
    <w:p w:rsidR="00FA0BC2" w:rsidRPr="0037437C" w:rsidRDefault="00FA0BC2" w:rsidP="00FA0BC2">
      <w:pPr>
        <w:jc w:val="both"/>
        <w:rPr>
          <w:rFonts w:cs="Arial"/>
          <w:noProof/>
        </w:rPr>
      </w:pPr>
      <w:bookmarkStart w:id="14" w:name="_ENREF_14"/>
      <w:r w:rsidRPr="0037437C">
        <w:rPr>
          <w:rFonts w:cs="Arial"/>
          <w:noProof/>
        </w:rPr>
        <w:t>14.</w:t>
      </w:r>
      <w:r w:rsidRPr="0037437C">
        <w:rPr>
          <w:rFonts w:cs="Arial"/>
          <w:noProof/>
        </w:rPr>
        <w:tab/>
        <w:t>Costello A, Osborne J. Best Practices in Exploratory Factor Analysis: Four Recommendations for Getting the Most From Your Analysis. Practical Assessment, Research and Evaluation. 2005;10(7):9.</w:t>
      </w:r>
      <w:bookmarkEnd w:id="14"/>
    </w:p>
    <w:p w:rsidR="00FA0BC2" w:rsidRPr="0037437C" w:rsidRDefault="00FA0BC2" w:rsidP="00FA0BC2">
      <w:pPr>
        <w:jc w:val="both"/>
        <w:rPr>
          <w:rFonts w:cs="Arial"/>
          <w:noProof/>
        </w:rPr>
      </w:pPr>
      <w:bookmarkStart w:id="15" w:name="_ENREF_15"/>
      <w:r w:rsidRPr="0037437C">
        <w:rPr>
          <w:rFonts w:cs="Arial"/>
          <w:noProof/>
        </w:rPr>
        <w:t>15.</w:t>
      </w:r>
      <w:r w:rsidRPr="0037437C">
        <w:rPr>
          <w:rFonts w:cs="Arial"/>
          <w:noProof/>
        </w:rPr>
        <w:tab/>
        <w:t>Lykken D, Tellegen A. Happiness is a stochastic phenomemon. Psychological Science. 1996;7(3):4.</w:t>
      </w:r>
      <w:bookmarkEnd w:id="15"/>
    </w:p>
    <w:p w:rsidR="00FA0BC2" w:rsidRPr="0037437C" w:rsidRDefault="00FA0BC2" w:rsidP="00FA0BC2">
      <w:pPr>
        <w:jc w:val="both"/>
        <w:rPr>
          <w:rFonts w:cs="Arial"/>
          <w:noProof/>
        </w:rPr>
      </w:pPr>
      <w:bookmarkStart w:id="16" w:name="_ENREF_16"/>
      <w:r w:rsidRPr="0037437C">
        <w:rPr>
          <w:rFonts w:cs="Arial"/>
          <w:noProof/>
        </w:rPr>
        <w:t>16.</w:t>
      </w:r>
      <w:r w:rsidRPr="0037437C">
        <w:rPr>
          <w:rFonts w:cs="Arial"/>
          <w:noProof/>
        </w:rPr>
        <w:tab/>
        <w:t>Shepherd G, Boardman J, Rinaldi M, Roberts G. Supporting recovery in mental health services: Quality and Outcomes. London: Centre for Mental Health, NHS Confederation, 2014.</w:t>
      </w:r>
      <w:bookmarkEnd w:id="16"/>
    </w:p>
    <w:p w:rsidR="00FA0BC2" w:rsidRPr="0037437C" w:rsidRDefault="00FA0BC2" w:rsidP="00FA0BC2">
      <w:pPr>
        <w:jc w:val="both"/>
        <w:rPr>
          <w:rFonts w:cs="Arial"/>
          <w:noProof/>
        </w:rPr>
      </w:pPr>
      <w:bookmarkStart w:id="17" w:name="_ENREF_17"/>
      <w:r w:rsidRPr="0037437C">
        <w:rPr>
          <w:rFonts w:cs="Arial"/>
          <w:noProof/>
        </w:rPr>
        <w:t>17.</w:t>
      </w:r>
      <w:r w:rsidRPr="0037437C">
        <w:rPr>
          <w:rFonts w:cs="Arial"/>
          <w:noProof/>
        </w:rPr>
        <w:tab/>
        <w:t>Williams J, Leamy M, Bird V, Le Boutiller C, Norton S, Pesola F, et al. Development and evaluation of the INSPIRE measure of staff support for personal recovery. Social Psychiatry and Psychiatric Epidemiology. 2014.</w:t>
      </w:r>
      <w:bookmarkEnd w:id="17"/>
    </w:p>
    <w:p w:rsidR="00FA0BC2" w:rsidRPr="0037437C" w:rsidRDefault="00FA0BC2" w:rsidP="00FA0BC2">
      <w:pPr>
        <w:jc w:val="both"/>
        <w:rPr>
          <w:rFonts w:cs="Arial"/>
          <w:noProof/>
        </w:rPr>
      </w:pPr>
      <w:bookmarkStart w:id="18" w:name="_ENREF_18"/>
      <w:r w:rsidRPr="0037437C">
        <w:rPr>
          <w:rFonts w:cs="Arial"/>
          <w:noProof/>
        </w:rPr>
        <w:t>18.</w:t>
      </w:r>
      <w:r w:rsidRPr="0037437C">
        <w:rPr>
          <w:rFonts w:cs="Arial"/>
          <w:noProof/>
        </w:rPr>
        <w:tab/>
        <w:t>McCabe R, Saidi M, Priebe S. Patient-reported outcomes in schizophrenia. British Journal of Psychiatry. 2007;191:8.</w:t>
      </w:r>
      <w:bookmarkEnd w:id="18"/>
    </w:p>
    <w:p w:rsidR="00FA0BC2" w:rsidRPr="0037437C" w:rsidRDefault="00FA0BC2" w:rsidP="00FA0BC2">
      <w:pPr>
        <w:jc w:val="both"/>
        <w:rPr>
          <w:rFonts w:cs="Arial"/>
          <w:noProof/>
        </w:rPr>
      </w:pPr>
      <w:bookmarkStart w:id="19" w:name="_ENREF_19"/>
      <w:r w:rsidRPr="0037437C">
        <w:rPr>
          <w:rFonts w:cs="Arial"/>
          <w:noProof/>
        </w:rPr>
        <w:t>19.</w:t>
      </w:r>
      <w:r w:rsidRPr="0037437C">
        <w:rPr>
          <w:rFonts w:cs="Arial"/>
          <w:noProof/>
        </w:rPr>
        <w:tab/>
        <w:t>Andresen R, Caputi P, Oades L. Do clinical outcome measures assess consumer-defined recovery? Psychiatry Research. 2010;177:309-17.</w:t>
      </w:r>
      <w:bookmarkEnd w:id="19"/>
    </w:p>
    <w:p w:rsidR="00FA0BC2" w:rsidRPr="0037437C" w:rsidRDefault="00FA0BC2" w:rsidP="00FA0BC2">
      <w:pPr>
        <w:jc w:val="both"/>
        <w:rPr>
          <w:rFonts w:cs="Arial"/>
          <w:noProof/>
        </w:rPr>
      </w:pPr>
      <w:bookmarkStart w:id="20" w:name="_ENREF_20"/>
      <w:r w:rsidRPr="0037437C">
        <w:rPr>
          <w:rFonts w:cs="Arial"/>
          <w:noProof/>
        </w:rPr>
        <w:lastRenderedPageBreak/>
        <w:t>20.</w:t>
      </w:r>
      <w:r w:rsidRPr="0037437C">
        <w:rPr>
          <w:rFonts w:cs="Arial"/>
          <w:noProof/>
        </w:rPr>
        <w:tab/>
        <w:t>Burgess P, Pirkis J, Coombs T, Rosen A. Assessing the value of existing recovery measures for routine use in Australian mental health services. Australian and New Zealand Journal of Psychiatry. 2011;45(4):1-14.</w:t>
      </w:r>
      <w:bookmarkEnd w:id="20"/>
    </w:p>
    <w:p w:rsidR="00FA0BC2" w:rsidRPr="0037437C" w:rsidRDefault="00FA0BC2" w:rsidP="00FA0BC2">
      <w:pPr>
        <w:jc w:val="both"/>
        <w:rPr>
          <w:rFonts w:cs="Arial"/>
          <w:noProof/>
        </w:rPr>
      </w:pPr>
      <w:bookmarkStart w:id="21" w:name="_ENREF_21"/>
      <w:r w:rsidRPr="0037437C">
        <w:rPr>
          <w:rFonts w:cs="Arial"/>
          <w:noProof/>
        </w:rPr>
        <w:t>21.</w:t>
      </w:r>
      <w:r w:rsidRPr="0037437C">
        <w:rPr>
          <w:rFonts w:cs="Arial"/>
          <w:noProof/>
        </w:rPr>
        <w:tab/>
        <w:t>Reininghaus U, Priebe S. Measuring patient-reported outcomes in psychosis: concpetual and methodological review. British Journal of Psychiatry. 2012;201:5.</w:t>
      </w:r>
      <w:bookmarkEnd w:id="21"/>
    </w:p>
    <w:p w:rsidR="00FA0BC2" w:rsidRPr="0037437C" w:rsidRDefault="00FA0BC2" w:rsidP="00FA0BC2">
      <w:pPr>
        <w:jc w:val="both"/>
        <w:rPr>
          <w:rFonts w:cs="Arial"/>
          <w:noProof/>
        </w:rPr>
      </w:pPr>
      <w:bookmarkStart w:id="22" w:name="_ENREF_22"/>
      <w:r w:rsidRPr="0037437C">
        <w:rPr>
          <w:rFonts w:cs="Arial"/>
          <w:noProof/>
        </w:rPr>
        <w:t>22.</w:t>
      </w:r>
      <w:r w:rsidRPr="0037437C">
        <w:rPr>
          <w:rFonts w:cs="Arial"/>
          <w:noProof/>
        </w:rPr>
        <w:tab/>
        <w:t>Crawford M, Robotham D, Thana L, Patterson S, Weaver T, Barber R, et al. Selecting outcome measures in mental health: the views of service users. Journal of Mental Health. 2011;20(4):11.</w:t>
      </w:r>
      <w:bookmarkEnd w:id="22"/>
    </w:p>
    <w:p w:rsidR="00FA0BC2" w:rsidRPr="0037437C" w:rsidRDefault="00FA0BC2" w:rsidP="00FA0BC2">
      <w:pPr>
        <w:jc w:val="both"/>
        <w:rPr>
          <w:rFonts w:cs="Arial"/>
          <w:noProof/>
        </w:rPr>
      </w:pPr>
      <w:bookmarkStart w:id="23" w:name="_ENREF_23"/>
      <w:r w:rsidRPr="0037437C">
        <w:rPr>
          <w:rFonts w:cs="Arial"/>
          <w:noProof/>
        </w:rPr>
        <w:t>23.</w:t>
      </w:r>
      <w:r w:rsidRPr="0037437C">
        <w:rPr>
          <w:rFonts w:cs="Arial"/>
          <w:noProof/>
        </w:rPr>
        <w:tab/>
        <w:t>Slade M, Thornicroft G, Glover G. The feasibility of routine outcome measures in mental health. Social Psychiatry and Psychiatric Epidemiology. 1999 1999/05/01;34(5):243-9. English.</w:t>
      </w:r>
      <w:bookmarkEnd w:id="23"/>
    </w:p>
    <w:p w:rsidR="00FA0BC2" w:rsidRPr="0037437C" w:rsidRDefault="00FA0BC2" w:rsidP="00FA0BC2">
      <w:pPr>
        <w:jc w:val="both"/>
        <w:rPr>
          <w:rFonts w:cs="Arial"/>
          <w:noProof/>
        </w:rPr>
      </w:pPr>
    </w:p>
    <w:p w:rsidR="00F5794D" w:rsidRDefault="00835778" w:rsidP="00F5794D">
      <w:pPr>
        <w:spacing w:line="360" w:lineRule="auto"/>
        <w:jc w:val="both"/>
      </w:pPr>
      <w:r w:rsidRPr="0037437C">
        <w:fldChar w:fldCharType="end"/>
      </w:r>
    </w:p>
    <w:sectPr w:rsidR="00F5794D" w:rsidSect="000D5FA2">
      <w:footerReference w:type="default" r:id="rId8"/>
      <w:pgSz w:w="11906" w:h="16838" w:code="9"/>
      <w:pgMar w:top="1077" w:right="1588" w:bottom="1106"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73AC" w:rsidRDefault="003373AC" w:rsidP="0037223D">
      <w:r>
        <w:separator/>
      </w:r>
    </w:p>
  </w:endnote>
  <w:endnote w:type="continuationSeparator" w:id="0">
    <w:p w:rsidR="003373AC" w:rsidRDefault="003373AC" w:rsidP="003722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3AC" w:rsidRDefault="00835778">
    <w:pPr>
      <w:pStyle w:val="Footer"/>
      <w:jc w:val="right"/>
    </w:pPr>
    <w:r>
      <w:fldChar w:fldCharType="begin"/>
    </w:r>
    <w:r w:rsidR="00357EE6">
      <w:instrText xml:space="preserve"> PAGE   \* MERGEFORMAT </w:instrText>
    </w:r>
    <w:r>
      <w:fldChar w:fldCharType="separate"/>
    </w:r>
    <w:r w:rsidR="0037437C">
      <w:rPr>
        <w:noProof/>
      </w:rPr>
      <w:t>1</w:t>
    </w:r>
    <w:r>
      <w:rPr>
        <w:noProof/>
      </w:rPr>
      <w:fldChar w:fldCharType="end"/>
    </w:r>
  </w:p>
  <w:p w:rsidR="003373AC" w:rsidRDefault="003373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73AC" w:rsidRDefault="003373AC" w:rsidP="0037223D">
      <w:r>
        <w:separator/>
      </w:r>
    </w:p>
  </w:footnote>
  <w:footnote w:type="continuationSeparator" w:id="0">
    <w:p w:rsidR="003373AC" w:rsidRDefault="003373AC" w:rsidP="003722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113A1"/>
    <w:multiLevelType w:val="hybridMultilevel"/>
    <w:tmpl w:val="93F2292C"/>
    <w:lvl w:ilvl="0" w:tplc="551C9550">
      <w:start w:val="15"/>
      <w:numFmt w:val="bullet"/>
      <w:lvlText w:val=""/>
      <w:lvlJc w:val="left"/>
      <w:pPr>
        <w:ind w:left="420" w:hanging="360"/>
      </w:pPr>
      <w:rPr>
        <w:rFonts w:ascii="Symbol" w:eastAsia="Times New Roman" w:hAnsi="Symbol"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nsid w:val="21723A73"/>
    <w:multiLevelType w:val="multilevel"/>
    <w:tmpl w:val="F8E0749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25706C63"/>
    <w:multiLevelType w:val="hybridMultilevel"/>
    <w:tmpl w:val="5F3E5D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CA43C1D"/>
    <w:multiLevelType w:val="multilevel"/>
    <w:tmpl w:val="021A0ED2"/>
    <w:lvl w:ilvl="0">
      <w:start w:val="1"/>
      <w:numFmt w:val="decimal"/>
      <w:lvlText w:val="%1"/>
      <w:lvlJc w:val="left"/>
      <w:pPr>
        <w:tabs>
          <w:tab w:val="num" w:pos="1152"/>
        </w:tabs>
        <w:ind w:left="1152" w:hanging="432"/>
      </w:pPr>
      <w:rPr>
        <w:rFonts w:hint="default"/>
      </w:rPr>
    </w:lvl>
    <w:lvl w:ilvl="1">
      <w:start w:val="1"/>
      <w:numFmt w:val="decimal"/>
      <w:lvlText w:val="5.%2"/>
      <w:lvlJc w:val="left"/>
      <w:pPr>
        <w:tabs>
          <w:tab w:val="num" w:pos="1296"/>
        </w:tabs>
        <w:ind w:left="1296" w:hanging="576"/>
      </w:pPr>
      <w:rPr>
        <w:rFonts w:hint="default"/>
      </w:rPr>
    </w:lvl>
    <w:lvl w:ilvl="2">
      <w:start w:val="1"/>
      <w:numFmt w:val="decimal"/>
      <w:lvlText w:val="5.%2.%3"/>
      <w:lvlJc w:val="left"/>
      <w:pPr>
        <w:tabs>
          <w:tab w:val="num" w:pos="1440"/>
        </w:tabs>
        <w:ind w:left="1440" w:hanging="72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4">
    <w:nsid w:val="34667027"/>
    <w:multiLevelType w:val="hybridMultilevel"/>
    <w:tmpl w:val="90D25DD0"/>
    <w:lvl w:ilvl="0" w:tplc="9ACE5F4E">
      <w:start w:val="15"/>
      <w:numFmt w:val="bullet"/>
      <w:lvlText w:val=""/>
      <w:lvlJc w:val="left"/>
      <w:pPr>
        <w:ind w:left="465" w:hanging="360"/>
      </w:pPr>
      <w:rPr>
        <w:rFonts w:ascii="Symbol" w:eastAsia="Times New Roman" w:hAnsi="Symbol" w:cs="Times New Roman"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5">
    <w:nsid w:val="474856FB"/>
    <w:multiLevelType w:val="multilevel"/>
    <w:tmpl w:val="83863F8E"/>
    <w:lvl w:ilvl="0">
      <w:start w:val="1"/>
      <w:numFmt w:val="decimal"/>
      <w:lvlText w:val="%1"/>
      <w:lvlJc w:val="left"/>
      <w:pPr>
        <w:ind w:left="432" w:hanging="432"/>
      </w:pPr>
    </w:lvl>
    <w:lvl w:ilvl="1">
      <w:start w:val="1"/>
      <w:numFmt w:val="decimal"/>
      <w:lvlText w:val="%1.%2"/>
      <w:lvlJc w:val="left"/>
      <w:pPr>
        <w:ind w:left="3636" w:hanging="576"/>
      </w:pPr>
    </w:lvl>
    <w:lvl w:ilvl="2">
      <w:start w:val="1"/>
      <w:numFmt w:val="decimal"/>
      <w:lvlText w:val="%1.%2.%3"/>
      <w:lvlJc w:val="left"/>
      <w:pPr>
        <w:ind w:left="216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5B6902DE"/>
    <w:multiLevelType w:val="hybridMultilevel"/>
    <w:tmpl w:val="1B1EC948"/>
    <w:lvl w:ilvl="0" w:tplc="09405D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A5326C8"/>
    <w:multiLevelType w:val="hybridMultilevel"/>
    <w:tmpl w:val="82185F70"/>
    <w:lvl w:ilvl="0" w:tplc="C89218EC">
      <w:start w:val="15"/>
      <w:numFmt w:val="bullet"/>
      <w:lvlText w:val=""/>
      <w:lvlJc w:val="left"/>
      <w:pPr>
        <w:ind w:left="465" w:hanging="360"/>
      </w:pPr>
      <w:rPr>
        <w:rFonts w:ascii="Symbol" w:eastAsia="Times New Roman" w:hAnsi="Symbol" w:cs="Times New Roman"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num w:numId="1">
    <w:abstractNumId w:val="5"/>
  </w:num>
  <w:num w:numId="2">
    <w:abstractNumId w:val="3"/>
  </w:num>
  <w:num w:numId="3">
    <w:abstractNumId w:val="3"/>
  </w:num>
  <w:num w:numId="4">
    <w:abstractNumId w:val="1"/>
  </w:num>
  <w:num w:numId="5">
    <w:abstractNumId w:val="6"/>
  </w:num>
  <w:num w:numId="6">
    <w:abstractNumId w:val="2"/>
  </w:num>
  <w:num w:numId="7">
    <w:abstractNumId w:val="7"/>
  </w:num>
  <w:num w:numId="8">
    <w:abstractNumId w:val="4"/>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stylePaneFormatFilter w:val="3F0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Arial&lt;/FontName&gt;&lt;FontSize&gt;12&lt;/FontSize&gt;&lt;ReflistTitle&gt;Reference Lis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v9pf5rezaaedx8e552iv20572t5tt95drwf5&quot;&gt;Endnote library&lt;record-ids&gt;&lt;item&gt;3&lt;/item&gt;&lt;item&gt;4&lt;/item&gt;&lt;item&gt;14&lt;/item&gt;&lt;item&gt;24&lt;/item&gt;&lt;item&gt;33&lt;/item&gt;&lt;item&gt;61&lt;/item&gt;&lt;item&gt;78&lt;/item&gt;&lt;item&gt;110&lt;/item&gt;&lt;item&gt;124&lt;/item&gt;&lt;item&gt;211&lt;/item&gt;&lt;item&gt;223&lt;/item&gt;&lt;item&gt;275&lt;/item&gt;&lt;item&gt;276&lt;/item&gt;&lt;item&gt;356&lt;/item&gt;&lt;item&gt;398&lt;/item&gt;&lt;item&gt;413&lt;/item&gt;&lt;item&gt;430&lt;/item&gt;&lt;item&gt;431&lt;/item&gt;&lt;item&gt;478&lt;/item&gt;&lt;item&gt;487&lt;/item&gt;&lt;item&gt;493&lt;/item&gt;&lt;item&gt;520&lt;/item&gt;&lt;item&gt;566&lt;/item&gt;&lt;/record-ids&gt;&lt;/item&gt;&lt;/Libraries&gt;"/>
  </w:docVars>
  <w:rsids>
    <w:rsidRoot w:val="00D002E7"/>
    <w:rsid w:val="000060FE"/>
    <w:rsid w:val="000062D0"/>
    <w:rsid w:val="00011166"/>
    <w:rsid w:val="00017D04"/>
    <w:rsid w:val="00020B96"/>
    <w:rsid w:val="000260EE"/>
    <w:rsid w:val="00030E4C"/>
    <w:rsid w:val="00032258"/>
    <w:rsid w:val="00032CF2"/>
    <w:rsid w:val="0003762C"/>
    <w:rsid w:val="00045CDE"/>
    <w:rsid w:val="000469E8"/>
    <w:rsid w:val="00057F07"/>
    <w:rsid w:val="0006374E"/>
    <w:rsid w:val="000801CE"/>
    <w:rsid w:val="00081D59"/>
    <w:rsid w:val="000844BB"/>
    <w:rsid w:val="00092794"/>
    <w:rsid w:val="00092BA1"/>
    <w:rsid w:val="00095179"/>
    <w:rsid w:val="00095E1A"/>
    <w:rsid w:val="00097A95"/>
    <w:rsid w:val="000A58C8"/>
    <w:rsid w:val="000C3D12"/>
    <w:rsid w:val="000C77CB"/>
    <w:rsid w:val="000D153E"/>
    <w:rsid w:val="000D4C66"/>
    <w:rsid w:val="000D5EE0"/>
    <w:rsid w:val="000D5FA2"/>
    <w:rsid w:val="000D6438"/>
    <w:rsid w:val="000D6944"/>
    <w:rsid w:val="000E702B"/>
    <w:rsid w:val="000E7348"/>
    <w:rsid w:val="000F0F7E"/>
    <w:rsid w:val="000F53D7"/>
    <w:rsid w:val="000F5526"/>
    <w:rsid w:val="0010134B"/>
    <w:rsid w:val="001058B3"/>
    <w:rsid w:val="00106A57"/>
    <w:rsid w:val="001135E6"/>
    <w:rsid w:val="0011606F"/>
    <w:rsid w:val="0012059D"/>
    <w:rsid w:val="00121610"/>
    <w:rsid w:val="00122E91"/>
    <w:rsid w:val="001279D2"/>
    <w:rsid w:val="001319AA"/>
    <w:rsid w:val="001340E2"/>
    <w:rsid w:val="00135B4C"/>
    <w:rsid w:val="0013745D"/>
    <w:rsid w:val="001405B1"/>
    <w:rsid w:val="0014604A"/>
    <w:rsid w:val="00147476"/>
    <w:rsid w:val="00151728"/>
    <w:rsid w:val="00151FBB"/>
    <w:rsid w:val="001560C6"/>
    <w:rsid w:val="001560E5"/>
    <w:rsid w:val="00156E1F"/>
    <w:rsid w:val="00166E43"/>
    <w:rsid w:val="00167561"/>
    <w:rsid w:val="00170A07"/>
    <w:rsid w:val="00186D05"/>
    <w:rsid w:val="001905A1"/>
    <w:rsid w:val="001905B8"/>
    <w:rsid w:val="001A0C01"/>
    <w:rsid w:val="001A27B1"/>
    <w:rsid w:val="001A4C34"/>
    <w:rsid w:val="001B6F80"/>
    <w:rsid w:val="001C05A8"/>
    <w:rsid w:val="001C18BB"/>
    <w:rsid w:val="001C5491"/>
    <w:rsid w:val="001D3C93"/>
    <w:rsid w:val="001D543D"/>
    <w:rsid w:val="001D7499"/>
    <w:rsid w:val="001E2C80"/>
    <w:rsid w:val="001E7D79"/>
    <w:rsid w:val="001F1202"/>
    <w:rsid w:val="001F460A"/>
    <w:rsid w:val="002000EE"/>
    <w:rsid w:val="00201CE9"/>
    <w:rsid w:val="00202A69"/>
    <w:rsid w:val="00205834"/>
    <w:rsid w:val="002110A4"/>
    <w:rsid w:val="002226AA"/>
    <w:rsid w:val="002304CF"/>
    <w:rsid w:val="00235484"/>
    <w:rsid w:val="00235794"/>
    <w:rsid w:val="00241322"/>
    <w:rsid w:val="00250A3B"/>
    <w:rsid w:val="0025450C"/>
    <w:rsid w:val="0026141C"/>
    <w:rsid w:val="00261B31"/>
    <w:rsid w:val="00263819"/>
    <w:rsid w:val="002642E2"/>
    <w:rsid w:val="002718B9"/>
    <w:rsid w:val="00275098"/>
    <w:rsid w:val="00275EB6"/>
    <w:rsid w:val="002805B1"/>
    <w:rsid w:val="00293604"/>
    <w:rsid w:val="00295FCC"/>
    <w:rsid w:val="002A17D2"/>
    <w:rsid w:val="002A1E28"/>
    <w:rsid w:val="002A5035"/>
    <w:rsid w:val="002A60FC"/>
    <w:rsid w:val="002B47FB"/>
    <w:rsid w:val="002B51D8"/>
    <w:rsid w:val="002C187F"/>
    <w:rsid w:val="002C72D8"/>
    <w:rsid w:val="002D2077"/>
    <w:rsid w:val="002D489F"/>
    <w:rsid w:val="002D695C"/>
    <w:rsid w:val="002E4F11"/>
    <w:rsid w:val="002F350B"/>
    <w:rsid w:val="00301715"/>
    <w:rsid w:val="003127FE"/>
    <w:rsid w:val="00314B72"/>
    <w:rsid w:val="0032020F"/>
    <w:rsid w:val="00326858"/>
    <w:rsid w:val="003373AC"/>
    <w:rsid w:val="00337CCE"/>
    <w:rsid w:val="003403D3"/>
    <w:rsid w:val="00351DB7"/>
    <w:rsid w:val="00354EB4"/>
    <w:rsid w:val="00356A95"/>
    <w:rsid w:val="00357EE6"/>
    <w:rsid w:val="0036789D"/>
    <w:rsid w:val="0037223D"/>
    <w:rsid w:val="003730A3"/>
    <w:rsid w:val="0037437C"/>
    <w:rsid w:val="003766B3"/>
    <w:rsid w:val="00377EA7"/>
    <w:rsid w:val="00387D4C"/>
    <w:rsid w:val="00391B66"/>
    <w:rsid w:val="00392BD7"/>
    <w:rsid w:val="003960B9"/>
    <w:rsid w:val="00396997"/>
    <w:rsid w:val="003A338E"/>
    <w:rsid w:val="003A6669"/>
    <w:rsid w:val="003B656F"/>
    <w:rsid w:val="003C4B29"/>
    <w:rsid w:val="003D09B0"/>
    <w:rsid w:val="003D21C3"/>
    <w:rsid w:val="003D3249"/>
    <w:rsid w:val="003D333A"/>
    <w:rsid w:val="003D5784"/>
    <w:rsid w:val="003E1A4A"/>
    <w:rsid w:val="003E684E"/>
    <w:rsid w:val="003E7E0E"/>
    <w:rsid w:val="004010FD"/>
    <w:rsid w:val="00401FAE"/>
    <w:rsid w:val="00402CA4"/>
    <w:rsid w:val="00410C95"/>
    <w:rsid w:val="00417CD8"/>
    <w:rsid w:val="00420EC1"/>
    <w:rsid w:val="004261B4"/>
    <w:rsid w:val="00430714"/>
    <w:rsid w:val="00430AD9"/>
    <w:rsid w:val="0043132E"/>
    <w:rsid w:val="00436DBB"/>
    <w:rsid w:val="00441E94"/>
    <w:rsid w:val="00442318"/>
    <w:rsid w:val="0044341B"/>
    <w:rsid w:val="00443C5A"/>
    <w:rsid w:val="00446687"/>
    <w:rsid w:val="00451166"/>
    <w:rsid w:val="0045191C"/>
    <w:rsid w:val="00456F9C"/>
    <w:rsid w:val="004625F1"/>
    <w:rsid w:val="00462E33"/>
    <w:rsid w:val="00463367"/>
    <w:rsid w:val="004658EC"/>
    <w:rsid w:val="004676D9"/>
    <w:rsid w:val="00473BB4"/>
    <w:rsid w:val="004777C6"/>
    <w:rsid w:val="0048060C"/>
    <w:rsid w:val="00487995"/>
    <w:rsid w:val="00491BA4"/>
    <w:rsid w:val="00493A55"/>
    <w:rsid w:val="004A1171"/>
    <w:rsid w:val="004A3575"/>
    <w:rsid w:val="004A6AF6"/>
    <w:rsid w:val="004B124F"/>
    <w:rsid w:val="004B4289"/>
    <w:rsid w:val="004B4338"/>
    <w:rsid w:val="004B4F93"/>
    <w:rsid w:val="004C5DE2"/>
    <w:rsid w:val="004C74AC"/>
    <w:rsid w:val="004D1466"/>
    <w:rsid w:val="004D2B33"/>
    <w:rsid w:val="004D5C3F"/>
    <w:rsid w:val="004D5D87"/>
    <w:rsid w:val="004E10D8"/>
    <w:rsid w:val="004F4AB8"/>
    <w:rsid w:val="005007EF"/>
    <w:rsid w:val="00502668"/>
    <w:rsid w:val="00502960"/>
    <w:rsid w:val="005032B4"/>
    <w:rsid w:val="00503C70"/>
    <w:rsid w:val="00506A9C"/>
    <w:rsid w:val="00514EC0"/>
    <w:rsid w:val="00515BBC"/>
    <w:rsid w:val="00523FDD"/>
    <w:rsid w:val="005248C1"/>
    <w:rsid w:val="00524C53"/>
    <w:rsid w:val="005404E1"/>
    <w:rsid w:val="00545933"/>
    <w:rsid w:val="00554394"/>
    <w:rsid w:val="0055573A"/>
    <w:rsid w:val="005654A0"/>
    <w:rsid w:val="005723ED"/>
    <w:rsid w:val="00583A0B"/>
    <w:rsid w:val="005A03DB"/>
    <w:rsid w:val="005A5E2B"/>
    <w:rsid w:val="005B2E43"/>
    <w:rsid w:val="005C1641"/>
    <w:rsid w:val="005C3861"/>
    <w:rsid w:val="005C40ED"/>
    <w:rsid w:val="005C4767"/>
    <w:rsid w:val="005C47E1"/>
    <w:rsid w:val="005C5E84"/>
    <w:rsid w:val="005D363C"/>
    <w:rsid w:val="005D76CF"/>
    <w:rsid w:val="005E0459"/>
    <w:rsid w:val="005E2B73"/>
    <w:rsid w:val="005E63FB"/>
    <w:rsid w:val="005F0810"/>
    <w:rsid w:val="005F238A"/>
    <w:rsid w:val="005F2D55"/>
    <w:rsid w:val="005F42F8"/>
    <w:rsid w:val="0060511D"/>
    <w:rsid w:val="006062D0"/>
    <w:rsid w:val="0061260A"/>
    <w:rsid w:val="00613ED5"/>
    <w:rsid w:val="006271FE"/>
    <w:rsid w:val="00634B3D"/>
    <w:rsid w:val="00650AC8"/>
    <w:rsid w:val="0065119F"/>
    <w:rsid w:val="006513A4"/>
    <w:rsid w:val="00655A22"/>
    <w:rsid w:val="0065678A"/>
    <w:rsid w:val="00657F18"/>
    <w:rsid w:val="00662BBC"/>
    <w:rsid w:val="00680728"/>
    <w:rsid w:val="0068267C"/>
    <w:rsid w:val="00687DF2"/>
    <w:rsid w:val="00690C2C"/>
    <w:rsid w:val="00692581"/>
    <w:rsid w:val="006954CA"/>
    <w:rsid w:val="0069691C"/>
    <w:rsid w:val="006A4F70"/>
    <w:rsid w:val="006A60FE"/>
    <w:rsid w:val="006A6DAF"/>
    <w:rsid w:val="006B1E1D"/>
    <w:rsid w:val="006B37BA"/>
    <w:rsid w:val="006B745B"/>
    <w:rsid w:val="006C0BEE"/>
    <w:rsid w:val="006C0E88"/>
    <w:rsid w:val="006C1510"/>
    <w:rsid w:val="006C1FDB"/>
    <w:rsid w:val="006D18B2"/>
    <w:rsid w:val="006D5BF8"/>
    <w:rsid w:val="006E3203"/>
    <w:rsid w:val="006E63E3"/>
    <w:rsid w:val="006F34EE"/>
    <w:rsid w:val="0070005C"/>
    <w:rsid w:val="00701FD7"/>
    <w:rsid w:val="00704422"/>
    <w:rsid w:val="00705154"/>
    <w:rsid w:val="00706F40"/>
    <w:rsid w:val="00712623"/>
    <w:rsid w:val="00713F08"/>
    <w:rsid w:val="00714597"/>
    <w:rsid w:val="00715E31"/>
    <w:rsid w:val="00715EE8"/>
    <w:rsid w:val="007230E7"/>
    <w:rsid w:val="00731338"/>
    <w:rsid w:val="00732ADF"/>
    <w:rsid w:val="00735678"/>
    <w:rsid w:val="00742B77"/>
    <w:rsid w:val="00745F35"/>
    <w:rsid w:val="00767FC2"/>
    <w:rsid w:val="0079003C"/>
    <w:rsid w:val="007910E7"/>
    <w:rsid w:val="007A427F"/>
    <w:rsid w:val="007B4263"/>
    <w:rsid w:val="007D5E75"/>
    <w:rsid w:val="007D6706"/>
    <w:rsid w:val="007E1334"/>
    <w:rsid w:val="007F04F4"/>
    <w:rsid w:val="007F1998"/>
    <w:rsid w:val="007F7D74"/>
    <w:rsid w:val="00801C45"/>
    <w:rsid w:val="008051E1"/>
    <w:rsid w:val="00810141"/>
    <w:rsid w:val="00811E90"/>
    <w:rsid w:val="0082039C"/>
    <w:rsid w:val="00821FF7"/>
    <w:rsid w:val="00835778"/>
    <w:rsid w:val="0083603B"/>
    <w:rsid w:val="00843C37"/>
    <w:rsid w:val="008678C6"/>
    <w:rsid w:val="00872EFF"/>
    <w:rsid w:val="008835CF"/>
    <w:rsid w:val="008921CD"/>
    <w:rsid w:val="008938F8"/>
    <w:rsid w:val="008A010F"/>
    <w:rsid w:val="008A688C"/>
    <w:rsid w:val="008B3590"/>
    <w:rsid w:val="008B3712"/>
    <w:rsid w:val="008D7CC6"/>
    <w:rsid w:val="008E3ADF"/>
    <w:rsid w:val="008E5645"/>
    <w:rsid w:val="008F4415"/>
    <w:rsid w:val="008F472A"/>
    <w:rsid w:val="008F71C0"/>
    <w:rsid w:val="0090770E"/>
    <w:rsid w:val="00920091"/>
    <w:rsid w:val="009236D8"/>
    <w:rsid w:val="00926A1A"/>
    <w:rsid w:val="00931280"/>
    <w:rsid w:val="00934615"/>
    <w:rsid w:val="00936095"/>
    <w:rsid w:val="00945049"/>
    <w:rsid w:val="0094794C"/>
    <w:rsid w:val="0095497F"/>
    <w:rsid w:val="00962985"/>
    <w:rsid w:val="0096345E"/>
    <w:rsid w:val="00965AFD"/>
    <w:rsid w:val="00975398"/>
    <w:rsid w:val="009814C7"/>
    <w:rsid w:val="00982DC4"/>
    <w:rsid w:val="009864D9"/>
    <w:rsid w:val="00991231"/>
    <w:rsid w:val="009953C1"/>
    <w:rsid w:val="00996641"/>
    <w:rsid w:val="009A048A"/>
    <w:rsid w:val="009A6A7E"/>
    <w:rsid w:val="009B29DD"/>
    <w:rsid w:val="009B7373"/>
    <w:rsid w:val="009C0202"/>
    <w:rsid w:val="009C6665"/>
    <w:rsid w:val="009D2849"/>
    <w:rsid w:val="009D4F05"/>
    <w:rsid w:val="009E00B8"/>
    <w:rsid w:val="009E098B"/>
    <w:rsid w:val="009E0B4D"/>
    <w:rsid w:val="009E5E9F"/>
    <w:rsid w:val="009F01DB"/>
    <w:rsid w:val="009F1CDB"/>
    <w:rsid w:val="009F2982"/>
    <w:rsid w:val="009F3245"/>
    <w:rsid w:val="00A04A94"/>
    <w:rsid w:val="00A06337"/>
    <w:rsid w:val="00A11AE1"/>
    <w:rsid w:val="00A11E14"/>
    <w:rsid w:val="00A141E0"/>
    <w:rsid w:val="00A14E5F"/>
    <w:rsid w:val="00A207D6"/>
    <w:rsid w:val="00A20E2C"/>
    <w:rsid w:val="00A23553"/>
    <w:rsid w:val="00A25CB0"/>
    <w:rsid w:val="00A40A4C"/>
    <w:rsid w:val="00A40D92"/>
    <w:rsid w:val="00A41FF2"/>
    <w:rsid w:val="00A43D12"/>
    <w:rsid w:val="00A474C4"/>
    <w:rsid w:val="00A47CEB"/>
    <w:rsid w:val="00A5012D"/>
    <w:rsid w:val="00A55554"/>
    <w:rsid w:val="00A602AF"/>
    <w:rsid w:val="00A900CA"/>
    <w:rsid w:val="00A9532F"/>
    <w:rsid w:val="00AB1487"/>
    <w:rsid w:val="00AB1D7D"/>
    <w:rsid w:val="00AB2631"/>
    <w:rsid w:val="00AB4818"/>
    <w:rsid w:val="00AB66C3"/>
    <w:rsid w:val="00AC541C"/>
    <w:rsid w:val="00AC64AF"/>
    <w:rsid w:val="00AC68CD"/>
    <w:rsid w:val="00AC6919"/>
    <w:rsid w:val="00AE452F"/>
    <w:rsid w:val="00AE4B87"/>
    <w:rsid w:val="00B01699"/>
    <w:rsid w:val="00B03B8D"/>
    <w:rsid w:val="00B042B4"/>
    <w:rsid w:val="00B2118A"/>
    <w:rsid w:val="00B2171C"/>
    <w:rsid w:val="00B2453E"/>
    <w:rsid w:val="00B24982"/>
    <w:rsid w:val="00B24AE3"/>
    <w:rsid w:val="00B30BAC"/>
    <w:rsid w:val="00B328E2"/>
    <w:rsid w:val="00B45F5F"/>
    <w:rsid w:val="00B46910"/>
    <w:rsid w:val="00B5481A"/>
    <w:rsid w:val="00B61CDC"/>
    <w:rsid w:val="00B624C6"/>
    <w:rsid w:val="00B63491"/>
    <w:rsid w:val="00B72A74"/>
    <w:rsid w:val="00B75A39"/>
    <w:rsid w:val="00B81E3D"/>
    <w:rsid w:val="00B84187"/>
    <w:rsid w:val="00B875DC"/>
    <w:rsid w:val="00B92F0E"/>
    <w:rsid w:val="00B93E36"/>
    <w:rsid w:val="00BA0227"/>
    <w:rsid w:val="00BA1056"/>
    <w:rsid w:val="00BA1321"/>
    <w:rsid w:val="00BA41DE"/>
    <w:rsid w:val="00BA4DD7"/>
    <w:rsid w:val="00BB5A2E"/>
    <w:rsid w:val="00BE23A9"/>
    <w:rsid w:val="00BE6BEB"/>
    <w:rsid w:val="00BE7B99"/>
    <w:rsid w:val="00BF6DBF"/>
    <w:rsid w:val="00BF7A81"/>
    <w:rsid w:val="00C005C1"/>
    <w:rsid w:val="00C00C56"/>
    <w:rsid w:val="00C07111"/>
    <w:rsid w:val="00C135A0"/>
    <w:rsid w:val="00C17856"/>
    <w:rsid w:val="00C20899"/>
    <w:rsid w:val="00C25CC7"/>
    <w:rsid w:val="00C300EF"/>
    <w:rsid w:val="00C36BFA"/>
    <w:rsid w:val="00C41E29"/>
    <w:rsid w:val="00C5348D"/>
    <w:rsid w:val="00C70112"/>
    <w:rsid w:val="00C70B23"/>
    <w:rsid w:val="00C71726"/>
    <w:rsid w:val="00C73087"/>
    <w:rsid w:val="00C76DCC"/>
    <w:rsid w:val="00C7730C"/>
    <w:rsid w:val="00C8066D"/>
    <w:rsid w:val="00C81548"/>
    <w:rsid w:val="00C8791E"/>
    <w:rsid w:val="00C95219"/>
    <w:rsid w:val="00C969B1"/>
    <w:rsid w:val="00CA013C"/>
    <w:rsid w:val="00CA0707"/>
    <w:rsid w:val="00CA1245"/>
    <w:rsid w:val="00CA5009"/>
    <w:rsid w:val="00CA506E"/>
    <w:rsid w:val="00CB0B8B"/>
    <w:rsid w:val="00CB163A"/>
    <w:rsid w:val="00CC12F9"/>
    <w:rsid w:val="00CC1683"/>
    <w:rsid w:val="00CC2DF0"/>
    <w:rsid w:val="00CC7272"/>
    <w:rsid w:val="00CC779E"/>
    <w:rsid w:val="00CD31DB"/>
    <w:rsid w:val="00CD65E3"/>
    <w:rsid w:val="00CE69FB"/>
    <w:rsid w:val="00CF1F92"/>
    <w:rsid w:val="00D002E7"/>
    <w:rsid w:val="00D00CFF"/>
    <w:rsid w:val="00D0382E"/>
    <w:rsid w:val="00D04211"/>
    <w:rsid w:val="00D0494C"/>
    <w:rsid w:val="00D053F1"/>
    <w:rsid w:val="00D075AC"/>
    <w:rsid w:val="00D1377E"/>
    <w:rsid w:val="00D1591C"/>
    <w:rsid w:val="00D17D2E"/>
    <w:rsid w:val="00D2101F"/>
    <w:rsid w:val="00D270C6"/>
    <w:rsid w:val="00D35269"/>
    <w:rsid w:val="00D35F55"/>
    <w:rsid w:val="00D522F3"/>
    <w:rsid w:val="00D52BFC"/>
    <w:rsid w:val="00D54A8C"/>
    <w:rsid w:val="00D64F60"/>
    <w:rsid w:val="00D654AB"/>
    <w:rsid w:val="00D662EB"/>
    <w:rsid w:val="00D66D0F"/>
    <w:rsid w:val="00D679D9"/>
    <w:rsid w:val="00D67E9C"/>
    <w:rsid w:val="00D80A53"/>
    <w:rsid w:val="00DA1513"/>
    <w:rsid w:val="00DA61A2"/>
    <w:rsid w:val="00DA6233"/>
    <w:rsid w:val="00DB7C5F"/>
    <w:rsid w:val="00DC1C32"/>
    <w:rsid w:val="00DC3235"/>
    <w:rsid w:val="00DD2275"/>
    <w:rsid w:val="00DD24F3"/>
    <w:rsid w:val="00DD282B"/>
    <w:rsid w:val="00DD487F"/>
    <w:rsid w:val="00DD7E67"/>
    <w:rsid w:val="00DE1508"/>
    <w:rsid w:val="00DE22CC"/>
    <w:rsid w:val="00DF1E1D"/>
    <w:rsid w:val="00DF292F"/>
    <w:rsid w:val="00DF3155"/>
    <w:rsid w:val="00DF76C0"/>
    <w:rsid w:val="00E033FC"/>
    <w:rsid w:val="00E10510"/>
    <w:rsid w:val="00E115CE"/>
    <w:rsid w:val="00E15E80"/>
    <w:rsid w:val="00E20ECB"/>
    <w:rsid w:val="00E23981"/>
    <w:rsid w:val="00E25C69"/>
    <w:rsid w:val="00E26F25"/>
    <w:rsid w:val="00E32193"/>
    <w:rsid w:val="00E37CF1"/>
    <w:rsid w:val="00E62034"/>
    <w:rsid w:val="00E6375A"/>
    <w:rsid w:val="00E70EB3"/>
    <w:rsid w:val="00E756F7"/>
    <w:rsid w:val="00EA3062"/>
    <w:rsid w:val="00EA43D9"/>
    <w:rsid w:val="00EC2008"/>
    <w:rsid w:val="00ED373E"/>
    <w:rsid w:val="00ED411F"/>
    <w:rsid w:val="00EE39D5"/>
    <w:rsid w:val="00EE4BC5"/>
    <w:rsid w:val="00EE4EA9"/>
    <w:rsid w:val="00EF7A92"/>
    <w:rsid w:val="00F06C07"/>
    <w:rsid w:val="00F13E3A"/>
    <w:rsid w:val="00F154A2"/>
    <w:rsid w:val="00F17CD0"/>
    <w:rsid w:val="00F222B7"/>
    <w:rsid w:val="00F2230A"/>
    <w:rsid w:val="00F261AE"/>
    <w:rsid w:val="00F27766"/>
    <w:rsid w:val="00F31F14"/>
    <w:rsid w:val="00F36122"/>
    <w:rsid w:val="00F36D5D"/>
    <w:rsid w:val="00F37E08"/>
    <w:rsid w:val="00F4093B"/>
    <w:rsid w:val="00F40FA2"/>
    <w:rsid w:val="00F415AF"/>
    <w:rsid w:val="00F42DD3"/>
    <w:rsid w:val="00F4385A"/>
    <w:rsid w:val="00F4467C"/>
    <w:rsid w:val="00F508B2"/>
    <w:rsid w:val="00F509E4"/>
    <w:rsid w:val="00F55ADA"/>
    <w:rsid w:val="00F57751"/>
    <w:rsid w:val="00F5794D"/>
    <w:rsid w:val="00F6318A"/>
    <w:rsid w:val="00F6363D"/>
    <w:rsid w:val="00F7193E"/>
    <w:rsid w:val="00F740EC"/>
    <w:rsid w:val="00F82468"/>
    <w:rsid w:val="00F9235B"/>
    <w:rsid w:val="00F95058"/>
    <w:rsid w:val="00F97790"/>
    <w:rsid w:val="00FA089F"/>
    <w:rsid w:val="00FA0BC2"/>
    <w:rsid w:val="00FA143B"/>
    <w:rsid w:val="00FA43F3"/>
    <w:rsid w:val="00FC156C"/>
    <w:rsid w:val="00FC1FC3"/>
    <w:rsid w:val="00FD151D"/>
    <w:rsid w:val="00FE7747"/>
    <w:rsid w:val="00FE7A81"/>
    <w:rsid w:val="00FF16DB"/>
    <w:rsid w:val="00FF1856"/>
    <w:rsid w:val="00FF2249"/>
    <w:rsid w:val="00FF4862"/>
    <w:rsid w:val="00FF6FD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6919"/>
    <w:rPr>
      <w:rFonts w:ascii="Arial" w:hAnsi="Arial"/>
      <w:sz w:val="24"/>
      <w:szCs w:val="24"/>
    </w:rPr>
  </w:style>
  <w:style w:type="paragraph" w:styleId="Heading1">
    <w:name w:val="heading 1"/>
    <w:basedOn w:val="Normal"/>
    <w:next w:val="Normal"/>
    <w:link w:val="Heading1Char"/>
    <w:autoRedefine/>
    <w:qFormat/>
    <w:rsid w:val="00E033FC"/>
    <w:pPr>
      <w:keepNext/>
      <w:numPr>
        <w:numId w:val="4"/>
      </w:numPr>
      <w:spacing w:before="240" w:after="60"/>
      <w:outlineLvl w:val="0"/>
    </w:pPr>
    <w:rPr>
      <w:b/>
      <w:bCs/>
      <w:kern w:val="32"/>
      <w:szCs w:val="32"/>
    </w:rPr>
  </w:style>
  <w:style w:type="paragraph" w:styleId="Heading2">
    <w:name w:val="heading 2"/>
    <w:basedOn w:val="Normal"/>
    <w:next w:val="Normal"/>
    <w:autoRedefine/>
    <w:qFormat/>
    <w:rsid w:val="00E033FC"/>
    <w:pPr>
      <w:keepNext/>
      <w:keepLines/>
      <w:numPr>
        <w:ilvl w:val="1"/>
        <w:numId w:val="4"/>
      </w:numPr>
      <w:spacing w:before="200" w:line="360" w:lineRule="auto"/>
      <w:outlineLvl w:val="1"/>
    </w:pPr>
    <w:rPr>
      <w:b/>
      <w:bCs/>
      <w:szCs w:val="26"/>
      <w:lang w:eastAsia="en-US"/>
    </w:rPr>
  </w:style>
  <w:style w:type="paragraph" w:styleId="Heading3">
    <w:name w:val="heading 3"/>
    <w:basedOn w:val="Normal"/>
    <w:next w:val="Normal"/>
    <w:autoRedefine/>
    <w:qFormat/>
    <w:rsid w:val="00326858"/>
    <w:pPr>
      <w:keepNext/>
      <w:numPr>
        <w:ilvl w:val="2"/>
        <w:numId w:val="4"/>
      </w:numPr>
      <w:spacing w:before="240" w:after="60" w:line="360" w:lineRule="auto"/>
      <w:outlineLvl w:val="2"/>
    </w:pPr>
    <w:rPr>
      <w:b/>
      <w:bCs/>
      <w:szCs w:val="26"/>
      <w:lang w:eastAsia="en-US"/>
    </w:rPr>
  </w:style>
  <w:style w:type="paragraph" w:styleId="Heading4">
    <w:name w:val="heading 4"/>
    <w:basedOn w:val="Normal"/>
    <w:next w:val="Normal"/>
    <w:link w:val="Heading4Char"/>
    <w:semiHidden/>
    <w:unhideWhenUsed/>
    <w:qFormat/>
    <w:rsid w:val="00E033FC"/>
    <w:pPr>
      <w:keepNext/>
      <w:numPr>
        <w:ilvl w:val="3"/>
        <w:numId w:val="4"/>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E033FC"/>
    <w:pPr>
      <w:numPr>
        <w:ilvl w:val="4"/>
        <w:numId w:val="4"/>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E033FC"/>
    <w:pPr>
      <w:numPr>
        <w:ilvl w:val="5"/>
        <w:numId w:val="4"/>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E033FC"/>
    <w:pPr>
      <w:numPr>
        <w:ilvl w:val="6"/>
        <w:numId w:val="4"/>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E033FC"/>
    <w:pPr>
      <w:numPr>
        <w:ilvl w:val="7"/>
        <w:numId w:val="4"/>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E033FC"/>
    <w:pPr>
      <w:numPr>
        <w:ilvl w:val="8"/>
        <w:numId w:val="4"/>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4">
    <w:name w:val="Style14"/>
    <w:basedOn w:val="Heading3"/>
    <w:rsid w:val="00C81548"/>
    <w:rPr>
      <w:rFonts w:ascii="Times New Roman" w:hAnsi="Times New Roman"/>
    </w:rPr>
  </w:style>
  <w:style w:type="paragraph" w:styleId="Header">
    <w:name w:val="header"/>
    <w:basedOn w:val="Normal"/>
    <w:link w:val="HeaderChar"/>
    <w:rsid w:val="0037223D"/>
    <w:pPr>
      <w:tabs>
        <w:tab w:val="center" w:pos="4513"/>
        <w:tab w:val="right" w:pos="9026"/>
      </w:tabs>
    </w:pPr>
  </w:style>
  <w:style w:type="character" w:customStyle="1" w:styleId="HeaderChar">
    <w:name w:val="Header Char"/>
    <w:link w:val="Header"/>
    <w:rsid w:val="0037223D"/>
    <w:rPr>
      <w:rFonts w:ascii="Arial" w:hAnsi="Arial"/>
      <w:sz w:val="24"/>
      <w:szCs w:val="24"/>
    </w:rPr>
  </w:style>
  <w:style w:type="paragraph" w:styleId="Footer">
    <w:name w:val="footer"/>
    <w:basedOn w:val="Normal"/>
    <w:link w:val="FooterChar"/>
    <w:uiPriority w:val="99"/>
    <w:rsid w:val="0037223D"/>
    <w:pPr>
      <w:tabs>
        <w:tab w:val="center" w:pos="4513"/>
        <w:tab w:val="right" w:pos="9026"/>
      </w:tabs>
    </w:pPr>
  </w:style>
  <w:style w:type="character" w:customStyle="1" w:styleId="FooterChar">
    <w:name w:val="Footer Char"/>
    <w:link w:val="Footer"/>
    <w:uiPriority w:val="99"/>
    <w:rsid w:val="0037223D"/>
    <w:rPr>
      <w:rFonts w:ascii="Arial" w:hAnsi="Arial"/>
      <w:sz w:val="24"/>
      <w:szCs w:val="24"/>
    </w:rPr>
  </w:style>
  <w:style w:type="character" w:styleId="CommentReference">
    <w:name w:val="annotation reference"/>
    <w:rsid w:val="00DE1508"/>
    <w:rPr>
      <w:sz w:val="16"/>
      <w:szCs w:val="16"/>
    </w:rPr>
  </w:style>
  <w:style w:type="paragraph" w:styleId="CommentText">
    <w:name w:val="annotation text"/>
    <w:basedOn w:val="Normal"/>
    <w:link w:val="CommentTextChar"/>
    <w:rsid w:val="00DE1508"/>
    <w:rPr>
      <w:sz w:val="20"/>
      <w:szCs w:val="20"/>
    </w:rPr>
  </w:style>
  <w:style w:type="character" w:customStyle="1" w:styleId="CommentTextChar">
    <w:name w:val="Comment Text Char"/>
    <w:link w:val="CommentText"/>
    <w:rsid w:val="00DE1508"/>
    <w:rPr>
      <w:rFonts w:ascii="Arial" w:hAnsi="Arial"/>
    </w:rPr>
  </w:style>
  <w:style w:type="paragraph" w:styleId="CommentSubject">
    <w:name w:val="annotation subject"/>
    <w:basedOn w:val="CommentText"/>
    <w:next w:val="CommentText"/>
    <w:link w:val="CommentSubjectChar"/>
    <w:rsid w:val="00DE1508"/>
    <w:rPr>
      <w:b/>
      <w:bCs/>
    </w:rPr>
  </w:style>
  <w:style w:type="character" w:customStyle="1" w:styleId="CommentSubjectChar">
    <w:name w:val="Comment Subject Char"/>
    <w:link w:val="CommentSubject"/>
    <w:rsid w:val="00DE1508"/>
    <w:rPr>
      <w:rFonts w:ascii="Arial" w:hAnsi="Arial"/>
      <w:b/>
      <w:bCs/>
    </w:rPr>
  </w:style>
  <w:style w:type="paragraph" w:styleId="BalloonText">
    <w:name w:val="Balloon Text"/>
    <w:basedOn w:val="Normal"/>
    <w:link w:val="BalloonTextChar"/>
    <w:rsid w:val="00DE1508"/>
    <w:rPr>
      <w:rFonts w:ascii="Tahoma" w:hAnsi="Tahoma"/>
      <w:sz w:val="16"/>
      <w:szCs w:val="16"/>
    </w:rPr>
  </w:style>
  <w:style w:type="character" w:customStyle="1" w:styleId="BalloonTextChar">
    <w:name w:val="Balloon Text Char"/>
    <w:link w:val="BalloonText"/>
    <w:rsid w:val="00DE1508"/>
    <w:rPr>
      <w:rFonts w:ascii="Tahoma" w:hAnsi="Tahoma" w:cs="Tahoma"/>
      <w:sz w:val="16"/>
      <w:szCs w:val="16"/>
    </w:rPr>
  </w:style>
  <w:style w:type="character" w:customStyle="1" w:styleId="Heading1Char">
    <w:name w:val="Heading 1 Char"/>
    <w:link w:val="Heading1"/>
    <w:rsid w:val="00E033FC"/>
    <w:rPr>
      <w:rFonts w:ascii="Arial" w:eastAsia="Times New Roman" w:hAnsi="Arial" w:cs="Times New Roman"/>
      <w:b/>
      <w:bCs/>
      <w:kern w:val="32"/>
      <w:sz w:val="24"/>
      <w:szCs w:val="32"/>
    </w:rPr>
  </w:style>
  <w:style w:type="character" w:customStyle="1" w:styleId="Heading4Char">
    <w:name w:val="Heading 4 Char"/>
    <w:link w:val="Heading4"/>
    <w:semiHidden/>
    <w:rsid w:val="00E033FC"/>
    <w:rPr>
      <w:rFonts w:ascii="Calibri" w:eastAsia="Times New Roman" w:hAnsi="Calibri" w:cs="Times New Roman"/>
      <w:b/>
      <w:bCs/>
      <w:sz w:val="28"/>
      <w:szCs w:val="28"/>
    </w:rPr>
  </w:style>
  <w:style w:type="character" w:customStyle="1" w:styleId="Heading5Char">
    <w:name w:val="Heading 5 Char"/>
    <w:link w:val="Heading5"/>
    <w:semiHidden/>
    <w:rsid w:val="00E033FC"/>
    <w:rPr>
      <w:rFonts w:ascii="Calibri" w:eastAsia="Times New Roman" w:hAnsi="Calibri" w:cs="Times New Roman"/>
      <w:b/>
      <w:bCs/>
      <w:i/>
      <w:iCs/>
      <w:sz w:val="26"/>
      <w:szCs w:val="26"/>
    </w:rPr>
  </w:style>
  <w:style w:type="character" w:customStyle="1" w:styleId="Heading6Char">
    <w:name w:val="Heading 6 Char"/>
    <w:link w:val="Heading6"/>
    <w:semiHidden/>
    <w:rsid w:val="00E033FC"/>
    <w:rPr>
      <w:rFonts w:ascii="Calibri" w:eastAsia="Times New Roman" w:hAnsi="Calibri" w:cs="Times New Roman"/>
      <w:b/>
      <w:bCs/>
      <w:sz w:val="22"/>
      <w:szCs w:val="22"/>
    </w:rPr>
  </w:style>
  <w:style w:type="character" w:customStyle="1" w:styleId="Heading7Char">
    <w:name w:val="Heading 7 Char"/>
    <w:link w:val="Heading7"/>
    <w:semiHidden/>
    <w:rsid w:val="00E033FC"/>
    <w:rPr>
      <w:rFonts w:ascii="Calibri" w:eastAsia="Times New Roman" w:hAnsi="Calibri" w:cs="Times New Roman"/>
      <w:sz w:val="24"/>
      <w:szCs w:val="24"/>
    </w:rPr>
  </w:style>
  <w:style w:type="character" w:customStyle="1" w:styleId="Heading8Char">
    <w:name w:val="Heading 8 Char"/>
    <w:link w:val="Heading8"/>
    <w:semiHidden/>
    <w:rsid w:val="00E033FC"/>
    <w:rPr>
      <w:rFonts w:ascii="Calibri" w:eastAsia="Times New Roman" w:hAnsi="Calibri" w:cs="Times New Roman"/>
      <w:i/>
      <w:iCs/>
      <w:sz w:val="24"/>
      <w:szCs w:val="24"/>
    </w:rPr>
  </w:style>
  <w:style w:type="character" w:customStyle="1" w:styleId="Heading9Char">
    <w:name w:val="Heading 9 Char"/>
    <w:link w:val="Heading9"/>
    <w:semiHidden/>
    <w:rsid w:val="00E033FC"/>
    <w:rPr>
      <w:rFonts w:ascii="Cambria" w:eastAsia="Times New Roman" w:hAnsi="Cambria" w:cs="Times New Roman"/>
      <w:sz w:val="22"/>
      <w:szCs w:val="22"/>
    </w:rPr>
  </w:style>
  <w:style w:type="character" w:styleId="Hyperlink">
    <w:name w:val="Hyperlink"/>
    <w:rsid w:val="00E033FC"/>
    <w:rPr>
      <w:color w:val="0000FF"/>
      <w:u w:val="single"/>
    </w:rPr>
  </w:style>
  <w:style w:type="table" w:styleId="TableGrid">
    <w:name w:val="Table Grid"/>
    <w:basedOn w:val="TableNormal"/>
    <w:rsid w:val="00DD7E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5B2E43"/>
    <w:rPr>
      <w:rFonts w:ascii="Arial" w:hAnsi="Arial"/>
      <w:sz w:val="24"/>
      <w:szCs w:val="24"/>
    </w:rPr>
  </w:style>
  <w:style w:type="character" w:customStyle="1" w:styleId="comment-copy">
    <w:name w:val="comment-copy"/>
    <w:rsid w:val="00FE77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paragraph" w:styleId="Heading1">
    <w:name w:val="heading 1"/>
    <w:basedOn w:val="Normal"/>
    <w:next w:val="Normal"/>
    <w:link w:val="Heading1Char"/>
    <w:autoRedefine/>
    <w:qFormat/>
    <w:rsid w:val="00E033FC"/>
    <w:pPr>
      <w:keepNext/>
      <w:numPr>
        <w:numId w:val="4"/>
      </w:numPr>
      <w:spacing w:before="240" w:after="60"/>
      <w:outlineLvl w:val="0"/>
    </w:pPr>
    <w:rPr>
      <w:b/>
      <w:bCs/>
      <w:kern w:val="32"/>
      <w:szCs w:val="32"/>
    </w:rPr>
  </w:style>
  <w:style w:type="paragraph" w:styleId="Heading2">
    <w:name w:val="heading 2"/>
    <w:basedOn w:val="Normal"/>
    <w:next w:val="Normal"/>
    <w:autoRedefine/>
    <w:qFormat/>
    <w:rsid w:val="00E033FC"/>
    <w:pPr>
      <w:keepNext/>
      <w:keepLines/>
      <w:numPr>
        <w:ilvl w:val="1"/>
        <w:numId w:val="4"/>
      </w:numPr>
      <w:spacing w:before="200" w:line="360" w:lineRule="auto"/>
      <w:outlineLvl w:val="1"/>
    </w:pPr>
    <w:rPr>
      <w:b/>
      <w:bCs/>
      <w:szCs w:val="26"/>
      <w:lang w:eastAsia="en-US"/>
    </w:rPr>
  </w:style>
  <w:style w:type="paragraph" w:styleId="Heading3">
    <w:name w:val="heading 3"/>
    <w:basedOn w:val="Normal"/>
    <w:next w:val="Normal"/>
    <w:autoRedefine/>
    <w:qFormat/>
    <w:rsid w:val="00326858"/>
    <w:pPr>
      <w:keepNext/>
      <w:numPr>
        <w:ilvl w:val="2"/>
        <w:numId w:val="4"/>
      </w:numPr>
      <w:spacing w:before="240" w:after="60" w:line="360" w:lineRule="auto"/>
      <w:outlineLvl w:val="2"/>
    </w:pPr>
    <w:rPr>
      <w:b/>
      <w:bCs/>
      <w:szCs w:val="26"/>
      <w:lang w:eastAsia="en-US"/>
    </w:rPr>
  </w:style>
  <w:style w:type="paragraph" w:styleId="Heading4">
    <w:name w:val="heading 4"/>
    <w:basedOn w:val="Normal"/>
    <w:next w:val="Normal"/>
    <w:link w:val="Heading4Char"/>
    <w:semiHidden/>
    <w:unhideWhenUsed/>
    <w:qFormat/>
    <w:rsid w:val="00E033FC"/>
    <w:pPr>
      <w:keepNext/>
      <w:numPr>
        <w:ilvl w:val="3"/>
        <w:numId w:val="4"/>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E033FC"/>
    <w:pPr>
      <w:numPr>
        <w:ilvl w:val="4"/>
        <w:numId w:val="4"/>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E033FC"/>
    <w:pPr>
      <w:numPr>
        <w:ilvl w:val="5"/>
        <w:numId w:val="4"/>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E033FC"/>
    <w:pPr>
      <w:numPr>
        <w:ilvl w:val="6"/>
        <w:numId w:val="4"/>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E033FC"/>
    <w:pPr>
      <w:numPr>
        <w:ilvl w:val="7"/>
        <w:numId w:val="4"/>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E033FC"/>
    <w:pPr>
      <w:numPr>
        <w:ilvl w:val="8"/>
        <w:numId w:val="4"/>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4">
    <w:name w:val="Style14"/>
    <w:basedOn w:val="Heading3"/>
    <w:rsid w:val="00C81548"/>
    <w:rPr>
      <w:rFonts w:ascii="Times New Roman" w:hAnsi="Times New Roman"/>
    </w:rPr>
  </w:style>
  <w:style w:type="paragraph" w:styleId="Header">
    <w:name w:val="header"/>
    <w:basedOn w:val="Normal"/>
    <w:link w:val="HeaderChar"/>
    <w:rsid w:val="0037223D"/>
    <w:pPr>
      <w:tabs>
        <w:tab w:val="center" w:pos="4513"/>
        <w:tab w:val="right" w:pos="9026"/>
      </w:tabs>
    </w:pPr>
  </w:style>
  <w:style w:type="character" w:customStyle="1" w:styleId="HeaderChar">
    <w:name w:val="Header Char"/>
    <w:link w:val="Header"/>
    <w:rsid w:val="0037223D"/>
    <w:rPr>
      <w:rFonts w:ascii="Arial" w:hAnsi="Arial"/>
      <w:sz w:val="24"/>
      <w:szCs w:val="24"/>
    </w:rPr>
  </w:style>
  <w:style w:type="paragraph" w:styleId="Footer">
    <w:name w:val="footer"/>
    <w:basedOn w:val="Normal"/>
    <w:link w:val="FooterChar"/>
    <w:uiPriority w:val="99"/>
    <w:rsid w:val="0037223D"/>
    <w:pPr>
      <w:tabs>
        <w:tab w:val="center" w:pos="4513"/>
        <w:tab w:val="right" w:pos="9026"/>
      </w:tabs>
    </w:pPr>
  </w:style>
  <w:style w:type="character" w:customStyle="1" w:styleId="FooterChar">
    <w:name w:val="Footer Char"/>
    <w:link w:val="Footer"/>
    <w:uiPriority w:val="99"/>
    <w:rsid w:val="0037223D"/>
    <w:rPr>
      <w:rFonts w:ascii="Arial" w:hAnsi="Arial"/>
      <w:sz w:val="24"/>
      <w:szCs w:val="24"/>
    </w:rPr>
  </w:style>
  <w:style w:type="character" w:styleId="CommentReference">
    <w:name w:val="annotation reference"/>
    <w:rsid w:val="00DE1508"/>
    <w:rPr>
      <w:sz w:val="16"/>
      <w:szCs w:val="16"/>
    </w:rPr>
  </w:style>
  <w:style w:type="paragraph" w:styleId="CommentText">
    <w:name w:val="annotation text"/>
    <w:basedOn w:val="Normal"/>
    <w:link w:val="CommentTextChar"/>
    <w:rsid w:val="00DE1508"/>
    <w:rPr>
      <w:sz w:val="20"/>
      <w:szCs w:val="20"/>
    </w:rPr>
  </w:style>
  <w:style w:type="character" w:customStyle="1" w:styleId="CommentTextChar">
    <w:name w:val="Comment Text Char"/>
    <w:link w:val="CommentText"/>
    <w:rsid w:val="00DE1508"/>
    <w:rPr>
      <w:rFonts w:ascii="Arial" w:hAnsi="Arial"/>
    </w:rPr>
  </w:style>
  <w:style w:type="paragraph" w:styleId="CommentSubject">
    <w:name w:val="annotation subject"/>
    <w:basedOn w:val="CommentText"/>
    <w:next w:val="CommentText"/>
    <w:link w:val="CommentSubjectChar"/>
    <w:rsid w:val="00DE1508"/>
    <w:rPr>
      <w:b/>
      <w:bCs/>
    </w:rPr>
  </w:style>
  <w:style w:type="character" w:customStyle="1" w:styleId="CommentSubjectChar">
    <w:name w:val="Comment Subject Char"/>
    <w:link w:val="CommentSubject"/>
    <w:rsid w:val="00DE1508"/>
    <w:rPr>
      <w:rFonts w:ascii="Arial" w:hAnsi="Arial"/>
      <w:b/>
      <w:bCs/>
    </w:rPr>
  </w:style>
  <w:style w:type="paragraph" w:styleId="BalloonText">
    <w:name w:val="Balloon Text"/>
    <w:basedOn w:val="Normal"/>
    <w:link w:val="BalloonTextChar"/>
    <w:rsid w:val="00DE1508"/>
    <w:rPr>
      <w:rFonts w:ascii="Tahoma" w:hAnsi="Tahoma"/>
      <w:sz w:val="16"/>
      <w:szCs w:val="16"/>
    </w:rPr>
  </w:style>
  <w:style w:type="character" w:customStyle="1" w:styleId="BalloonTextChar">
    <w:name w:val="Balloon Text Char"/>
    <w:link w:val="BalloonText"/>
    <w:rsid w:val="00DE1508"/>
    <w:rPr>
      <w:rFonts w:ascii="Tahoma" w:hAnsi="Tahoma" w:cs="Tahoma"/>
      <w:sz w:val="16"/>
      <w:szCs w:val="16"/>
    </w:rPr>
  </w:style>
  <w:style w:type="character" w:customStyle="1" w:styleId="Heading1Char">
    <w:name w:val="Heading 1 Char"/>
    <w:link w:val="Heading1"/>
    <w:rsid w:val="00E033FC"/>
    <w:rPr>
      <w:rFonts w:ascii="Arial" w:eastAsia="Times New Roman" w:hAnsi="Arial" w:cs="Times New Roman"/>
      <w:b/>
      <w:bCs/>
      <w:kern w:val="32"/>
      <w:sz w:val="24"/>
      <w:szCs w:val="32"/>
    </w:rPr>
  </w:style>
  <w:style w:type="character" w:customStyle="1" w:styleId="Heading4Char">
    <w:name w:val="Heading 4 Char"/>
    <w:link w:val="Heading4"/>
    <w:semiHidden/>
    <w:rsid w:val="00E033FC"/>
    <w:rPr>
      <w:rFonts w:ascii="Calibri" w:eastAsia="Times New Roman" w:hAnsi="Calibri" w:cs="Times New Roman"/>
      <w:b/>
      <w:bCs/>
      <w:sz w:val="28"/>
      <w:szCs w:val="28"/>
    </w:rPr>
  </w:style>
  <w:style w:type="character" w:customStyle="1" w:styleId="Heading5Char">
    <w:name w:val="Heading 5 Char"/>
    <w:link w:val="Heading5"/>
    <w:semiHidden/>
    <w:rsid w:val="00E033FC"/>
    <w:rPr>
      <w:rFonts w:ascii="Calibri" w:eastAsia="Times New Roman" w:hAnsi="Calibri" w:cs="Times New Roman"/>
      <w:b/>
      <w:bCs/>
      <w:i/>
      <w:iCs/>
      <w:sz w:val="26"/>
      <w:szCs w:val="26"/>
    </w:rPr>
  </w:style>
  <w:style w:type="character" w:customStyle="1" w:styleId="Heading6Char">
    <w:name w:val="Heading 6 Char"/>
    <w:link w:val="Heading6"/>
    <w:semiHidden/>
    <w:rsid w:val="00E033FC"/>
    <w:rPr>
      <w:rFonts w:ascii="Calibri" w:eastAsia="Times New Roman" w:hAnsi="Calibri" w:cs="Times New Roman"/>
      <w:b/>
      <w:bCs/>
      <w:sz w:val="22"/>
      <w:szCs w:val="22"/>
    </w:rPr>
  </w:style>
  <w:style w:type="character" w:customStyle="1" w:styleId="Heading7Char">
    <w:name w:val="Heading 7 Char"/>
    <w:link w:val="Heading7"/>
    <w:semiHidden/>
    <w:rsid w:val="00E033FC"/>
    <w:rPr>
      <w:rFonts w:ascii="Calibri" w:eastAsia="Times New Roman" w:hAnsi="Calibri" w:cs="Times New Roman"/>
      <w:sz w:val="24"/>
      <w:szCs w:val="24"/>
    </w:rPr>
  </w:style>
  <w:style w:type="character" w:customStyle="1" w:styleId="Heading8Char">
    <w:name w:val="Heading 8 Char"/>
    <w:link w:val="Heading8"/>
    <w:semiHidden/>
    <w:rsid w:val="00E033FC"/>
    <w:rPr>
      <w:rFonts w:ascii="Calibri" w:eastAsia="Times New Roman" w:hAnsi="Calibri" w:cs="Times New Roman"/>
      <w:i/>
      <w:iCs/>
      <w:sz w:val="24"/>
      <w:szCs w:val="24"/>
    </w:rPr>
  </w:style>
  <w:style w:type="character" w:customStyle="1" w:styleId="Heading9Char">
    <w:name w:val="Heading 9 Char"/>
    <w:link w:val="Heading9"/>
    <w:semiHidden/>
    <w:rsid w:val="00E033FC"/>
    <w:rPr>
      <w:rFonts w:ascii="Cambria" w:eastAsia="Times New Roman" w:hAnsi="Cambria" w:cs="Times New Roman"/>
      <w:sz w:val="22"/>
      <w:szCs w:val="22"/>
    </w:rPr>
  </w:style>
  <w:style w:type="character" w:styleId="Hyperlink">
    <w:name w:val="Hyperlink"/>
    <w:rsid w:val="00E033FC"/>
    <w:rPr>
      <w:color w:val="0000FF"/>
      <w:u w:val="single"/>
    </w:rPr>
  </w:style>
  <w:style w:type="table" w:styleId="TableGrid">
    <w:name w:val="Table Grid"/>
    <w:basedOn w:val="TableNormal"/>
    <w:rsid w:val="00DD7E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5B2E43"/>
    <w:rPr>
      <w:rFonts w:ascii="Arial" w:hAnsi="Arial"/>
      <w:sz w:val="24"/>
      <w:szCs w:val="24"/>
    </w:rPr>
  </w:style>
  <w:style w:type="character" w:customStyle="1" w:styleId="comment-copy">
    <w:name w:val="comment-copy"/>
    <w:rsid w:val="00FE774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95520-9C29-480F-B9C7-C8D160F2E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4244</Words>
  <Characters>57647</Characters>
  <Application>Microsoft Office Word</Application>
  <DocSecurity>0</DocSecurity>
  <Lines>480</Lines>
  <Paragraphs>123</Paragraphs>
  <ScaleCrop>false</ScaleCrop>
  <HeadingPairs>
    <vt:vector size="2" baseType="variant">
      <vt:variant>
        <vt:lpstr>Title</vt:lpstr>
      </vt:variant>
      <vt:variant>
        <vt:i4>1</vt:i4>
      </vt:variant>
    </vt:vector>
  </HeadingPairs>
  <TitlesOfParts>
    <vt:vector size="1" baseType="lpstr">
      <vt:lpstr>Target:</vt:lpstr>
    </vt:vector>
  </TitlesOfParts>
  <Company>Institute of Psychiatry</Company>
  <LinksUpToDate>false</LinksUpToDate>
  <CharactersWithSpaces>61768</CharactersWithSpaces>
  <SharedDoc>false</SharedDoc>
  <HLinks>
    <vt:vector size="204" baseType="variant">
      <vt:variant>
        <vt:i4>4456459</vt:i4>
      </vt:variant>
      <vt:variant>
        <vt:i4>197</vt:i4>
      </vt:variant>
      <vt:variant>
        <vt:i4>0</vt:i4>
      </vt:variant>
      <vt:variant>
        <vt:i4>5</vt:i4>
      </vt:variant>
      <vt:variant>
        <vt:lpwstr/>
      </vt:variant>
      <vt:variant>
        <vt:lpwstr>_ENREF_5</vt:lpwstr>
      </vt:variant>
      <vt:variant>
        <vt:i4>4390923</vt:i4>
      </vt:variant>
      <vt:variant>
        <vt:i4>191</vt:i4>
      </vt:variant>
      <vt:variant>
        <vt:i4>0</vt:i4>
      </vt:variant>
      <vt:variant>
        <vt:i4>5</vt:i4>
      </vt:variant>
      <vt:variant>
        <vt:lpwstr/>
      </vt:variant>
      <vt:variant>
        <vt:lpwstr>_ENREF_22</vt:lpwstr>
      </vt:variant>
      <vt:variant>
        <vt:i4>4390923</vt:i4>
      </vt:variant>
      <vt:variant>
        <vt:i4>185</vt:i4>
      </vt:variant>
      <vt:variant>
        <vt:i4>0</vt:i4>
      </vt:variant>
      <vt:variant>
        <vt:i4>5</vt:i4>
      </vt:variant>
      <vt:variant>
        <vt:lpwstr/>
      </vt:variant>
      <vt:variant>
        <vt:lpwstr>_ENREF_21</vt:lpwstr>
      </vt:variant>
      <vt:variant>
        <vt:i4>4390923</vt:i4>
      </vt:variant>
      <vt:variant>
        <vt:i4>179</vt:i4>
      </vt:variant>
      <vt:variant>
        <vt:i4>0</vt:i4>
      </vt:variant>
      <vt:variant>
        <vt:i4>5</vt:i4>
      </vt:variant>
      <vt:variant>
        <vt:lpwstr/>
      </vt:variant>
      <vt:variant>
        <vt:lpwstr>_ENREF_20</vt:lpwstr>
      </vt:variant>
      <vt:variant>
        <vt:i4>4456459</vt:i4>
      </vt:variant>
      <vt:variant>
        <vt:i4>173</vt:i4>
      </vt:variant>
      <vt:variant>
        <vt:i4>0</vt:i4>
      </vt:variant>
      <vt:variant>
        <vt:i4>5</vt:i4>
      </vt:variant>
      <vt:variant>
        <vt:lpwstr/>
      </vt:variant>
      <vt:variant>
        <vt:lpwstr>_ENREF_5</vt:lpwstr>
      </vt:variant>
      <vt:variant>
        <vt:i4>4325387</vt:i4>
      </vt:variant>
      <vt:variant>
        <vt:i4>167</vt:i4>
      </vt:variant>
      <vt:variant>
        <vt:i4>0</vt:i4>
      </vt:variant>
      <vt:variant>
        <vt:i4>5</vt:i4>
      </vt:variant>
      <vt:variant>
        <vt:lpwstr/>
      </vt:variant>
      <vt:variant>
        <vt:lpwstr>_ENREF_3</vt:lpwstr>
      </vt:variant>
      <vt:variant>
        <vt:i4>4194315</vt:i4>
      </vt:variant>
      <vt:variant>
        <vt:i4>161</vt:i4>
      </vt:variant>
      <vt:variant>
        <vt:i4>0</vt:i4>
      </vt:variant>
      <vt:variant>
        <vt:i4>5</vt:i4>
      </vt:variant>
      <vt:variant>
        <vt:lpwstr/>
      </vt:variant>
      <vt:variant>
        <vt:lpwstr>_ENREF_19</vt:lpwstr>
      </vt:variant>
      <vt:variant>
        <vt:i4>4194315</vt:i4>
      </vt:variant>
      <vt:variant>
        <vt:i4>155</vt:i4>
      </vt:variant>
      <vt:variant>
        <vt:i4>0</vt:i4>
      </vt:variant>
      <vt:variant>
        <vt:i4>5</vt:i4>
      </vt:variant>
      <vt:variant>
        <vt:lpwstr/>
      </vt:variant>
      <vt:variant>
        <vt:lpwstr>_ENREF_18</vt:lpwstr>
      </vt:variant>
      <vt:variant>
        <vt:i4>4194315</vt:i4>
      </vt:variant>
      <vt:variant>
        <vt:i4>149</vt:i4>
      </vt:variant>
      <vt:variant>
        <vt:i4>0</vt:i4>
      </vt:variant>
      <vt:variant>
        <vt:i4>5</vt:i4>
      </vt:variant>
      <vt:variant>
        <vt:lpwstr/>
      </vt:variant>
      <vt:variant>
        <vt:lpwstr>_ENREF_17</vt:lpwstr>
      </vt:variant>
      <vt:variant>
        <vt:i4>4390923</vt:i4>
      </vt:variant>
      <vt:variant>
        <vt:i4>143</vt:i4>
      </vt:variant>
      <vt:variant>
        <vt:i4>0</vt:i4>
      </vt:variant>
      <vt:variant>
        <vt:i4>5</vt:i4>
      </vt:variant>
      <vt:variant>
        <vt:lpwstr/>
      </vt:variant>
      <vt:variant>
        <vt:lpwstr>_ENREF_2</vt:lpwstr>
      </vt:variant>
      <vt:variant>
        <vt:i4>4194315</vt:i4>
      </vt:variant>
      <vt:variant>
        <vt:i4>137</vt:i4>
      </vt:variant>
      <vt:variant>
        <vt:i4>0</vt:i4>
      </vt:variant>
      <vt:variant>
        <vt:i4>5</vt:i4>
      </vt:variant>
      <vt:variant>
        <vt:lpwstr/>
      </vt:variant>
      <vt:variant>
        <vt:lpwstr>_ENREF_16</vt:lpwstr>
      </vt:variant>
      <vt:variant>
        <vt:i4>4194315</vt:i4>
      </vt:variant>
      <vt:variant>
        <vt:i4>131</vt:i4>
      </vt:variant>
      <vt:variant>
        <vt:i4>0</vt:i4>
      </vt:variant>
      <vt:variant>
        <vt:i4>5</vt:i4>
      </vt:variant>
      <vt:variant>
        <vt:lpwstr/>
      </vt:variant>
      <vt:variant>
        <vt:lpwstr>_ENREF_15</vt:lpwstr>
      </vt:variant>
      <vt:variant>
        <vt:i4>4718603</vt:i4>
      </vt:variant>
      <vt:variant>
        <vt:i4>125</vt:i4>
      </vt:variant>
      <vt:variant>
        <vt:i4>0</vt:i4>
      </vt:variant>
      <vt:variant>
        <vt:i4>5</vt:i4>
      </vt:variant>
      <vt:variant>
        <vt:lpwstr/>
      </vt:variant>
      <vt:variant>
        <vt:lpwstr>_ENREF_9</vt:lpwstr>
      </vt:variant>
      <vt:variant>
        <vt:i4>4521995</vt:i4>
      </vt:variant>
      <vt:variant>
        <vt:i4>119</vt:i4>
      </vt:variant>
      <vt:variant>
        <vt:i4>0</vt:i4>
      </vt:variant>
      <vt:variant>
        <vt:i4>5</vt:i4>
      </vt:variant>
      <vt:variant>
        <vt:lpwstr/>
      </vt:variant>
      <vt:variant>
        <vt:lpwstr>_ENREF_4</vt:lpwstr>
      </vt:variant>
      <vt:variant>
        <vt:i4>4456459</vt:i4>
      </vt:variant>
      <vt:variant>
        <vt:i4>113</vt:i4>
      </vt:variant>
      <vt:variant>
        <vt:i4>0</vt:i4>
      </vt:variant>
      <vt:variant>
        <vt:i4>5</vt:i4>
      </vt:variant>
      <vt:variant>
        <vt:lpwstr/>
      </vt:variant>
      <vt:variant>
        <vt:lpwstr>_ENREF_5</vt:lpwstr>
      </vt:variant>
      <vt:variant>
        <vt:i4>4784139</vt:i4>
      </vt:variant>
      <vt:variant>
        <vt:i4>107</vt:i4>
      </vt:variant>
      <vt:variant>
        <vt:i4>0</vt:i4>
      </vt:variant>
      <vt:variant>
        <vt:i4>5</vt:i4>
      </vt:variant>
      <vt:variant>
        <vt:lpwstr/>
      </vt:variant>
      <vt:variant>
        <vt:lpwstr>_ENREF_8</vt:lpwstr>
      </vt:variant>
      <vt:variant>
        <vt:i4>4194315</vt:i4>
      </vt:variant>
      <vt:variant>
        <vt:i4>101</vt:i4>
      </vt:variant>
      <vt:variant>
        <vt:i4>0</vt:i4>
      </vt:variant>
      <vt:variant>
        <vt:i4>5</vt:i4>
      </vt:variant>
      <vt:variant>
        <vt:lpwstr/>
      </vt:variant>
      <vt:variant>
        <vt:lpwstr>_ENREF_14</vt:lpwstr>
      </vt:variant>
      <vt:variant>
        <vt:i4>4194315</vt:i4>
      </vt:variant>
      <vt:variant>
        <vt:i4>95</vt:i4>
      </vt:variant>
      <vt:variant>
        <vt:i4>0</vt:i4>
      </vt:variant>
      <vt:variant>
        <vt:i4>5</vt:i4>
      </vt:variant>
      <vt:variant>
        <vt:lpwstr/>
      </vt:variant>
      <vt:variant>
        <vt:lpwstr>_ENREF_13</vt:lpwstr>
      </vt:variant>
      <vt:variant>
        <vt:i4>4194315</vt:i4>
      </vt:variant>
      <vt:variant>
        <vt:i4>89</vt:i4>
      </vt:variant>
      <vt:variant>
        <vt:i4>0</vt:i4>
      </vt:variant>
      <vt:variant>
        <vt:i4>5</vt:i4>
      </vt:variant>
      <vt:variant>
        <vt:lpwstr/>
      </vt:variant>
      <vt:variant>
        <vt:lpwstr>_ENREF_12</vt:lpwstr>
      </vt:variant>
      <vt:variant>
        <vt:i4>4194315</vt:i4>
      </vt:variant>
      <vt:variant>
        <vt:i4>83</vt:i4>
      </vt:variant>
      <vt:variant>
        <vt:i4>0</vt:i4>
      </vt:variant>
      <vt:variant>
        <vt:i4>5</vt:i4>
      </vt:variant>
      <vt:variant>
        <vt:lpwstr/>
      </vt:variant>
      <vt:variant>
        <vt:lpwstr>_ENREF_11</vt:lpwstr>
      </vt:variant>
      <vt:variant>
        <vt:i4>4194315</vt:i4>
      </vt:variant>
      <vt:variant>
        <vt:i4>77</vt:i4>
      </vt:variant>
      <vt:variant>
        <vt:i4>0</vt:i4>
      </vt:variant>
      <vt:variant>
        <vt:i4>5</vt:i4>
      </vt:variant>
      <vt:variant>
        <vt:lpwstr/>
      </vt:variant>
      <vt:variant>
        <vt:lpwstr>_ENREF_11</vt:lpwstr>
      </vt:variant>
      <vt:variant>
        <vt:i4>4194315</vt:i4>
      </vt:variant>
      <vt:variant>
        <vt:i4>71</vt:i4>
      </vt:variant>
      <vt:variant>
        <vt:i4>0</vt:i4>
      </vt:variant>
      <vt:variant>
        <vt:i4>5</vt:i4>
      </vt:variant>
      <vt:variant>
        <vt:lpwstr/>
      </vt:variant>
      <vt:variant>
        <vt:lpwstr>_ENREF_10</vt:lpwstr>
      </vt:variant>
      <vt:variant>
        <vt:i4>4194315</vt:i4>
      </vt:variant>
      <vt:variant>
        <vt:i4>65</vt:i4>
      </vt:variant>
      <vt:variant>
        <vt:i4>0</vt:i4>
      </vt:variant>
      <vt:variant>
        <vt:i4>5</vt:i4>
      </vt:variant>
      <vt:variant>
        <vt:lpwstr/>
      </vt:variant>
      <vt:variant>
        <vt:lpwstr>_ENREF_10</vt:lpwstr>
      </vt:variant>
      <vt:variant>
        <vt:i4>4784139</vt:i4>
      </vt:variant>
      <vt:variant>
        <vt:i4>59</vt:i4>
      </vt:variant>
      <vt:variant>
        <vt:i4>0</vt:i4>
      </vt:variant>
      <vt:variant>
        <vt:i4>5</vt:i4>
      </vt:variant>
      <vt:variant>
        <vt:lpwstr/>
      </vt:variant>
      <vt:variant>
        <vt:lpwstr>_ENREF_8</vt:lpwstr>
      </vt:variant>
      <vt:variant>
        <vt:i4>4587531</vt:i4>
      </vt:variant>
      <vt:variant>
        <vt:i4>53</vt:i4>
      </vt:variant>
      <vt:variant>
        <vt:i4>0</vt:i4>
      </vt:variant>
      <vt:variant>
        <vt:i4>5</vt:i4>
      </vt:variant>
      <vt:variant>
        <vt:lpwstr/>
      </vt:variant>
      <vt:variant>
        <vt:lpwstr>_ENREF_7</vt:lpwstr>
      </vt:variant>
      <vt:variant>
        <vt:i4>4718603</vt:i4>
      </vt:variant>
      <vt:variant>
        <vt:i4>47</vt:i4>
      </vt:variant>
      <vt:variant>
        <vt:i4>0</vt:i4>
      </vt:variant>
      <vt:variant>
        <vt:i4>5</vt:i4>
      </vt:variant>
      <vt:variant>
        <vt:lpwstr/>
      </vt:variant>
      <vt:variant>
        <vt:lpwstr>_ENREF_9</vt:lpwstr>
      </vt:variant>
      <vt:variant>
        <vt:i4>4784139</vt:i4>
      </vt:variant>
      <vt:variant>
        <vt:i4>41</vt:i4>
      </vt:variant>
      <vt:variant>
        <vt:i4>0</vt:i4>
      </vt:variant>
      <vt:variant>
        <vt:i4>5</vt:i4>
      </vt:variant>
      <vt:variant>
        <vt:lpwstr/>
      </vt:variant>
      <vt:variant>
        <vt:lpwstr>_ENREF_8</vt:lpwstr>
      </vt:variant>
      <vt:variant>
        <vt:i4>4587531</vt:i4>
      </vt:variant>
      <vt:variant>
        <vt:i4>35</vt:i4>
      </vt:variant>
      <vt:variant>
        <vt:i4>0</vt:i4>
      </vt:variant>
      <vt:variant>
        <vt:i4>5</vt:i4>
      </vt:variant>
      <vt:variant>
        <vt:lpwstr/>
      </vt:variant>
      <vt:variant>
        <vt:lpwstr>_ENREF_7</vt:lpwstr>
      </vt:variant>
      <vt:variant>
        <vt:i4>4653067</vt:i4>
      </vt:variant>
      <vt:variant>
        <vt:i4>29</vt:i4>
      </vt:variant>
      <vt:variant>
        <vt:i4>0</vt:i4>
      </vt:variant>
      <vt:variant>
        <vt:i4>5</vt:i4>
      </vt:variant>
      <vt:variant>
        <vt:lpwstr/>
      </vt:variant>
      <vt:variant>
        <vt:lpwstr>_ENREF_6</vt:lpwstr>
      </vt:variant>
      <vt:variant>
        <vt:i4>4456459</vt:i4>
      </vt:variant>
      <vt:variant>
        <vt:i4>26</vt:i4>
      </vt:variant>
      <vt:variant>
        <vt:i4>0</vt:i4>
      </vt:variant>
      <vt:variant>
        <vt:i4>5</vt:i4>
      </vt:variant>
      <vt:variant>
        <vt:lpwstr/>
      </vt:variant>
      <vt:variant>
        <vt:lpwstr>_ENREF_5</vt:lpwstr>
      </vt:variant>
      <vt:variant>
        <vt:i4>4521995</vt:i4>
      </vt:variant>
      <vt:variant>
        <vt:i4>20</vt:i4>
      </vt:variant>
      <vt:variant>
        <vt:i4>0</vt:i4>
      </vt:variant>
      <vt:variant>
        <vt:i4>5</vt:i4>
      </vt:variant>
      <vt:variant>
        <vt:lpwstr/>
      </vt:variant>
      <vt:variant>
        <vt:lpwstr>_ENREF_4</vt:lpwstr>
      </vt:variant>
      <vt:variant>
        <vt:i4>4325387</vt:i4>
      </vt:variant>
      <vt:variant>
        <vt:i4>14</vt:i4>
      </vt:variant>
      <vt:variant>
        <vt:i4>0</vt:i4>
      </vt:variant>
      <vt:variant>
        <vt:i4>5</vt:i4>
      </vt:variant>
      <vt:variant>
        <vt:lpwstr/>
      </vt:variant>
      <vt:variant>
        <vt:lpwstr>_ENREF_3</vt:lpwstr>
      </vt:variant>
      <vt:variant>
        <vt:i4>4390923</vt:i4>
      </vt:variant>
      <vt:variant>
        <vt:i4>8</vt:i4>
      </vt:variant>
      <vt:variant>
        <vt:i4>0</vt:i4>
      </vt:variant>
      <vt:variant>
        <vt:i4>5</vt:i4>
      </vt:variant>
      <vt:variant>
        <vt:lpwstr/>
      </vt:variant>
      <vt:variant>
        <vt:lpwstr>_ENREF_2</vt:lpwstr>
      </vt:variant>
      <vt:variant>
        <vt:i4>4194315</vt:i4>
      </vt:variant>
      <vt:variant>
        <vt:i4>2</vt:i4>
      </vt:variant>
      <vt:variant>
        <vt:i4>0</vt:i4>
      </vt:variant>
      <vt:variant>
        <vt:i4>5</vt:i4>
      </vt:variant>
      <vt:variant>
        <vt:lpwstr/>
      </vt:variant>
      <vt:variant>
        <vt:lpwstr>_ENREF_1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Target:</dc:title>
  <dc:creator>k0929922</dc:creator>
  <cp:lastModifiedBy>Mike</cp:lastModifiedBy>
  <cp:revision>3</cp:revision>
  <cp:lastPrinted>2015-01-29T15:57:00Z</cp:lastPrinted>
  <dcterms:created xsi:type="dcterms:W3CDTF">2015-02-09T12:16:00Z</dcterms:created>
  <dcterms:modified xsi:type="dcterms:W3CDTF">2015-02-14T13:22:00Z</dcterms:modified>
</cp:coreProperties>
</file>