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83" w:rsidRPr="00565183" w:rsidRDefault="006966DF" w:rsidP="00565183">
      <w:pPr>
        <w:rPr>
          <w:b/>
          <w:sz w:val="28"/>
          <w:szCs w:val="28"/>
        </w:rPr>
      </w:pPr>
      <w:bookmarkStart w:id="0" w:name="_GoBack"/>
      <w:r>
        <w:rPr>
          <w:b/>
          <w:sz w:val="28"/>
          <w:szCs w:val="28"/>
        </w:rPr>
        <w:t>R</w:t>
      </w:r>
      <w:r w:rsidR="00565183" w:rsidRPr="00565183">
        <w:rPr>
          <w:b/>
          <w:sz w:val="28"/>
          <w:szCs w:val="28"/>
        </w:rPr>
        <w:t>isk-risk tradeoffs</w:t>
      </w:r>
      <w:r w:rsidR="00565183">
        <w:rPr>
          <w:b/>
          <w:sz w:val="28"/>
          <w:szCs w:val="28"/>
        </w:rPr>
        <w:t xml:space="preserve">: </w:t>
      </w:r>
      <w:r>
        <w:rPr>
          <w:b/>
          <w:sz w:val="28"/>
          <w:szCs w:val="28"/>
        </w:rPr>
        <w:t>What should we do in Europe?</w:t>
      </w:r>
    </w:p>
    <w:bookmarkEnd w:id="0"/>
    <w:p w:rsidR="00565183" w:rsidRDefault="00565183" w:rsidP="00565183">
      <w:pPr>
        <w:rPr>
          <w:sz w:val="28"/>
          <w:szCs w:val="28"/>
        </w:rPr>
      </w:pPr>
    </w:p>
    <w:p w:rsidR="00565183" w:rsidRDefault="00565183" w:rsidP="00565183">
      <w:pPr>
        <w:rPr>
          <w:sz w:val="28"/>
          <w:szCs w:val="28"/>
        </w:rPr>
      </w:pPr>
      <w:r>
        <w:rPr>
          <w:sz w:val="28"/>
          <w:szCs w:val="28"/>
        </w:rPr>
        <w:t xml:space="preserve">By </w:t>
      </w:r>
    </w:p>
    <w:p w:rsidR="00565183" w:rsidRDefault="00565183" w:rsidP="00565183">
      <w:pPr>
        <w:rPr>
          <w:sz w:val="28"/>
          <w:szCs w:val="28"/>
        </w:rPr>
      </w:pPr>
    </w:p>
    <w:p w:rsidR="00565183" w:rsidRDefault="00565183" w:rsidP="00565183">
      <w:pPr>
        <w:rPr>
          <w:sz w:val="28"/>
          <w:szCs w:val="28"/>
        </w:rPr>
      </w:pPr>
      <w:r>
        <w:rPr>
          <w:sz w:val="28"/>
          <w:szCs w:val="28"/>
        </w:rPr>
        <w:t>Ragnar Lofstedt PhD</w:t>
      </w:r>
    </w:p>
    <w:p w:rsidR="00565183" w:rsidRDefault="00565183" w:rsidP="00565183">
      <w:pPr>
        <w:rPr>
          <w:sz w:val="28"/>
          <w:szCs w:val="28"/>
        </w:rPr>
      </w:pPr>
      <w:r>
        <w:rPr>
          <w:sz w:val="28"/>
          <w:szCs w:val="28"/>
        </w:rPr>
        <w:t>Professor of Risk Management</w:t>
      </w:r>
    </w:p>
    <w:p w:rsidR="000335DA" w:rsidRDefault="000335DA" w:rsidP="00565183">
      <w:pPr>
        <w:rPr>
          <w:sz w:val="28"/>
          <w:szCs w:val="28"/>
        </w:rPr>
      </w:pPr>
    </w:p>
    <w:p w:rsidR="000335DA" w:rsidRDefault="000335DA" w:rsidP="00565183">
      <w:pPr>
        <w:rPr>
          <w:sz w:val="28"/>
          <w:szCs w:val="28"/>
        </w:rPr>
      </w:pPr>
      <w:r>
        <w:rPr>
          <w:sz w:val="28"/>
          <w:szCs w:val="28"/>
        </w:rPr>
        <w:t>And</w:t>
      </w:r>
    </w:p>
    <w:p w:rsidR="000335DA" w:rsidRDefault="000335DA" w:rsidP="00565183">
      <w:pPr>
        <w:rPr>
          <w:sz w:val="28"/>
          <w:szCs w:val="28"/>
        </w:rPr>
      </w:pPr>
      <w:r>
        <w:rPr>
          <w:sz w:val="28"/>
          <w:szCs w:val="28"/>
        </w:rPr>
        <w:t>Anne Schlag PhD</w:t>
      </w:r>
    </w:p>
    <w:p w:rsidR="000335DA" w:rsidRDefault="000335DA" w:rsidP="00565183">
      <w:pPr>
        <w:rPr>
          <w:sz w:val="28"/>
          <w:szCs w:val="28"/>
        </w:rPr>
      </w:pPr>
      <w:r>
        <w:rPr>
          <w:sz w:val="28"/>
          <w:szCs w:val="28"/>
        </w:rPr>
        <w:t>Senior Research Fellow</w:t>
      </w:r>
    </w:p>
    <w:p w:rsidR="0034455B" w:rsidRDefault="0034455B" w:rsidP="00565183">
      <w:pPr>
        <w:rPr>
          <w:sz w:val="28"/>
          <w:szCs w:val="28"/>
        </w:rPr>
      </w:pPr>
      <w:r>
        <w:rPr>
          <w:sz w:val="28"/>
          <w:szCs w:val="28"/>
        </w:rPr>
        <w:t>King’s Centre fo</w:t>
      </w:r>
      <w:r w:rsidR="009946DD">
        <w:rPr>
          <w:sz w:val="28"/>
          <w:szCs w:val="28"/>
        </w:rPr>
        <w:t>r</w:t>
      </w:r>
      <w:r>
        <w:rPr>
          <w:sz w:val="28"/>
          <w:szCs w:val="28"/>
        </w:rPr>
        <w:t xml:space="preserve"> Risk Management</w:t>
      </w:r>
    </w:p>
    <w:p w:rsidR="000335DA" w:rsidRDefault="000335DA" w:rsidP="00565183">
      <w:pPr>
        <w:rPr>
          <w:sz w:val="28"/>
          <w:szCs w:val="28"/>
        </w:rPr>
      </w:pPr>
      <w:r>
        <w:rPr>
          <w:sz w:val="28"/>
          <w:szCs w:val="28"/>
        </w:rPr>
        <w:t>Department of Geography</w:t>
      </w:r>
    </w:p>
    <w:p w:rsidR="00565183" w:rsidRDefault="00565183" w:rsidP="00565183">
      <w:pPr>
        <w:rPr>
          <w:sz w:val="28"/>
          <w:szCs w:val="28"/>
        </w:rPr>
      </w:pPr>
      <w:r>
        <w:rPr>
          <w:sz w:val="28"/>
          <w:szCs w:val="28"/>
        </w:rPr>
        <w:t>King’s College London</w:t>
      </w:r>
    </w:p>
    <w:p w:rsidR="0034455B" w:rsidRDefault="0034455B" w:rsidP="00565183">
      <w:pPr>
        <w:rPr>
          <w:sz w:val="28"/>
          <w:szCs w:val="28"/>
        </w:rPr>
      </w:pPr>
    </w:p>
    <w:p w:rsidR="00565183" w:rsidRDefault="000D23D0" w:rsidP="00565183">
      <w:pPr>
        <w:rPr>
          <w:sz w:val="28"/>
          <w:szCs w:val="28"/>
        </w:rPr>
      </w:pPr>
      <w:r>
        <w:rPr>
          <w:sz w:val="28"/>
          <w:szCs w:val="28"/>
        </w:rPr>
        <w:t>Draft:</w:t>
      </w:r>
      <w:r w:rsidR="00330304">
        <w:rPr>
          <w:sz w:val="28"/>
          <w:szCs w:val="28"/>
        </w:rPr>
        <w:t>14</w:t>
      </w:r>
      <w:r w:rsidR="00330304" w:rsidRPr="00BC03E1">
        <w:rPr>
          <w:sz w:val="28"/>
          <w:szCs w:val="28"/>
          <w:vertAlign w:val="superscript"/>
        </w:rPr>
        <w:t xml:space="preserve"> </w:t>
      </w:r>
      <w:r w:rsidR="00BC03E1" w:rsidRPr="00BC03E1">
        <w:rPr>
          <w:sz w:val="28"/>
          <w:szCs w:val="28"/>
          <w:vertAlign w:val="superscript"/>
        </w:rPr>
        <w:t>th</w:t>
      </w:r>
      <w:r w:rsidR="00BC03E1">
        <w:rPr>
          <w:sz w:val="28"/>
          <w:szCs w:val="28"/>
        </w:rPr>
        <w:t xml:space="preserve"> January</w:t>
      </w:r>
      <w:r w:rsidR="00B24B0C">
        <w:rPr>
          <w:sz w:val="28"/>
          <w:szCs w:val="28"/>
        </w:rPr>
        <w:t xml:space="preserve"> </w:t>
      </w:r>
      <w:r w:rsidR="006966DF">
        <w:rPr>
          <w:sz w:val="28"/>
          <w:szCs w:val="28"/>
        </w:rPr>
        <w:t>201</w:t>
      </w:r>
      <w:r w:rsidR="00BC03E1">
        <w:rPr>
          <w:sz w:val="28"/>
          <w:szCs w:val="28"/>
        </w:rPr>
        <w:t>6</w:t>
      </w:r>
    </w:p>
    <w:p w:rsidR="002E16A1" w:rsidRDefault="002E16A1" w:rsidP="00565183">
      <w:pPr>
        <w:rPr>
          <w:sz w:val="28"/>
          <w:szCs w:val="28"/>
        </w:rPr>
      </w:pPr>
    </w:p>
    <w:p w:rsidR="00EF4CB6" w:rsidRDefault="00EF4CB6" w:rsidP="00565183">
      <w:pPr>
        <w:rPr>
          <w:sz w:val="28"/>
          <w:szCs w:val="28"/>
        </w:rPr>
      </w:pPr>
      <w:r>
        <w:rPr>
          <w:sz w:val="28"/>
          <w:szCs w:val="28"/>
        </w:rPr>
        <w:t>Key words: risk-risk tradeoffs, regulation, risk management, Europe</w:t>
      </w:r>
    </w:p>
    <w:p w:rsidR="00EF4CB6" w:rsidRDefault="00EF4CB6" w:rsidP="00565183">
      <w:pPr>
        <w:rPr>
          <w:sz w:val="28"/>
          <w:szCs w:val="28"/>
        </w:rPr>
      </w:pPr>
    </w:p>
    <w:p w:rsidR="00EF4CB6" w:rsidRDefault="00EF4CB6" w:rsidP="00565183">
      <w:pPr>
        <w:rPr>
          <w:sz w:val="28"/>
          <w:szCs w:val="28"/>
        </w:rPr>
      </w:pPr>
      <w:r>
        <w:rPr>
          <w:sz w:val="28"/>
          <w:szCs w:val="28"/>
        </w:rPr>
        <w:t>Abstract</w:t>
      </w:r>
    </w:p>
    <w:p w:rsidR="00EF4CB6" w:rsidRDefault="00EF4CB6" w:rsidP="00565183">
      <w:pPr>
        <w:rPr>
          <w:sz w:val="28"/>
          <w:szCs w:val="28"/>
        </w:rPr>
      </w:pPr>
      <w:r>
        <w:rPr>
          <w:sz w:val="28"/>
          <w:szCs w:val="28"/>
        </w:rPr>
        <w:t xml:space="preserve">Risk-risk tradeoffs occur when a regulator focuses on decreasing one particular risk in one area which leads to another risk appearing elsewhere which was not originally considered.  These risk-risk tradeoffs abound all around us and are frequently ignored by regulators.  In this article we firstly, examine why risk-risk tradeoffs are often ignored.  Secondly we summarize some of the criticisms to the use of risk-risk tradeoffs and then we look at the phenomenon via a number of European based case studies.  In the final section of the paper we put forward </w:t>
      </w:r>
      <w:r w:rsidR="00C917CB">
        <w:rPr>
          <w:sz w:val="28"/>
          <w:szCs w:val="28"/>
        </w:rPr>
        <w:t>a series of recommendations to help regulators to be better equipped in dealing with risk-risk tradeoffs.</w:t>
      </w:r>
      <w:r>
        <w:rPr>
          <w:sz w:val="28"/>
          <w:szCs w:val="28"/>
        </w:rPr>
        <w:t xml:space="preserve"> </w:t>
      </w:r>
    </w:p>
    <w:p w:rsidR="00EF4CB6" w:rsidRDefault="00EF4CB6" w:rsidP="00565183">
      <w:pPr>
        <w:rPr>
          <w:sz w:val="28"/>
          <w:szCs w:val="28"/>
        </w:rPr>
      </w:pPr>
    </w:p>
    <w:p w:rsidR="00565183" w:rsidRPr="00BD29A7" w:rsidRDefault="00565183" w:rsidP="00BD29A7">
      <w:pPr>
        <w:pStyle w:val="ListParagraph"/>
        <w:numPr>
          <w:ilvl w:val="0"/>
          <w:numId w:val="2"/>
        </w:numPr>
        <w:rPr>
          <w:b/>
          <w:sz w:val="28"/>
          <w:szCs w:val="28"/>
        </w:rPr>
      </w:pPr>
      <w:r w:rsidRPr="00BD29A7">
        <w:rPr>
          <w:b/>
          <w:sz w:val="28"/>
          <w:szCs w:val="28"/>
        </w:rPr>
        <w:t>Background</w:t>
      </w:r>
    </w:p>
    <w:p w:rsidR="00565183" w:rsidRPr="007C3567" w:rsidRDefault="00565183" w:rsidP="00565183">
      <w:pPr>
        <w:rPr>
          <w:sz w:val="28"/>
          <w:szCs w:val="28"/>
        </w:rPr>
      </w:pPr>
      <w:r w:rsidRPr="007C3567">
        <w:rPr>
          <w:sz w:val="28"/>
          <w:szCs w:val="28"/>
        </w:rPr>
        <w:t xml:space="preserve">The so called risk-risk tradeoff occurs when a regulator focuses on decreasing one </w:t>
      </w:r>
      <w:r w:rsidR="00757A71">
        <w:rPr>
          <w:sz w:val="28"/>
          <w:szCs w:val="28"/>
        </w:rPr>
        <w:t xml:space="preserve">particular </w:t>
      </w:r>
      <w:r w:rsidRPr="007C3567">
        <w:rPr>
          <w:sz w:val="28"/>
          <w:szCs w:val="28"/>
        </w:rPr>
        <w:t xml:space="preserve">risk </w:t>
      </w:r>
      <w:r w:rsidR="00B15553">
        <w:rPr>
          <w:sz w:val="28"/>
          <w:szCs w:val="28"/>
        </w:rPr>
        <w:t xml:space="preserve">in one area </w:t>
      </w:r>
      <w:r w:rsidR="00757A71">
        <w:rPr>
          <w:sz w:val="28"/>
          <w:szCs w:val="28"/>
        </w:rPr>
        <w:t xml:space="preserve">which leads to another risk appearing elsewhere which was not originally considered.  An example of this </w:t>
      </w:r>
      <w:r w:rsidR="00B15553">
        <w:rPr>
          <w:sz w:val="28"/>
          <w:szCs w:val="28"/>
        </w:rPr>
        <w:t xml:space="preserve">phenomenon </w:t>
      </w:r>
      <w:r w:rsidR="00757A71">
        <w:rPr>
          <w:sz w:val="28"/>
          <w:szCs w:val="28"/>
        </w:rPr>
        <w:t xml:space="preserve">was the US decision to </w:t>
      </w:r>
      <w:r w:rsidRPr="007C3567">
        <w:rPr>
          <w:sz w:val="28"/>
          <w:szCs w:val="28"/>
        </w:rPr>
        <w:t xml:space="preserve">halt the logging of large tracts of the Pacific Northwest to protect the spotted owl </w:t>
      </w:r>
      <w:r w:rsidR="00B24B0C">
        <w:rPr>
          <w:sz w:val="28"/>
          <w:szCs w:val="28"/>
        </w:rPr>
        <w:t xml:space="preserve">which </w:t>
      </w:r>
      <w:r w:rsidR="00757A71">
        <w:rPr>
          <w:sz w:val="28"/>
          <w:szCs w:val="28"/>
        </w:rPr>
        <w:t xml:space="preserve">in turn led to </w:t>
      </w:r>
      <w:r w:rsidRPr="007C3567">
        <w:rPr>
          <w:sz w:val="28"/>
          <w:szCs w:val="28"/>
        </w:rPr>
        <w:t>cellulose being imported from less sustainable sources</w:t>
      </w:r>
      <w:r w:rsidR="003A1772">
        <w:rPr>
          <w:sz w:val="28"/>
          <w:szCs w:val="28"/>
        </w:rPr>
        <w:t xml:space="preserve"> such as Siberia or Brazilian e</w:t>
      </w:r>
      <w:r w:rsidRPr="007C3567">
        <w:rPr>
          <w:sz w:val="28"/>
          <w:szCs w:val="28"/>
        </w:rPr>
        <w:t>u</w:t>
      </w:r>
      <w:r w:rsidR="003A1772">
        <w:rPr>
          <w:sz w:val="28"/>
          <w:szCs w:val="28"/>
        </w:rPr>
        <w:t>ca</w:t>
      </w:r>
      <w:r w:rsidRPr="007C3567">
        <w:rPr>
          <w:sz w:val="28"/>
          <w:szCs w:val="28"/>
        </w:rPr>
        <w:t>lyptus plantations (Graham and Wiener 1995).  The concept builds on risk-risk analysis developed by the late Lester Lave (Lave 1981), and in the words of Graham and Wiener requires policy makers and regulators to:</w:t>
      </w:r>
    </w:p>
    <w:p w:rsidR="00565183" w:rsidRPr="007C3567" w:rsidRDefault="00565183" w:rsidP="00565183">
      <w:pPr>
        <w:pStyle w:val="ListParagraph"/>
        <w:rPr>
          <w:sz w:val="28"/>
          <w:szCs w:val="28"/>
        </w:rPr>
      </w:pPr>
      <w:r w:rsidRPr="007C3567">
        <w:rPr>
          <w:sz w:val="28"/>
          <w:szCs w:val="28"/>
        </w:rPr>
        <w:t>“…evaluate in weighting the comparative importance of target risks and countervailing risks when hard choices must be made.” (Graham and Wiener 1995, p. 19)</w:t>
      </w:r>
    </w:p>
    <w:p w:rsidR="00565183" w:rsidRDefault="00565183" w:rsidP="00565183">
      <w:pPr>
        <w:rPr>
          <w:sz w:val="28"/>
          <w:szCs w:val="28"/>
        </w:rPr>
      </w:pPr>
      <w:r w:rsidRPr="007C3567">
        <w:rPr>
          <w:sz w:val="28"/>
          <w:szCs w:val="28"/>
        </w:rPr>
        <w:lastRenderedPageBreak/>
        <w:t>These risk-risk tradeoffs abound all around us.  They are referred to as side effects in medicine (taking a specific pharmaceutical drug may lead to other health problems), to collateral damage in the military (</w:t>
      </w:r>
      <w:r w:rsidR="0034455B">
        <w:rPr>
          <w:sz w:val="28"/>
          <w:szCs w:val="28"/>
        </w:rPr>
        <w:t xml:space="preserve">the </w:t>
      </w:r>
      <w:r w:rsidRPr="007C3567">
        <w:rPr>
          <w:sz w:val="28"/>
          <w:szCs w:val="28"/>
        </w:rPr>
        <w:t xml:space="preserve">killing of terrorists in Afghanistan also leads to the killing of innocent civilians).  </w:t>
      </w:r>
      <w:r w:rsidR="00DD21CC">
        <w:rPr>
          <w:sz w:val="28"/>
          <w:szCs w:val="28"/>
        </w:rPr>
        <w:t>Over the years there have been a multiple number of studies discussing the prevalence of risk-risk tradeoffs (</w:t>
      </w:r>
      <w:r w:rsidR="0034455B">
        <w:rPr>
          <w:sz w:val="28"/>
          <w:szCs w:val="28"/>
        </w:rPr>
        <w:t xml:space="preserve">see for example </w:t>
      </w:r>
      <w:r w:rsidR="00DD21CC">
        <w:rPr>
          <w:sz w:val="28"/>
          <w:szCs w:val="28"/>
        </w:rPr>
        <w:t>Gayer et al 2000; Graham and Wiener 1995; Hrudey 2009; Kr</w:t>
      </w:r>
      <w:r w:rsidR="00B15553">
        <w:rPr>
          <w:sz w:val="28"/>
          <w:szCs w:val="28"/>
        </w:rPr>
        <w:t xml:space="preserve">epnick and Cropper 1992; </w:t>
      </w:r>
      <w:r w:rsidR="00DD21CC">
        <w:rPr>
          <w:sz w:val="28"/>
          <w:szCs w:val="28"/>
        </w:rPr>
        <w:t>Viscusi et al 1991</w:t>
      </w:r>
      <w:r w:rsidR="00B15553">
        <w:rPr>
          <w:sz w:val="28"/>
          <w:szCs w:val="28"/>
        </w:rPr>
        <w:t>; Viscusi et al 1994</w:t>
      </w:r>
      <w:r w:rsidR="00DD21CC">
        <w:rPr>
          <w:sz w:val="28"/>
          <w:szCs w:val="28"/>
        </w:rPr>
        <w:t>)</w:t>
      </w:r>
    </w:p>
    <w:p w:rsidR="00565183" w:rsidRDefault="00565183" w:rsidP="00565183">
      <w:pPr>
        <w:rPr>
          <w:sz w:val="28"/>
          <w:szCs w:val="28"/>
        </w:rPr>
      </w:pPr>
    </w:p>
    <w:p w:rsidR="00565183" w:rsidRDefault="00565183" w:rsidP="00565183">
      <w:pPr>
        <w:rPr>
          <w:sz w:val="28"/>
          <w:szCs w:val="28"/>
        </w:rPr>
      </w:pPr>
      <w:r w:rsidRPr="007C3567">
        <w:rPr>
          <w:sz w:val="28"/>
          <w:szCs w:val="28"/>
        </w:rPr>
        <w:t>Risk-risk tradeoffs have been and are frequently ignored by regulators, even-though over the years there ha</w:t>
      </w:r>
      <w:r w:rsidR="00B24B0C">
        <w:rPr>
          <w:sz w:val="28"/>
          <w:szCs w:val="28"/>
        </w:rPr>
        <w:t>ve</w:t>
      </w:r>
      <w:r w:rsidRPr="007C3567">
        <w:rPr>
          <w:sz w:val="28"/>
          <w:szCs w:val="28"/>
        </w:rPr>
        <w:t xml:space="preserve"> been a number of studies stating that they need to be properly and systematically addressed (eg</w:t>
      </w:r>
      <w:r w:rsidR="00B24B0C">
        <w:rPr>
          <w:sz w:val="28"/>
          <w:szCs w:val="28"/>
        </w:rPr>
        <w:t>.</w:t>
      </w:r>
      <w:r w:rsidRPr="007C3567">
        <w:rPr>
          <w:sz w:val="28"/>
          <w:szCs w:val="28"/>
        </w:rPr>
        <w:t xml:space="preserve"> Adler </w:t>
      </w:r>
      <w:r w:rsidR="009F5A45">
        <w:rPr>
          <w:sz w:val="28"/>
          <w:szCs w:val="28"/>
        </w:rPr>
        <w:t>1992</w:t>
      </w:r>
      <w:r w:rsidRPr="007C3567">
        <w:rPr>
          <w:sz w:val="28"/>
          <w:szCs w:val="28"/>
        </w:rPr>
        <w:t>; Marchant and Mossman 200</w:t>
      </w:r>
      <w:r w:rsidR="00B15553">
        <w:rPr>
          <w:sz w:val="28"/>
          <w:szCs w:val="28"/>
        </w:rPr>
        <w:t>4</w:t>
      </w:r>
      <w:r w:rsidRPr="007C3567">
        <w:rPr>
          <w:sz w:val="28"/>
          <w:szCs w:val="28"/>
        </w:rPr>
        <w:t>; Whipple 1985).  Th</w:t>
      </w:r>
      <w:r>
        <w:rPr>
          <w:sz w:val="28"/>
          <w:szCs w:val="28"/>
        </w:rPr>
        <w:t>ere are many current examples of th</w:t>
      </w:r>
      <w:r w:rsidRPr="007C3567">
        <w:rPr>
          <w:sz w:val="28"/>
          <w:szCs w:val="28"/>
        </w:rPr>
        <w:t>is</w:t>
      </w:r>
      <w:r>
        <w:rPr>
          <w:sz w:val="28"/>
          <w:szCs w:val="28"/>
        </w:rPr>
        <w:t xml:space="preserve">. </w:t>
      </w:r>
      <w:r w:rsidRPr="007C3567">
        <w:rPr>
          <w:sz w:val="28"/>
          <w:szCs w:val="28"/>
        </w:rPr>
        <w:t xml:space="preserve"> </w:t>
      </w:r>
      <w:r w:rsidR="00E5545B">
        <w:rPr>
          <w:sz w:val="28"/>
          <w:szCs w:val="28"/>
        </w:rPr>
        <w:t xml:space="preserve">One </w:t>
      </w:r>
      <w:r w:rsidR="007B3E82">
        <w:rPr>
          <w:sz w:val="28"/>
          <w:szCs w:val="28"/>
        </w:rPr>
        <w:t xml:space="preserve">example, </w:t>
      </w:r>
      <w:r w:rsidRPr="007C3567">
        <w:rPr>
          <w:sz w:val="28"/>
          <w:szCs w:val="28"/>
        </w:rPr>
        <w:t xml:space="preserve">if we are to phase-out all </w:t>
      </w:r>
      <w:r w:rsidR="006F1487">
        <w:rPr>
          <w:sz w:val="28"/>
          <w:szCs w:val="28"/>
        </w:rPr>
        <w:t xml:space="preserve">substances having possible </w:t>
      </w:r>
      <w:r w:rsidRPr="007C3567">
        <w:rPr>
          <w:sz w:val="28"/>
          <w:szCs w:val="28"/>
        </w:rPr>
        <w:t>endocrine disrupt</w:t>
      </w:r>
      <w:r w:rsidR="006F1487">
        <w:rPr>
          <w:sz w:val="28"/>
          <w:szCs w:val="28"/>
        </w:rPr>
        <w:t>ing effects</w:t>
      </w:r>
      <w:r w:rsidRPr="007C3567">
        <w:rPr>
          <w:sz w:val="28"/>
          <w:szCs w:val="28"/>
        </w:rPr>
        <w:t xml:space="preserve"> based on uncertain science</w:t>
      </w:r>
      <w:r>
        <w:rPr>
          <w:sz w:val="28"/>
          <w:szCs w:val="28"/>
        </w:rPr>
        <w:t xml:space="preserve">, something that </w:t>
      </w:r>
      <w:r w:rsidR="003A1772">
        <w:rPr>
          <w:sz w:val="28"/>
          <w:szCs w:val="28"/>
        </w:rPr>
        <w:t>has</w:t>
      </w:r>
      <w:r>
        <w:rPr>
          <w:sz w:val="28"/>
          <w:szCs w:val="28"/>
        </w:rPr>
        <w:t xml:space="preserve"> be</w:t>
      </w:r>
      <w:r w:rsidR="003A1772">
        <w:rPr>
          <w:sz w:val="28"/>
          <w:szCs w:val="28"/>
        </w:rPr>
        <w:t>en</w:t>
      </w:r>
      <w:r>
        <w:rPr>
          <w:sz w:val="28"/>
          <w:szCs w:val="28"/>
        </w:rPr>
        <w:t xml:space="preserve"> proposed by a number of members of the European Parliament</w:t>
      </w:r>
      <w:r w:rsidR="00104441">
        <w:rPr>
          <w:sz w:val="28"/>
          <w:szCs w:val="28"/>
        </w:rPr>
        <w:t xml:space="preserve"> (</w:t>
      </w:r>
      <w:r w:rsidR="00AE62D8">
        <w:rPr>
          <w:sz w:val="28"/>
          <w:szCs w:val="28"/>
        </w:rPr>
        <w:t>e</w:t>
      </w:r>
      <w:r w:rsidR="00E5545B">
        <w:rPr>
          <w:sz w:val="28"/>
          <w:szCs w:val="28"/>
        </w:rPr>
        <w:t>.</w:t>
      </w:r>
      <w:r w:rsidR="00AE62D8">
        <w:rPr>
          <w:sz w:val="28"/>
          <w:szCs w:val="28"/>
        </w:rPr>
        <w:t>g.</w:t>
      </w:r>
      <w:r w:rsidR="00104441">
        <w:rPr>
          <w:sz w:val="28"/>
          <w:szCs w:val="28"/>
        </w:rPr>
        <w:t>Westlund 2012 and 2013)</w:t>
      </w:r>
      <w:r w:rsidR="00B24B0C">
        <w:rPr>
          <w:sz w:val="28"/>
          <w:szCs w:val="28"/>
        </w:rPr>
        <w:t>,</w:t>
      </w:r>
      <w:r w:rsidRPr="007C3567">
        <w:rPr>
          <w:sz w:val="28"/>
          <w:szCs w:val="28"/>
        </w:rPr>
        <w:t xml:space="preserve"> what are the alternatives</w:t>
      </w:r>
      <w:r w:rsidR="00BD29A7">
        <w:rPr>
          <w:sz w:val="28"/>
          <w:szCs w:val="28"/>
        </w:rPr>
        <w:t xml:space="preserve"> to them</w:t>
      </w:r>
      <w:r w:rsidR="006F1487">
        <w:rPr>
          <w:sz w:val="28"/>
          <w:szCs w:val="28"/>
        </w:rPr>
        <w:t>, in line with the substitution principle</w:t>
      </w:r>
      <w:r w:rsidRPr="007C3567">
        <w:rPr>
          <w:sz w:val="28"/>
          <w:szCs w:val="28"/>
        </w:rPr>
        <w:t xml:space="preserve">?  A number of expert workshops show that the alternatives have been much less studied and </w:t>
      </w:r>
      <w:r w:rsidR="007B3E82">
        <w:rPr>
          <w:sz w:val="28"/>
          <w:szCs w:val="28"/>
        </w:rPr>
        <w:t>analyz</w:t>
      </w:r>
      <w:r w:rsidRPr="007C3567">
        <w:rPr>
          <w:sz w:val="28"/>
          <w:szCs w:val="28"/>
        </w:rPr>
        <w:t>ed and</w:t>
      </w:r>
      <w:r w:rsidR="003A1772">
        <w:rPr>
          <w:sz w:val="28"/>
          <w:szCs w:val="28"/>
        </w:rPr>
        <w:t>,</w:t>
      </w:r>
      <w:r w:rsidRPr="007C3567">
        <w:rPr>
          <w:sz w:val="28"/>
          <w:szCs w:val="28"/>
        </w:rPr>
        <w:t xml:space="preserve"> as a result</w:t>
      </w:r>
      <w:r w:rsidR="003A1772">
        <w:rPr>
          <w:sz w:val="28"/>
          <w:szCs w:val="28"/>
        </w:rPr>
        <w:t>,</w:t>
      </w:r>
      <w:r w:rsidRPr="007C3567">
        <w:rPr>
          <w:sz w:val="28"/>
          <w:szCs w:val="28"/>
        </w:rPr>
        <w:t xml:space="preserve"> there is even more scientific uncertainty associated with the</w:t>
      </w:r>
      <w:r w:rsidR="00482A02">
        <w:rPr>
          <w:sz w:val="28"/>
          <w:szCs w:val="28"/>
        </w:rPr>
        <w:t>m</w:t>
      </w:r>
      <w:r w:rsidRPr="007C3567">
        <w:rPr>
          <w:sz w:val="28"/>
          <w:szCs w:val="28"/>
        </w:rPr>
        <w:t xml:space="preserve"> (e</w:t>
      </w:r>
      <w:r w:rsidR="007B3E82">
        <w:rPr>
          <w:sz w:val="28"/>
          <w:szCs w:val="28"/>
        </w:rPr>
        <w:t>.</w:t>
      </w:r>
      <w:r w:rsidRPr="007C3567">
        <w:rPr>
          <w:sz w:val="28"/>
          <w:szCs w:val="28"/>
        </w:rPr>
        <w:t>g</w:t>
      </w:r>
      <w:r w:rsidR="00482A02">
        <w:rPr>
          <w:sz w:val="28"/>
          <w:szCs w:val="28"/>
        </w:rPr>
        <w:t>.</w:t>
      </w:r>
      <w:r w:rsidRPr="007C3567">
        <w:rPr>
          <w:sz w:val="28"/>
          <w:szCs w:val="28"/>
        </w:rPr>
        <w:t xml:space="preserve"> FAO/WHO 2010).  </w:t>
      </w:r>
    </w:p>
    <w:p w:rsidR="00565183" w:rsidRDefault="00565183" w:rsidP="00565183">
      <w:pPr>
        <w:rPr>
          <w:sz w:val="28"/>
          <w:szCs w:val="28"/>
        </w:rPr>
      </w:pPr>
    </w:p>
    <w:p w:rsidR="00BD29A7" w:rsidRDefault="0034455B" w:rsidP="00565183">
      <w:pPr>
        <w:rPr>
          <w:sz w:val="28"/>
          <w:szCs w:val="28"/>
        </w:rPr>
      </w:pPr>
      <w:r>
        <w:rPr>
          <w:sz w:val="28"/>
          <w:szCs w:val="28"/>
        </w:rPr>
        <w:t>In this article we</w:t>
      </w:r>
      <w:r w:rsidR="00BD29A7">
        <w:rPr>
          <w:sz w:val="28"/>
          <w:szCs w:val="28"/>
        </w:rPr>
        <w:t xml:space="preserve"> shed further light on the use and understanding of risk-risk tradeoffs</w:t>
      </w:r>
      <w:r w:rsidR="009946DD">
        <w:rPr>
          <w:sz w:val="28"/>
          <w:szCs w:val="28"/>
        </w:rPr>
        <w:t xml:space="preserve"> based in part on a number of informal interviews with regulatory officials in a number of European countries</w:t>
      </w:r>
      <w:r w:rsidR="00BD29A7">
        <w:rPr>
          <w:sz w:val="28"/>
          <w:szCs w:val="28"/>
        </w:rPr>
        <w:t xml:space="preserve">.  In the next section </w:t>
      </w:r>
      <w:r>
        <w:rPr>
          <w:sz w:val="28"/>
          <w:szCs w:val="28"/>
        </w:rPr>
        <w:t>we</w:t>
      </w:r>
      <w:r w:rsidR="00BD29A7">
        <w:rPr>
          <w:sz w:val="28"/>
          <w:szCs w:val="28"/>
        </w:rPr>
        <w:t xml:space="preserve"> examine some of the key reasons why r</w:t>
      </w:r>
      <w:r w:rsidR="00B5110D">
        <w:rPr>
          <w:sz w:val="28"/>
          <w:szCs w:val="28"/>
        </w:rPr>
        <w:t>isk-risk tradeoffs are presentl</w:t>
      </w:r>
      <w:r w:rsidR="00B15553">
        <w:rPr>
          <w:sz w:val="28"/>
          <w:szCs w:val="28"/>
        </w:rPr>
        <w:t>y</w:t>
      </w:r>
      <w:r w:rsidR="00BD29A7">
        <w:rPr>
          <w:sz w:val="28"/>
          <w:szCs w:val="28"/>
        </w:rPr>
        <w:t xml:space="preserve"> ignored and in Section 3 </w:t>
      </w:r>
      <w:r>
        <w:rPr>
          <w:sz w:val="28"/>
          <w:szCs w:val="28"/>
        </w:rPr>
        <w:t>we summarize</w:t>
      </w:r>
      <w:r w:rsidR="00BD29A7">
        <w:rPr>
          <w:sz w:val="28"/>
          <w:szCs w:val="28"/>
        </w:rPr>
        <w:t xml:space="preserve"> some of the criticisms and responses to the risk-risk tradeoff paradigm</w:t>
      </w:r>
      <w:r>
        <w:rPr>
          <w:sz w:val="28"/>
          <w:szCs w:val="28"/>
        </w:rPr>
        <w:t>.  S</w:t>
      </w:r>
      <w:r w:rsidR="00BD29A7">
        <w:rPr>
          <w:sz w:val="28"/>
          <w:szCs w:val="28"/>
        </w:rPr>
        <w:t xml:space="preserve">ection 4 </w:t>
      </w:r>
      <w:r>
        <w:rPr>
          <w:sz w:val="28"/>
          <w:szCs w:val="28"/>
        </w:rPr>
        <w:t>discusses</w:t>
      </w:r>
      <w:r w:rsidR="00AE62D8">
        <w:rPr>
          <w:sz w:val="28"/>
          <w:szCs w:val="28"/>
        </w:rPr>
        <w:t xml:space="preserve"> the status of ri</w:t>
      </w:r>
      <w:r w:rsidR="007B3E82">
        <w:rPr>
          <w:sz w:val="28"/>
          <w:szCs w:val="28"/>
        </w:rPr>
        <w:t>sk-risk tradeoffs today and in S</w:t>
      </w:r>
      <w:r w:rsidR="00AE62D8">
        <w:rPr>
          <w:sz w:val="28"/>
          <w:szCs w:val="28"/>
        </w:rPr>
        <w:t xml:space="preserve">ection 5 </w:t>
      </w:r>
      <w:r>
        <w:rPr>
          <w:sz w:val="28"/>
          <w:szCs w:val="28"/>
        </w:rPr>
        <w:t>we</w:t>
      </w:r>
      <w:r w:rsidR="00BD29A7">
        <w:rPr>
          <w:sz w:val="28"/>
          <w:szCs w:val="28"/>
        </w:rPr>
        <w:t xml:space="preserve"> focus on the use of risk-risk tradeoffs through the lens of a number of case studies.  In the final part of the essay </w:t>
      </w:r>
      <w:r>
        <w:rPr>
          <w:sz w:val="28"/>
          <w:szCs w:val="28"/>
        </w:rPr>
        <w:t>we</w:t>
      </w:r>
      <w:r w:rsidR="00BD29A7">
        <w:rPr>
          <w:sz w:val="28"/>
          <w:szCs w:val="28"/>
        </w:rPr>
        <w:t xml:space="preserve"> offer some </w:t>
      </w:r>
      <w:r w:rsidR="00D10DEA">
        <w:rPr>
          <w:sz w:val="28"/>
          <w:szCs w:val="28"/>
        </w:rPr>
        <w:t xml:space="preserve">recommendations for the European Commission and other bodies active in the broader area of regulation on how they can best avoid risk-risk tradeoffs.  </w:t>
      </w:r>
    </w:p>
    <w:p w:rsidR="00D10DEA" w:rsidRDefault="00D10DEA" w:rsidP="00565183">
      <w:pPr>
        <w:rPr>
          <w:sz w:val="28"/>
          <w:szCs w:val="28"/>
        </w:rPr>
      </w:pPr>
    </w:p>
    <w:p w:rsidR="00D10DEA" w:rsidRDefault="00D10DEA" w:rsidP="00565183">
      <w:pPr>
        <w:rPr>
          <w:sz w:val="28"/>
          <w:szCs w:val="28"/>
        </w:rPr>
      </w:pPr>
    </w:p>
    <w:p w:rsidR="00D10DEA" w:rsidRPr="003A1772" w:rsidRDefault="00D10DEA" w:rsidP="00D10DEA">
      <w:pPr>
        <w:pStyle w:val="ListParagraph"/>
        <w:numPr>
          <w:ilvl w:val="0"/>
          <w:numId w:val="2"/>
        </w:numPr>
        <w:rPr>
          <w:b/>
          <w:sz w:val="28"/>
          <w:szCs w:val="28"/>
        </w:rPr>
      </w:pPr>
      <w:r w:rsidRPr="003A1772">
        <w:rPr>
          <w:b/>
          <w:sz w:val="28"/>
          <w:szCs w:val="28"/>
        </w:rPr>
        <w:t xml:space="preserve">Why </w:t>
      </w:r>
      <w:r w:rsidR="00B5110D">
        <w:rPr>
          <w:b/>
          <w:sz w:val="28"/>
          <w:szCs w:val="28"/>
        </w:rPr>
        <w:t xml:space="preserve">are </w:t>
      </w:r>
      <w:r w:rsidRPr="003A1772">
        <w:rPr>
          <w:b/>
          <w:sz w:val="28"/>
          <w:szCs w:val="28"/>
        </w:rPr>
        <w:t xml:space="preserve">risk-risk tradeoffs </w:t>
      </w:r>
      <w:r w:rsidR="009946DD">
        <w:rPr>
          <w:b/>
          <w:sz w:val="28"/>
          <w:szCs w:val="28"/>
        </w:rPr>
        <w:t xml:space="preserve">not </w:t>
      </w:r>
      <w:r w:rsidR="00B5110D">
        <w:rPr>
          <w:b/>
          <w:sz w:val="28"/>
          <w:szCs w:val="28"/>
        </w:rPr>
        <w:t>properly understood and accounted for</w:t>
      </w:r>
      <w:r w:rsidRPr="003A1772">
        <w:rPr>
          <w:b/>
          <w:sz w:val="28"/>
          <w:szCs w:val="28"/>
        </w:rPr>
        <w:t>?</w:t>
      </w:r>
    </w:p>
    <w:p w:rsidR="00565183" w:rsidRDefault="00B5110D" w:rsidP="00565183">
      <w:pPr>
        <w:rPr>
          <w:sz w:val="28"/>
          <w:szCs w:val="28"/>
        </w:rPr>
      </w:pPr>
      <w:r>
        <w:rPr>
          <w:sz w:val="28"/>
          <w:szCs w:val="28"/>
        </w:rPr>
        <w:t xml:space="preserve">One would expect that in an era </w:t>
      </w:r>
      <w:r w:rsidR="00025C1E">
        <w:rPr>
          <w:sz w:val="28"/>
          <w:szCs w:val="28"/>
        </w:rPr>
        <w:t xml:space="preserve">of almost instant communication, the growth of smart phones and the ever more comprehensive and detailed internet </w:t>
      </w:r>
      <w:r>
        <w:rPr>
          <w:sz w:val="28"/>
          <w:szCs w:val="28"/>
        </w:rPr>
        <w:t xml:space="preserve">search engines </w:t>
      </w:r>
      <w:r w:rsidR="00025C1E">
        <w:rPr>
          <w:sz w:val="28"/>
          <w:szCs w:val="28"/>
        </w:rPr>
        <w:t xml:space="preserve">that regulators and other stakeholders would </w:t>
      </w:r>
      <w:r w:rsidR="0034455B">
        <w:rPr>
          <w:sz w:val="28"/>
          <w:szCs w:val="28"/>
        </w:rPr>
        <w:t>be</w:t>
      </w:r>
      <w:r w:rsidR="00025C1E">
        <w:rPr>
          <w:sz w:val="28"/>
          <w:szCs w:val="28"/>
        </w:rPr>
        <w:t xml:space="preserve">tter </w:t>
      </w:r>
      <w:r w:rsidR="007B3E82">
        <w:rPr>
          <w:sz w:val="28"/>
          <w:szCs w:val="28"/>
        </w:rPr>
        <w:t xml:space="preserve">able to </w:t>
      </w:r>
      <w:r w:rsidR="00025C1E">
        <w:rPr>
          <w:sz w:val="28"/>
          <w:szCs w:val="28"/>
        </w:rPr>
        <w:t xml:space="preserve">avoid risk-risk tradeoffs.  </w:t>
      </w:r>
      <w:r w:rsidR="00B0124C">
        <w:rPr>
          <w:sz w:val="28"/>
          <w:szCs w:val="28"/>
        </w:rPr>
        <w:t xml:space="preserve">The digital age, one could assume, would lead to more informed and less ignorant policy makers.  </w:t>
      </w:r>
      <w:r w:rsidR="00025C1E">
        <w:rPr>
          <w:sz w:val="28"/>
          <w:szCs w:val="28"/>
        </w:rPr>
        <w:t xml:space="preserve">This has not occurred.  There are a number of </w:t>
      </w:r>
      <w:r w:rsidR="00565183" w:rsidRPr="007C3567">
        <w:rPr>
          <w:sz w:val="28"/>
          <w:szCs w:val="28"/>
        </w:rPr>
        <w:t xml:space="preserve">key reasons why risk-risk tradeoffs </w:t>
      </w:r>
      <w:r w:rsidR="00B0124C">
        <w:rPr>
          <w:sz w:val="28"/>
          <w:szCs w:val="28"/>
        </w:rPr>
        <w:t>often continue to</w:t>
      </w:r>
      <w:r w:rsidR="00565183" w:rsidRPr="007C3567">
        <w:rPr>
          <w:sz w:val="28"/>
          <w:szCs w:val="28"/>
        </w:rPr>
        <w:t xml:space="preserve"> be ignored</w:t>
      </w:r>
      <w:r w:rsidR="00E5545B">
        <w:rPr>
          <w:sz w:val="28"/>
          <w:szCs w:val="28"/>
        </w:rPr>
        <w:t>,</w:t>
      </w:r>
      <w:r w:rsidR="00565183" w:rsidRPr="007C3567">
        <w:rPr>
          <w:sz w:val="28"/>
          <w:szCs w:val="28"/>
        </w:rPr>
        <w:t xml:space="preserve"> all of which need careful academic attention.</w:t>
      </w:r>
    </w:p>
    <w:p w:rsidR="00025C1E" w:rsidRPr="007C3567" w:rsidRDefault="00025C1E" w:rsidP="00565183">
      <w:pPr>
        <w:rPr>
          <w:sz w:val="28"/>
          <w:szCs w:val="28"/>
        </w:rPr>
      </w:pPr>
    </w:p>
    <w:p w:rsidR="00565183" w:rsidRPr="00892D0A" w:rsidRDefault="00025C1E" w:rsidP="00565183">
      <w:pPr>
        <w:rPr>
          <w:b/>
          <w:sz w:val="28"/>
          <w:szCs w:val="28"/>
        </w:rPr>
      </w:pPr>
      <w:r>
        <w:rPr>
          <w:sz w:val="28"/>
          <w:szCs w:val="28"/>
        </w:rPr>
        <w:t xml:space="preserve">2.1 </w:t>
      </w:r>
      <w:r w:rsidRPr="00892D0A">
        <w:rPr>
          <w:b/>
          <w:sz w:val="28"/>
          <w:szCs w:val="28"/>
        </w:rPr>
        <w:t xml:space="preserve">The problems of unscientific decision making </w:t>
      </w:r>
    </w:p>
    <w:p w:rsidR="000D23D0" w:rsidRDefault="00565183" w:rsidP="00565183">
      <w:pPr>
        <w:rPr>
          <w:sz w:val="28"/>
          <w:szCs w:val="28"/>
        </w:rPr>
      </w:pPr>
      <w:r>
        <w:rPr>
          <w:sz w:val="28"/>
          <w:szCs w:val="28"/>
        </w:rPr>
        <w:lastRenderedPageBreak/>
        <w:t>Firstly, r</w:t>
      </w:r>
      <w:r w:rsidRPr="007C3567">
        <w:rPr>
          <w:sz w:val="28"/>
          <w:szCs w:val="28"/>
        </w:rPr>
        <w:t xml:space="preserve">isk-risk tradeoffs are products of incomplete, often rushed and </w:t>
      </w:r>
      <w:r w:rsidR="00B0124C">
        <w:rPr>
          <w:sz w:val="28"/>
          <w:szCs w:val="28"/>
        </w:rPr>
        <w:t>non-evidence based</w:t>
      </w:r>
      <w:r w:rsidR="00892D0A">
        <w:rPr>
          <w:sz w:val="28"/>
          <w:szCs w:val="28"/>
        </w:rPr>
        <w:t>,</w:t>
      </w:r>
      <w:r w:rsidRPr="007C3567">
        <w:rPr>
          <w:sz w:val="28"/>
          <w:szCs w:val="28"/>
        </w:rPr>
        <w:t xml:space="preserve"> decision making.  Regulations are often suggested or pushed through too quickly without </w:t>
      </w:r>
      <w:r w:rsidR="00B15553">
        <w:rPr>
          <w:sz w:val="28"/>
          <w:szCs w:val="28"/>
        </w:rPr>
        <w:t xml:space="preserve">properly </w:t>
      </w:r>
      <w:r w:rsidRPr="007C3567">
        <w:rPr>
          <w:sz w:val="28"/>
          <w:szCs w:val="28"/>
        </w:rPr>
        <w:t>taking account all the possible consequences, often driven by media</w:t>
      </w:r>
      <w:r w:rsidR="003E5A0C">
        <w:rPr>
          <w:sz w:val="28"/>
          <w:szCs w:val="28"/>
        </w:rPr>
        <w:t xml:space="preserve"> which tend to amplify certain risks (Kasperson et al 1988</w:t>
      </w:r>
      <w:r w:rsidR="0034455B">
        <w:rPr>
          <w:sz w:val="28"/>
          <w:szCs w:val="28"/>
        </w:rPr>
        <w:t>; Pidgeon et al 2003</w:t>
      </w:r>
      <w:r w:rsidR="003E5A0C">
        <w:rPr>
          <w:sz w:val="28"/>
          <w:szCs w:val="28"/>
        </w:rPr>
        <w:t>)</w:t>
      </w:r>
      <w:r w:rsidR="00B24B0C">
        <w:rPr>
          <w:sz w:val="28"/>
          <w:szCs w:val="28"/>
        </w:rPr>
        <w:t xml:space="preserve">.  </w:t>
      </w:r>
      <w:r w:rsidR="0034455B">
        <w:rPr>
          <w:sz w:val="28"/>
          <w:szCs w:val="28"/>
        </w:rPr>
        <w:t xml:space="preserve">Similarly, </w:t>
      </w:r>
      <w:r w:rsidR="00B24B0C">
        <w:rPr>
          <w:sz w:val="28"/>
          <w:szCs w:val="28"/>
        </w:rPr>
        <w:t>in many cases</w:t>
      </w:r>
      <w:r w:rsidRPr="007C3567">
        <w:rPr>
          <w:sz w:val="28"/>
          <w:szCs w:val="28"/>
        </w:rPr>
        <w:t xml:space="preserve"> stakeholder </w:t>
      </w:r>
      <w:r w:rsidR="00892D0A">
        <w:rPr>
          <w:sz w:val="28"/>
          <w:szCs w:val="28"/>
        </w:rPr>
        <w:t>and/</w:t>
      </w:r>
      <w:r w:rsidRPr="007C3567">
        <w:rPr>
          <w:sz w:val="28"/>
          <w:szCs w:val="28"/>
        </w:rPr>
        <w:t xml:space="preserve">or political concerns </w:t>
      </w:r>
      <w:r w:rsidR="00B24B0C">
        <w:rPr>
          <w:sz w:val="28"/>
          <w:szCs w:val="28"/>
        </w:rPr>
        <w:t xml:space="preserve">receive precedent over </w:t>
      </w:r>
      <w:r w:rsidR="00985A2F">
        <w:rPr>
          <w:sz w:val="28"/>
          <w:szCs w:val="28"/>
        </w:rPr>
        <w:t xml:space="preserve">evidence based policy making </w:t>
      </w:r>
      <w:r w:rsidRPr="007C3567">
        <w:rPr>
          <w:sz w:val="28"/>
          <w:szCs w:val="28"/>
        </w:rPr>
        <w:t>(Lave and Males 1989)</w:t>
      </w:r>
      <w:r w:rsidR="00B24B0C">
        <w:rPr>
          <w:sz w:val="28"/>
          <w:szCs w:val="28"/>
        </w:rPr>
        <w:t xml:space="preserve"> which is </w:t>
      </w:r>
      <w:r w:rsidR="00985A2F">
        <w:rPr>
          <w:sz w:val="28"/>
          <w:szCs w:val="28"/>
        </w:rPr>
        <w:t>sometimes referred to the “risk of the month concern”</w:t>
      </w:r>
      <w:r w:rsidRPr="007C3567">
        <w:rPr>
          <w:sz w:val="28"/>
          <w:szCs w:val="28"/>
        </w:rPr>
        <w:t xml:space="preserve">.  </w:t>
      </w:r>
      <w:r w:rsidR="00985A2F">
        <w:rPr>
          <w:sz w:val="28"/>
          <w:szCs w:val="28"/>
        </w:rPr>
        <w:t xml:space="preserve">These incomplete decisions are often made following regulatory scandals, when </w:t>
      </w:r>
      <w:r w:rsidR="00D13C5A">
        <w:rPr>
          <w:sz w:val="28"/>
          <w:szCs w:val="28"/>
        </w:rPr>
        <w:t xml:space="preserve">public trust in regulators is often low (Lofstedt 2005).  One classic example is following the BSE (Mad Cow disease) scandal in the UK, </w:t>
      </w:r>
      <w:r w:rsidR="00B24B0C">
        <w:rPr>
          <w:sz w:val="28"/>
          <w:szCs w:val="28"/>
        </w:rPr>
        <w:t xml:space="preserve">when </w:t>
      </w:r>
      <w:r w:rsidR="00D13C5A">
        <w:rPr>
          <w:sz w:val="28"/>
          <w:szCs w:val="28"/>
        </w:rPr>
        <w:t xml:space="preserve">regulators in England decided to </w:t>
      </w:r>
      <w:r w:rsidR="00B24B0C">
        <w:rPr>
          <w:sz w:val="28"/>
          <w:szCs w:val="28"/>
        </w:rPr>
        <w:t>replace</w:t>
      </w:r>
      <w:r w:rsidR="00D13C5A">
        <w:rPr>
          <w:sz w:val="28"/>
          <w:szCs w:val="28"/>
        </w:rPr>
        <w:t xml:space="preserve"> multiple use surgical equipment for removing tonsils from patients</w:t>
      </w:r>
      <w:r w:rsidR="00B24B0C">
        <w:rPr>
          <w:sz w:val="28"/>
          <w:szCs w:val="28"/>
        </w:rPr>
        <w:t xml:space="preserve"> with</w:t>
      </w:r>
      <w:r w:rsidR="00D13C5A">
        <w:rPr>
          <w:sz w:val="28"/>
          <w:szCs w:val="28"/>
        </w:rPr>
        <w:t xml:space="preserve"> single use surgical equipment as they were concerned about spreading </w:t>
      </w:r>
      <w:r w:rsidR="00B0124C">
        <w:rPr>
          <w:sz w:val="28"/>
          <w:szCs w:val="28"/>
        </w:rPr>
        <w:t>Variant Creutzfeldt-Jakob disease (</w:t>
      </w:r>
      <w:r w:rsidR="00D13C5A">
        <w:rPr>
          <w:sz w:val="28"/>
          <w:szCs w:val="28"/>
        </w:rPr>
        <w:t>vCjD</w:t>
      </w:r>
      <w:r w:rsidR="00B0124C">
        <w:rPr>
          <w:sz w:val="28"/>
          <w:szCs w:val="28"/>
        </w:rPr>
        <w:t>)</w:t>
      </w:r>
      <w:r w:rsidR="00D13C5A">
        <w:rPr>
          <w:sz w:val="28"/>
          <w:szCs w:val="28"/>
        </w:rPr>
        <w:t xml:space="preserve"> from patient to patient.  During the time the short ban was in place, it led </w:t>
      </w:r>
      <w:r w:rsidR="00B24B0C">
        <w:rPr>
          <w:sz w:val="28"/>
          <w:szCs w:val="28"/>
        </w:rPr>
        <w:t xml:space="preserve">to </w:t>
      </w:r>
      <w:r w:rsidR="00D13C5A">
        <w:rPr>
          <w:sz w:val="28"/>
          <w:szCs w:val="28"/>
        </w:rPr>
        <w:t xml:space="preserve">several hundred cases of excess bleedings and </w:t>
      </w:r>
      <w:r w:rsidR="00AE62D8">
        <w:rPr>
          <w:sz w:val="28"/>
          <w:szCs w:val="28"/>
        </w:rPr>
        <w:t>one</w:t>
      </w:r>
      <w:r w:rsidR="00D13C5A">
        <w:rPr>
          <w:sz w:val="28"/>
          <w:szCs w:val="28"/>
        </w:rPr>
        <w:t xml:space="preserve"> patient dying.  After less than a year the ban was revoked, as regulators realized that there was a real risk of patients suffering from single use surgical equipment while with multiple use there was only a statistical </w:t>
      </w:r>
      <w:r w:rsidR="00892D0A">
        <w:rPr>
          <w:sz w:val="28"/>
          <w:szCs w:val="28"/>
        </w:rPr>
        <w:t xml:space="preserve">and </w:t>
      </w:r>
      <w:r w:rsidR="00D13C5A">
        <w:rPr>
          <w:sz w:val="28"/>
          <w:szCs w:val="28"/>
        </w:rPr>
        <w:t xml:space="preserve">not </w:t>
      </w:r>
      <w:r w:rsidR="00892D0A">
        <w:rPr>
          <w:sz w:val="28"/>
          <w:szCs w:val="28"/>
        </w:rPr>
        <w:t xml:space="preserve">a </w:t>
      </w:r>
      <w:r w:rsidR="00D13C5A">
        <w:rPr>
          <w:sz w:val="28"/>
          <w:szCs w:val="28"/>
        </w:rPr>
        <w:t>proven risk of possible vCjD spread (</w:t>
      </w:r>
      <w:r w:rsidR="00AE62D8">
        <w:rPr>
          <w:sz w:val="28"/>
          <w:szCs w:val="28"/>
        </w:rPr>
        <w:t>BBC News 2001</w:t>
      </w:r>
      <w:r w:rsidR="00D13C5A">
        <w:rPr>
          <w:sz w:val="28"/>
          <w:szCs w:val="28"/>
        </w:rPr>
        <w:t xml:space="preserve">).   </w:t>
      </w:r>
    </w:p>
    <w:p w:rsidR="000D23D0" w:rsidRDefault="000D23D0" w:rsidP="00565183">
      <w:pPr>
        <w:rPr>
          <w:sz w:val="28"/>
          <w:szCs w:val="28"/>
        </w:rPr>
      </w:pPr>
    </w:p>
    <w:p w:rsidR="00D13C5A" w:rsidRDefault="00D13C5A" w:rsidP="00565183">
      <w:pPr>
        <w:rPr>
          <w:sz w:val="28"/>
          <w:szCs w:val="28"/>
        </w:rPr>
      </w:pPr>
      <w:r>
        <w:rPr>
          <w:sz w:val="28"/>
          <w:szCs w:val="28"/>
        </w:rPr>
        <w:t xml:space="preserve">2.2 </w:t>
      </w:r>
      <w:r w:rsidRPr="00892D0A">
        <w:rPr>
          <w:b/>
          <w:sz w:val="28"/>
          <w:szCs w:val="28"/>
        </w:rPr>
        <w:t>The growth of bounded specialization</w:t>
      </w:r>
    </w:p>
    <w:p w:rsidR="00565183" w:rsidRPr="007C3567" w:rsidRDefault="00D13C5A" w:rsidP="00565183">
      <w:pPr>
        <w:rPr>
          <w:sz w:val="28"/>
          <w:szCs w:val="28"/>
        </w:rPr>
      </w:pPr>
      <w:r>
        <w:rPr>
          <w:sz w:val="28"/>
          <w:szCs w:val="28"/>
        </w:rPr>
        <w:t>O</w:t>
      </w:r>
      <w:r w:rsidR="00565183" w:rsidRPr="007C3567">
        <w:rPr>
          <w:sz w:val="28"/>
          <w:szCs w:val="28"/>
        </w:rPr>
        <w:t xml:space="preserve">ver the </w:t>
      </w:r>
      <w:r w:rsidR="000D23D0">
        <w:rPr>
          <w:sz w:val="28"/>
          <w:szCs w:val="28"/>
        </w:rPr>
        <w:t xml:space="preserve">past </w:t>
      </w:r>
      <w:r w:rsidR="00565183" w:rsidRPr="007C3567">
        <w:rPr>
          <w:sz w:val="28"/>
          <w:szCs w:val="28"/>
        </w:rPr>
        <w:t>forty years or so there has been a growth of bounded specialization within the regulatory discipline itself (Krier and Brownstein 1992).  That is</w:t>
      </w:r>
      <w:r w:rsidR="00E5545B">
        <w:rPr>
          <w:sz w:val="28"/>
          <w:szCs w:val="28"/>
        </w:rPr>
        <w:t>,</w:t>
      </w:r>
      <w:r w:rsidR="00565183" w:rsidRPr="007C3567">
        <w:rPr>
          <w:sz w:val="28"/>
          <w:szCs w:val="28"/>
        </w:rPr>
        <w:t xml:space="preserve"> as regulatory issues become increasingly complex, regulators themselves focus on dealing with </w:t>
      </w:r>
      <w:r w:rsidR="00B15553">
        <w:rPr>
          <w:sz w:val="28"/>
          <w:szCs w:val="28"/>
        </w:rPr>
        <w:t xml:space="preserve">a </w:t>
      </w:r>
      <w:r w:rsidR="00565183" w:rsidRPr="007C3567">
        <w:rPr>
          <w:sz w:val="28"/>
          <w:szCs w:val="28"/>
        </w:rPr>
        <w:t xml:space="preserve">particular risk issue at hand, blinding the policy makers from the risks that may abound outside his/her specialty area (Graham and Wiener 1995).  </w:t>
      </w:r>
      <w:r w:rsidR="00ED510F">
        <w:rPr>
          <w:sz w:val="28"/>
          <w:szCs w:val="28"/>
        </w:rPr>
        <w:t>These problems are compounded by the fact that</w:t>
      </w:r>
      <w:r w:rsidR="00E5545B">
        <w:rPr>
          <w:sz w:val="28"/>
          <w:szCs w:val="28"/>
        </w:rPr>
        <w:t>, for example,</w:t>
      </w:r>
      <w:r w:rsidR="00ED510F">
        <w:rPr>
          <w:sz w:val="28"/>
          <w:szCs w:val="28"/>
        </w:rPr>
        <w:t xml:space="preserve"> in many cases special interest groups focus on single source pollution end points rather than the broader environmental problem at hand (Viscusi 1998).  </w:t>
      </w:r>
      <w:r w:rsidR="00565183">
        <w:rPr>
          <w:sz w:val="28"/>
          <w:szCs w:val="28"/>
        </w:rPr>
        <w:t>Hence</w:t>
      </w:r>
      <w:r w:rsidR="00482A02">
        <w:rPr>
          <w:sz w:val="28"/>
          <w:szCs w:val="28"/>
        </w:rPr>
        <w:t>,</w:t>
      </w:r>
      <w:r w:rsidR="00565183">
        <w:rPr>
          <w:sz w:val="28"/>
          <w:szCs w:val="28"/>
        </w:rPr>
        <w:t xml:space="preserve"> rather than </w:t>
      </w:r>
      <w:r w:rsidR="00ED510F">
        <w:rPr>
          <w:sz w:val="28"/>
          <w:szCs w:val="28"/>
        </w:rPr>
        <w:t xml:space="preserve">having the Swedish Chemicals agency </w:t>
      </w:r>
      <w:r w:rsidR="00565183">
        <w:rPr>
          <w:sz w:val="28"/>
          <w:szCs w:val="28"/>
        </w:rPr>
        <w:t xml:space="preserve">trying to </w:t>
      </w:r>
      <w:r w:rsidR="00B15553">
        <w:rPr>
          <w:sz w:val="28"/>
          <w:szCs w:val="28"/>
        </w:rPr>
        <w:t>achieve</w:t>
      </w:r>
      <w:r w:rsidR="00ED510F">
        <w:rPr>
          <w:sz w:val="28"/>
          <w:szCs w:val="28"/>
        </w:rPr>
        <w:t xml:space="preserve"> a </w:t>
      </w:r>
      <w:r w:rsidR="00B15553">
        <w:rPr>
          <w:sz w:val="28"/>
          <w:szCs w:val="28"/>
        </w:rPr>
        <w:t>so called “</w:t>
      </w:r>
      <w:r w:rsidR="00ED510F">
        <w:rPr>
          <w:sz w:val="28"/>
          <w:szCs w:val="28"/>
        </w:rPr>
        <w:t>toxic free</w:t>
      </w:r>
      <w:r w:rsidR="00B15553">
        <w:rPr>
          <w:sz w:val="28"/>
          <w:szCs w:val="28"/>
        </w:rPr>
        <w:t>”</w:t>
      </w:r>
      <w:r w:rsidR="00ED510F">
        <w:rPr>
          <w:sz w:val="28"/>
          <w:szCs w:val="28"/>
        </w:rPr>
        <w:t xml:space="preserve"> society by the year 2020,</w:t>
      </w:r>
      <w:r w:rsidR="00565183">
        <w:rPr>
          <w:sz w:val="28"/>
          <w:szCs w:val="28"/>
        </w:rPr>
        <w:t xml:space="preserve"> policy makers there should </w:t>
      </w:r>
      <w:r w:rsidR="00ED510F">
        <w:rPr>
          <w:sz w:val="28"/>
          <w:szCs w:val="28"/>
        </w:rPr>
        <w:t>take</w:t>
      </w:r>
      <w:r w:rsidR="00565183" w:rsidRPr="007C3567">
        <w:rPr>
          <w:sz w:val="28"/>
          <w:szCs w:val="28"/>
        </w:rPr>
        <w:t xml:space="preserve"> a broader picture and focus on the real chemical and food risks affecting the Swedish population</w:t>
      </w:r>
      <w:r w:rsidR="00E5545B">
        <w:rPr>
          <w:sz w:val="28"/>
          <w:szCs w:val="28"/>
        </w:rPr>
        <w:t>,</w:t>
      </w:r>
      <w:r w:rsidR="00565183" w:rsidRPr="007C3567">
        <w:rPr>
          <w:sz w:val="28"/>
          <w:szCs w:val="28"/>
        </w:rPr>
        <w:t xml:space="preserve"> be it </w:t>
      </w:r>
      <w:r w:rsidR="00ED510F">
        <w:rPr>
          <w:sz w:val="28"/>
          <w:szCs w:val="28"/>
        </w:rPr>
        <w:t xml:space="preserve">every day </w:t>
      </w:r>
      <w:r w:rsidR="00565183" w:rsidRPr="007C3567">
        <w:rPr>
          <w:sz w:val="28"/>
          <w:szCs w:val="28"/>
        </w:rPr>
        <w:t xml:space="preserve">food poisonings </w:t>
      </w:r>
      <w:r w:rsidR="00ED510F">
        <w:rPr>
          <w:sz w:val="28"/>
          <w:szCs w:val="28"/>
        </w:rPr>
        <w:t xml:space="preserve">caused by salmonella </w:t>
      </w:r>
      <w:r w:rsidR="00565183" w:rsidRPr="007C3567">
        <w:rPr>
          <w:sz w:val="28"/>
          <w:szCs w:val="28"/>
        </w:rPr>
        <w:t>or being exposed to dioxin in fatty fish caught in the Baltic Sea</w:t>
      </w:r>
      <w:r w:rsidR="00ED510F">
        <w:rPr>
          <w:sz w:val="28"/>
          <w:szCs w:val="28"/>
        </w:rPr>
        <w:t xml:space="preserve"> (</w:t>
      </w:r>
      <w:r w:rsidR="00B15553">
        <w:rPr>
          <w:sz w:val="28"/>
          <w:szCs w:val="28"/>
        </w:rPr>
        <w:t xml:space="preserve">see </w:t>
      </w:r>
      <w:r w:rsidR="00ED510F">
        <w:rPr>
          <w:sz w:val="28"/>
          <w:szCs w:val="28"/>
        </w:rPr>
        <w:t>Lofstedt 2014</w:t>
      </w:r>
      <w:r w:rsidR="00B15553">
        <w:rPr>
          <w:sz w:val="28"/>
          <w:szCs w:val="28"/>
        </w:rPr>
        <w:t xml:space="preserve"> for a discussion</w:t>
      </w:r>
      <w:r w:rsidR="00ED510F">
        <w:rPr>
          <w:sz w:val="28"/>
          <w:szCs w:val="28"/>
        </w:rPr>
        <w:t>)</w:t>
      </w:r>
      <w:r w:rsidR="00565183" w:rsidRPr="007C3567">
        <w:rPr>
          <w:sz w:val="28"/>
          <w:szCs w:val="28"/>
        </w:rPr>
        <w:t>.</w:t>
      </w:r>
    </w:p>
    <w:p w:rsidR="00565183" w:rsidRDefault="00565183" w:rsidP="00565183">
      <w:pPr>
        <w:rPr>
          <w:sz w:val="28"/>
          <w:szCs w:val="28"/>
        </w:rPr>
      </w:pPr>
    </w:p>
    <w:p w:rsidR="00ED510F" w:rsidRDefault="00ED510F" w:rsidP="00565183">
      <w:pPr>
        <w:rPr>
          <w:sz w:val="28"/>
          <w:szCs w:val="28"/>
        </w:rPr>
      </w:pPr>
      <w:r>
        <w:rPr>
          <w:sz w:val="28"/>
          <w:szCs w:val="28"/>
        </w:rPr>
        <w:t xml:space="preserve">2.3 </w:t>
      </w:r>
      <w:r w:rsidRPr="00892D0A">
        <w:rPr>
          <w:b/>
          <w:sz w:val="28"/>
          <w:szCs w:val="28"/>
        </w:rPr>
        <w:t>The role of globalization</w:t>
      </w:r>
    </w:p>
    <w:p w:rsidR="000D23D0" w:rsidRDefault="00ED510F" w:rsidP="00565183">
      <w:pPr>
        <w:rPr>
          <w:sz w:val="28"/>
          <w:szCs w:val="28"/>
        </w:rPr>
      </w:pPr>
      <w:r>
        <w:rPr>
          <w:sz w:val="28"/>
          <w:szCs w:val="28"/>
        </w:rPr>
        <w:t>N</w:t>
      </w:r>
      <w:r w:rsidR="000D23D0">
        <w:rPr>
          <w:sz w:val="28"/>
          <w:szCs w:val="28"/>
        </w:rPr>
        <w:t>ational regulators focus primarily, if not solely, on national risk problems rather than international ones.  Today, there is a growing globalization of manufacturing capacity be it cars or cement, yet in the environmental, food and pharmaceutical areas, we either have national or at most regional (eg EU) regulations and not global ones (Haas et al 1993; Majone 1996).</w:t>
      </w:r>
      <w:r>
        <w:rPr>
          <w:sz w:val="28"/>
          <w:szCs w:val="28"/>
        </w:rPr>
        <w:t xml:space="preserve"> In other words, by putting forward tough regulations in one nation</w:t>
      </w:r>
      <w:r w:rsidR="00E5545B">
        <w:rPr>
          <w:sz w:val="28"/>
          <w:szCs w:val="28"/>
        </w:rPr>
        <w:t>, for</w:t>
      </w:r>
      <w:r>
        <w:rPr>
          <w:sz w:val="28"/>
          <w:szCs w:val="28"/>
        </w:rPr>
        <w:t xml:space="preserve"> a certain manufacturing sector, the risk in question  is often simply </w:t>
      </w:r>
      <w:r w:rsidR="00E5545B">
        <w:rPr>
          <w:sz w:val="28"/>
          <w:szCs w:val="28"/>
        </w:rPr>
        <w:t>“</w:t>
      </w:r>
      <w:r>
        <w:rPr>
          <w:sz w:val="28"/>
          <w:szCs w:val="28"/>
        </w:rPr>
        <w:t>exported</w:t>
      </w:r>
      <w:r w:rsidR="00E5545B">
        <w:rPr>
          <w:sz w:val="28"/>
          <w:szCs w:val="28"/>
        </w:rPr>
        <w:t>”</w:t>
      </w:r>
      <w:r>
        <w:rPr>
          <w:sz w:val="28"/>
          <w:szCs w:val="28"/>
        </w:rPr>
        <w:t xml:space="preserve"> to another nation</w:t>
      </w:r>
      <w:r w:rsidR="00E5545B">
        <w:rPr>
          <w:sz w:val="28"/>
          <w:szCs w:val="28"/>
        </w:rPr>
        <w:t>,</w:t>
      </w:r>
      <w:r>
        <w:rPr>
          <w:sz w:val="28"/>
          <w:szCs w:val="28"/>
        </w:rPr>
        <w:t xml:space="preserve"> at times lead</w:t>
      </w:r>
      <w:r w:rsidR="00E5545B">
        <w:rPr>
          <w:sz w:val="28"/>
          <w:szCs w:val="28"/>
        </w:rPr>
        <w:t>ing</w:t>
      </w:r>
      <w:r>
        <w:rPr>
          <w:sz w:val="28"/>
          <w:szCs w:val="28"/>
        </w:rPr>
        <w:t xml:space="preserve"> to an increased overall risk due to inadequate regulations </w:t>
      </w:r>
      <w:r w:rsidR="00E5545B">
        <w:rPr>
          <w:sz w:val="28"/>
          <w:szCs w:val="28"/>
        </w:rPr>
        <w:t>there</w:t>
      </w:r>
      <w:r>
        <w:rPr>
          <w:sz w:val="28"/>
          <w:szCs w:val="28"/>
        </w:rPr>
        <w:t xml:space="preserve"> (Daley 1993), sometimes referred to as a “risk transfer” (Graham and W</w:t>
      </w:r>
      <w:r w:rsidR="00CE7BA7">
        <w:rPr>
          <w:sz w:val="28"/>
          <w:szCs w:val="28"/>
        </w:rPr>
        <w:t>iener 1995).  Environmental regulations are overall considerably tougher in Europe and North America than the rest of the world.  As a result, the globalization of manufacturing capacity and the export of jobs to China and elsewhere ha</w:t>
      </w:r>
      <w:r w:rsidR="00174AAB">
        <w:rPr>
          <w:sz w:val="28"/>
          <w:szCs w:val="28"/>
        </w:rPr>
        <w:t>ve</w:t>
      </w:r>
      <w:r w:rsidR="00CE7BA7">
        <w:rPr>
          <w:sz w:val="28"/>
          <w:szCs w:val="28"/>
        </w:rPr>
        <w:t xml:space="preserve"> led to greater environmental destruction </w:t>
      </w:r>
      <w:r w:rsidR="00B15553">
        <w:rPr>
          <w:sz w:val="28"/>
          <w:szCs w:val="28"/>
        </w:rPr>
        <w:t xml:space="preserve">on a global scale </w:t>
      </w:r>
      <w:r w:rsidR="00CE7BA7">
        <w:rPr>
          <w:sz w:val="28"/>
          <w:szCs w:val="28"/>
        </w:rPr>
        <w:t>than had those jobs stayed in Europe or North America (Falkner 2008; Scharpf 1995).</w:t>
      </w:r>
    </w:p>
    <w:p w:rsidR="000D23D0" w:rsidRDefault="000D23D0" w:rsidP="00565183">
      <w:pPr>
        <w:rPr>
          <w:sz w:val="28"/>
          <w:szCs w:val="28"/>
        </w:rPr>
      </w:pPr>
    </w:p>
    <w:p w:rsidR="00CE7BA7" w:rsidRDefault="00482A02" w:rsidP="00565183">
      <w:pPr>
        <w:rPr>
          <w:sz w:val="28"/>
          <w:szCs w:val="28"/>
        </w:rPr>
      </w:pPr>
      <w:r>
        <w:rPr>
          <w:sz w:val="28"/>
          <w:szCs w:val="28"/>
        </w:rPr>
        <w:t xml:space="preserve">Because </w:t>
      </w:r>
      <w:r w:rsidR="00892D0A">
        <w:rPr>
          <w:sz w:val="28"/>
          <w:szCs w:val="28"/>
        </w:rPr>
        <w:t xml:space="preserve">of </w:t>
      </w:r>
      <w:r w:rsidR="00B5110D">
        <w:rPr>
          <w:sz w:val="28"/>
          <w:szCs w:val="28"/>
        </w:rPr>
        <w:t xml:space="preserve">these three key </w:t>
      </w:r>
      <w:r w:rsidR="00CE7BA7">
        <w:rPr>
          <w:sz w:val="28"/>
          <w:szCs w:val="28"/>
        </w:rPr>
        <w:t>reasons r</w:t>
      </w:r>
      <w:r w:rsidR="00565183" w:rsidRPr="007C3567">
        <w:rPr>
          <w:sz w:val="28"/>
          <w:szCs w:val="28"/>
        </w:rPr>
        <w:t xml:space="preserve">isk-risk tradeoffs are </w:t>
      </w:r>
      <w:r w:rsidR="00565183">
        <w:rPr>
          <w:sz w:val="28"/>
          <w:szCs w:val="28"/>
        </w:rPr>
        <w:t xml:space="preserve">presently </w:t>
      </w:r>
      <w:r w:rsidR="00CE7BA7">
        <w:rPr>
          <w:sz w:val="28"/>
          <w:szCs w:val="28"/>
        </w:rPr>
        <w:t>not properly under</w:t>
      </w:r>
      <w:r w:rsidR="00565183" w:rsidRPr="007C3567">
        <w:rPr>
          <w:sz w:val="28"/>
          <w:szCs w:val="28"/>
        </w:rPr>
        <w:t>stood by European regulators</w:t>
      </w:r>
      <w:r w:rsidR="000D23D0">
        <w:rPr>
          <w:sz w:val="28"/>
          <w:szCs w:val="28"/>
        </w:rPr>
        <w:t>, policy makers</w:t>
      </w:r>
      <w:r w:rsidR="00565183" w:rsidRPr="007C3567">
        <w:rPr>
          <w:sz w:val="28"/>
          <w:szCs w:val="28"/>
        </w:rPr>
        <w:t xml:space="preserve"> and stakeholders.  </w:t>
      </w:r>
      <w:r w:rsidR="00CE7BA7">
        <w:rPr>
          <w:sz w:val="28"/>
          <w:szCs w:val="28"/>
        </w:rPr>
        <w:t xml:space="preserve">In doing </w:t>
      </w:r>
      <w:r w:rsidR="009946DD">
        <w:rPr>
          <w:sz w:val="28"/>
          <w:szCs w:val="28"/>
        </w:rPr>
        <w:t xml:space="preserve">informal </w:t>
      </w:r>
      <w:r w:rsidR="00CE7BA7">
        <w:rPr>
          <w:sz w:val="28"/>
          <w:szCs w:val="28"/>
        </w:rPr>
        <w:t xml:space="preserve">interviews for this paper, for example, </w:t>
      </w:r>
      <w:r w:rsidR="0034455B">
        <w:rPr>
          <w:sz w:val="28"/>
          <w:szCs w:val="28"/>
        </w:rPr>
        <w:t>we</w:t>
      </w:r>
      <w:r w:rsidR="00CE7BA7">
        <w:rPr>
          <w:sz w:val="28"/>
          <w:szCs w:val="28"/>
        </w:rPr>
        <w:t xml:space="preserve"> saw a number of examples of the </w:t>
      </w:r>
      <w:r w:rsidR="00E5545B">
        <w:rPr>
          <w:sz w:val="28"/>
          <w:szCs w:val="28"/>
        </w:rPr>
        <w:t>‘</w:t>
      </w:r>
      <w:r w:rsidR="00CE7BA7">
        <w:rPr>
          <w:sz w:val="28"/>
          <w:szCs w:val="28"/>
        </w:rPr>
        <w:t>silo mentality</w:t>
      </w:r>
      <w:r w:rsidR="00E5545B">
        <w:rPr>
          <w:sz w:val="28"/>
          <w:szCs w:val="28"/>
        </w:rPr>
        <w:t>’</w:t>
      </w:r>
      <w:r w:rsidR="00CE7BA7">
        <w:rPr>
          <w:sz w:val="28"/>
          <w:szCs w:val="28"/>
        </w:rPr>
        <w:t>.  Regulators at the Swedish Food Agency (SFA), for example, were unable to come to an agreement on how to best to regulate chemicals with their colleagues at the Swedish Chemicals Agency (SCA).  SFA wanted to use a strict risk analysis approach while the SCA preferred using hazard classifications (Lofstedt 201</w:t>
      </w:r>
      <w:r w:rsidR="00B15553">
        <w:rPr>
          <w:sz w:val="28"/>
          <w:szCs w:val="28"/>
        </w:rPr>
        <w:t>4</w:t>
      </w:r>
      <w:r w:rsidR="00CE7BA7">
        <w:rPr>
          <w:sz w:val="28"/>
          <w:szCs w:val="28"/>
        </w:rPr>
        <w:t xml:space="preserve">).  </w:t>
      </w:r>
      <w:r w:rsidR="00B5110D">
        <w:rPr>
          <w:sz w:val="28"/>
          <w:szCs w:val="28"/>
        </w:rPr>
        <w:t>The reason for these differences came down to the fact that the two Agencies had different political mandates</w:t>
      </w:r>
      <w:r w:rsidR="00B15553">
        <w:rPr>
          <w:sz w:val="28"/>
          <w:szCs w:val="28"/>
        </w:rPr>
        <w:t>.</w:t>
      </w:r>
    </w:p>
    <w:p w:rsidR="00CE7BA7" w:rsidRDefault="00CE7BA7" w:rsidP="00565183">
      <w:pPr>
        <w:rPr>
          <w:sz w:val="28"/>
          <w:szCs w:val="28"/>
        </w:rPr>
      </w:pPr>
    </w:p>
    <w:p w:rsidR="00DD0071" w:rsidRDefault="00DD0071" w:rsidP="00565183">
      <w:pPr>
        <w:rPr>
          <w:sz w:val="28"/>
          <w:szCs w:val="28"/>
        </w:rPr>
      </w:pPr>
      <w:r>
        <w:rPr>
          <w:sz w:val="28"/>
          <w:szCs w:val="28"/>
        </w:rPr>
        <w:t>Not all academics active in the risk area</w:t>
      </w:r>
      <w:r w:rsidR="00174AAB">
        <w:rPr>
          <w:sz w:val="28"/>
          <w:szCs w:val="28"/>
        </w:rPr>
        <w:t xml:space="preserve">, however, </w:t>
      </w:r>
      <w:r>
        <w:rPr>
          <w:sz w:val="28"/>
          <w:szCs w:val="28"/>
        </w:rPr>
        <w:t xml:space="preserve">believe that there are risk-risk tradeoffs and that something </w:t>
      </w:r>
      <w:r w:rsidR="00482A02">
        <w:rPr>
          <w:sz w:val="28"/>
          <w:szCs w:val="28"/>
        </w:rPr>
        <w:t xml:space="preserve">actually </w:t>
      </w:r>
      <w:r>
        <w:rPr>
          <w:sz w:val="28"/>
          <w:szCs w:val="28"/>
        </w:rPr>
        <w:t>needs to be done about them.  This is discussed in the next session.</w:t>
      </w:r>
    </w:p>
    <w:p w:rsidR="00174AAB" w:rsidRDefault="00174AAB" w:rsidP="00565183">
      <w:pPr>
        <w:rPr>
          <w:sz w:val="28"/>
          <w:szCs w:val="28"/>
        </w:rPr>
      </w:pPr>
    </w:p>
    <w:p w:rsidR="00DD0071" w:rsidRPr="009946DD" w:rsidRDefault="00DD0071" w:rsidP="00DD0071">
      <w:pPr>
        <w:pStyle w:val="ListParagraph"/>
        <w:numPr>
          <w:ilvl w:val="0"/>
          <w:numId w:val="2"/>
        </w:numPr>
        <w:rPr>
          <w:b/>
          <w:sz w:val="28"/>
          <w:szCs w:val="28"/>
        </w:rPr>
      </w:pPr>
      <w:r>
        <w:rPr>
          <w:sz w:val="28"/>
          <w:szCs w:val="28"/>
        </w:rPr>
        <w:t xml:space="preserve"> </w:t>
      </w:r>
      <w:r w:rsidR="009946DD" w:rsidRPr="009946DD">
        <w:rPr>
          <w:b/>
          <w:sz w:val="28"/>
          <w:szCs w:val="28"/>
        </w:rPr>
        <w:t>Critics to risk-risk tradeoffs</w:t>
      </w:r>
    </w:p>
    <w:p w:rsidR="0096028A" w:rsidRDefault="00D65BFB" w:rsidP="000A1587">
      <w:pPr>
        <w:rPr>
          <w:sz w:val="28"/>
          <w:szCs w:val="28"/>
        </w:rPr>
      </w:pPr>
      <w:r w:rsidRPr="000A1587">
        <w:rPr>
          <w:sz w:val="28"/>
          <w:szCs w:val="28"/>
        </w:rPr>
        <w:t xml:space="preserve">There has been some </w:t>
      </w:r>
      <w:r w:rsidR="009946DD">
        <w:rPr>
          <w:sz w:val="28"/>
          <w:szCs w:val="28"/>
        </w:rPr>
        <w:t xml:space="preserve">academic </w:t>
      </w:r>
      <w:r w:rsidRPr="000A1587">
        <w:rPr>
          <w:sz w:val="28"/>
          <w:szCs w:val="28"/>
        </w:rPr>
        <w:t>debate regarding the merits of risk-risk tradeoffs</w:t>
      </w:r>
      <w:r w:rsidR="009946DD">
        <w:rPr>
          <w:sz w:val="28"/>
          <w:szCs w:val="28"/>
        </w:rPr>
        <w:t>.</w:t>
      </w:r>
      <w:r w:rsidRPr="000A1587">
        <w:rPr>
          <w:sz w:val="28"/>
          <w:szCs w:val="28"/>
        </w:rPr>
        <w:t xml:space="preserve">  One group of critics argue that the proponents of risk-risk tradeoffs either fail to provide good examples to support their case or that the examples the proponents use are </w:t>
      </w:r>
      <w:r w:rsidR="00B0124C">
        <w:rPr>
          <w:sz w:val="28"/>
          <w:szCs w:val="28"/>
        </w:rPr>
        <w:t>incorrectly</w:t>
      </w:r>
      <w:r w:rsidRPr="000A1587">
        <w:rPr>
          <w:sz w:val="28"/>
          <w:szCs w:val="28"/>
        </w:rPr>
        <w:t xml:space="preserve"> labelled as risk-risk tradeoffs when they are </w:t>
      </w:r>
      <w:r w:rsidR="00482A02">
        <w:rPr>
          <w:sz w:val="28"/>
          <w:szCs w:val="28"/>
        </w:rPr>
        <w:t xml:space="preserve">actually </w:t>
      </w:r>
      <w:r w:rsidRPr="000A1587">
        <w:rPr>
          <w:sz w:val="28"/>
          <w:szCs w:val="28"/>
        </w:rPr>
        <w:t xml:space="preserve">not (Hansen et al 2008; Hansen and Tickner 2008).  One case that Hansen et al raises </w:t>
      </w:r>
      <w:r w:rsidR="00130D77">
        <w:rPr>
          <w:sz w:val="28"/>
          <w:szCs w:val="28"/>
        </w:rPr>
        <w:t>as “not a good example” is the risk-risk tradeoff of increased highway fatalities  caused by less effective brake lining</w:t>
      </w:r>
      <w:r w:rsidR="00B15553">
        <w:rPr>
          <w:sz w:val="28"/>
          <w:szCs w:val="28"/>
        </w:rPr>
        <w:t>s</w:t>
      </w:r>
      <w:r w:rsidR="00130D77">
        <w:rPr>
          <w:sz w:val="28"/>
          <w:szCs w:val="28"/>
        </w:rPr>
        <w:t xml:space="preserve"> that came on the market following the ban of asbestos brake linings.  They note that this is a bad example as there is not enough evidence provided for this risk-risk tradeoff.  Similarly</w:t>
      </w:r>
      <w:r w:rsidR="0096028A">
        <w:rPr>
          <w:sz w:val="28"/>
          <w:szCs w:val="28"/>
        </w:rPr>
        <w:t>, Hansen et al argue that</w:t>
      </w:r>
      <w:r w:rsidR="00130D77">
        <w:rPr>
          <w:sz w:val="28"/>
          <w:szCs w:val="28"/>
        </w:rPr>
        <w:t xml:space="preserve"> </w:t>
      </w:r>
      <w:r w:rsidR="0096028A">
        <w:rPr>
          <w:sz w:val="28"/>
          <w:szCs w:val="28"/>
        </w:rPr>
        <w:t>the possible risk-risk trade-off occurring when workers become injured or killed cleaning up hazard waste sites a</w:t>
      </w:r>
      <w:r w:rsidR="00E5545B">
        <w:rPr>
          <w:sz w:val="28"/>
          <w:szCs w:val="28"/>
        </w:rPr>
        <w:t>re</w:t>
      </w:r>
      <w:r w:rsidR="0096028A">
        <w:rPr>
          <w:sz w:val="28"/>
          <w:szCs w:val="28"/>
        </w:rPr>
        <w:t xml:space="preserve"> “hypothetical” as there is no data/statistics available with regard to occupational death or injuries associated with waste site remediation.   </w:t>
      </w:r>
    </w:p>
    <w:p w:rsidR="0096028A" w:rsidRDefault="0096028A" w:rsidP="000A1587">
      <w:pPr>
        <w:rPr>
          <w:sz w:val="28"/>
          <w:szCs w:val="28"/>
        </w:rPr>
      </w:pPr>
    </w:p>
    <w:p w:rsidR="00800EDC" w:rsidRDefault="00800EDC" w:rsidP="000A1587">
      <w:pPr>
        <w:rPr>
          <w:sz w:val="28"/>
          <w:szCs w:val="28"/>
        </w:rPr>
      </w:pPr>
    </w:p>
    <w:p w:rsidR="00130D77" w:rsidRDefault="000A1587" w:rsidP="000A1587">
      <w:pPr>
        <w:rPr>
          <w:sz w:val="28"/>
          <w:szCs w:val="28"/>
        </w:rPr>
      </w:pPr>
      <w:r w:rsidRPr="000A1587">
        <w:rPr>
          <w:sz w:val="28"/>
          <w:szCs w:val="28"/>
        </w:rPr>
        <w:t xml:space="preserve">In </w:t>
      </w:r>
      <w:r w:rsidR="00800EDC">
        <w:rPr>
          <w:sz w:val="28"/>
          <w:szCs w:val="28"/>
        </w:rPr>
        <w:t xml:space="preserve">a </w:t>
      </w:r>
      <w:r w:rsidRPr="000A1587">
        <w:rPr>
          <w:sz w:val="28"/>
          <w:szCs w:val="28"/>
        </w:rPr>
        <w:t xml:space="preserve">reply to this article and the subsequent commentary Graham and Wiener </w:t>
      </w:r>
      <w:r w:rsidR="00130D77">
        <w:rPr>
          <w:sz w:val="28"/>
          <w:szCs w:val="28"/>
        </w:rPr>
        <w:t xml:space="preserve">dismiss the arguments made by </w:t>
      </w:r>
      <w:r w:rsidRPr="000A1587">
        <w:rPr>
          <w:sz w:val="28"/>
          <w:szCs w:val="28"/>
        </w:rPr>
        <w:t xml:space="preserve">Hansen et al 2008 </w:t>
      </w:r>
      <w:r w:rsidR="00130D77">
        <w:rPr>
          <w:sz w:val="28"/>
          <w:szCs w:val="28"/>
        </w:rPr>
        <w:t>arguing that:</w:t>
      </w:r>
    </w:p>
    <w:p w:rsidR="0096028A" w:rsidRDefault="00130D77" w:rsidP="00130D77">
      <w:pPr>
        <w:ind w:left="720"/>
        <w:rPr>
          <w:sz w:val="28"/>
          <w:szCs w:val="28"/>
        </w:rPr>
      </w:pPr>
      <w:r>
        <w:rPr>
          <w:sz w:val="28"/>
          <w:szCs w:val="28"/>
        </w:rPr>
        <w:t>“…Hansen et al do not show that few risk-risk tradeoffs are ‘real’. On the contrary, their own data show that many such cases are worthy of policy attention.  The criteria that Hansen et al use for selecting their sample and for characterizing the cases within their sample are problematic…</w:t>
      </w:r>
      <w:r w:rsidR="0096028A">
        <w:rPr>
          <w:sz w:val="28"/>
          <w:szCs w:val="28"/>
        </w:rPr>
        <w:t xml:space="preserve"> Moreover Hansen et al are simply incorrect in their dismissal of several cases (Graham and Wiener 2008, p.472)</w:t>
      </w:r>
    </w:p>
    <w:p w:rsidR="000A1587" w:rsidRPr="000A1587" w:rsidRDefault="0096028A" w:rsidP="000A1587">
      <w:pPr>
        <w:rPr>
          <w:sz w:val="28"/>
          <w:szCs w:val="28"/>
        </w:rPr>
      </w:pPr>
      <w:r>
        <w:rPr>
          <w:sz w:val="28"/>
          <w:szCs w:val="28"/>
        </w:rPr>
        <w:t>For example, with regard to the above mentioned brake lining example Graham and Wiener argue that not only did Hansen et al ignore the longer discussion on this case study in Graham and Wiener 1995 (1995, p.15) but also the extended discussion in the federal court decision on the same topic that was highlighted in Graham and Wiener namely (</w:t>
      </w:r>
      <w:r w:rsidRPr="00B15553">
        <w:rPr>
          <w:i/>
          <w:sz w:val="28"/>
          <w:szCs w:val="28"/>
        </w:rPr>
        <w:t>Corrosion Proof Fittings vs US EPA, 947 F.2d 1201</w:t>
      </w:r>
      <w:r>
        <w:rPr>
          <w:sz w:val="28"/>
          <w:szCs w:val="28"/>
        </w:rPr>
        <w:t xml:space="preserve"> (5</w:t>
      </w:r>
      <w:r w:rsidRPr="0096028A">
        <w:rPr>
          <w:sz w:val="28"/>
          <w:szCs w:val="28"/>
          <w:vertAlign w:val="superscript"/>
        </w:rPr>
        <w:t>th</w:t>
      </w:r>
      <w:r>
        <w:rPr>
          <w:sz w:val="28"/>
          <w:szCs w:val="28"/>
        </w:rPr>
        <w:t xml:space="preserve"> Cir. 1991).   </w:t>
      </w:r>
      <w:r w:rsidR="000A1587" w:rsidRPr="000A1587">
        <w:rPr>
          <w:sz w:val="28"/>
          <w:szCs w:val="28"/>
        </w:rPr>
        <w:t xml:space="preserve">In other words the whole discussion of bad examples and </w:t>
      </w:r>
      <w:r w:rsidR="00B0124C">
        <w:rPr>
          <w:sz w:val="28"/>
          <w:szCs w:val="28"/>
        </w:rPr>
        <w:t>scientific misinterpretations</w:t>
      </w:r>
      <w:r w:rsidR="000A1587" w:rsidRPr="000A1587">
        <w:rPr>
          <w:sz w:val="28"/>
          <w:szCs w:val="28"/>
        </w:rPr>
        <w:t>, according to Graham and Wiener</w:t>
      </w:r>
      <w:r w:rsidR="00564AB1">
        <w:rPr>
          <w:sz w:val="28"/>
          <w:szCs w:val="28"/>
        </w:rPr>
        <w:t>,</w:t>
      </w:r>
      <w:r w:rsidR="000A1587" w:rsidRPr="000A1587">
        <w:rPr>
          <w:sz w:val="28"/>
          <w:szCs w:val="28"/>
        </w:rPr>
        <w:t xml:space="preserve"> simply do not add up (Graham and Wiener 2008a and b).</w:t>
      </w:r>
    </w:p>
    <w:p w:rsidR="000A1587" w:rsidRDefault="000A1587" w:rsidP="00D65BFB">
      <w:pPr>
        <w:pStyle w:val="ListParagraph"/>
        <w:rPr>
          <w:sz w:val="28"/>
          <w:szCs w:val="28"/>
        </w:rPr>
      </w:pPr>
    </w:p>
    <w:p w:rsidR="005254E9" w:rsidRDefault="00DF79A0" w:rsidP="000A1587">
      <w:pPr>
        <w:rPr>
          <w:sz w:val="28"/>
          <w:szCs w:val="28"/>
        </w:rPr>
      </w:pPr>
      <w:r>
        <w:rPr>
          <w:sz w:val="28"/>
          <w:szCs w:val="28"/>
        </w:rPr>
        <w:t>Other critics of risk-risk tradeoffs argue that its proponents are biased against environmental regulation.  In other words, the critics argue, the proponents want less rather than more regulation (Steel 2015).  At the root of this claim is an in-depth analysis by Revesz and Livermore which note that on the whole proponents of risk-risk tradeoffs focus solely on the risks of these tradeoffs thereby ignoring ancillary benefits (Revesz and Livermore 2008, p.55-</w:t>
      </w:r>
      <w:r w:rsidR="005254E9">
        <w:rPr>
          <w:sz w:val="28"/>
          <w:szCs w:val="28"/>
        </w:rPr>
        <w:t xml:space="preserve">65).  There is some truth to this argument.  </w:t>
      </w:r>
      <w:r w:rsidR="00D9446B">
        <w:rPr>
          <w:sz w:val="28"/>
          <w:szCs w:val="28"/>
        </w:rPr>
        <w:t xml:space="preserve">A number of </w:t>
      </w:r>
      <w:r w:rsidR="005254E9">
        <w:rPr>
          <w:sz w:val="28"/>
          <w:szCs w:val="28"/>
        </w:rPr>
        <w:t>the proponents of risk-risk tradeoffs have focused more of their attention on the risk aspects rather than the possible benefits (eg Sun</w:t>
      </w:r>
      <w:r w:rsidR="00F12A48">
        <w:rPr>
          <w:sz w:val="28"/>
          <w:szCs w:val="28"/>
        </w:rPr>
        <w:t>stein 1996; Viscusi 1996).  As C</w:t>
      </w:r>
      <w:r w:rsidR="005254E9">
        <w:rPr>
          <w:sz w:val="28"/>
          <w:szCs w:val="28"/>
        </w:rPr>
        <w:t>ass Sunstein argues in the forward to Graham and Wiener’s seminal book:</w:t>
      </w:r>
    </w:p>
    <w:p w:rsidR="005254E9" w:rsidRDefault="005254E9" w:rsidP="00F12A48">
      <w:pPr>
        <w:ind w:left="720"/>
        <w:rPr>
          <w:sz w:val="28"/>
          <w:szCs w:val="28"/>
        </w:rPr>
      </w:pPr>
      <w:r>
        <w:rPr>
          <w:sz w:val="28"/>
          <w:szCs w:val="28"/>
        </w:rPr>
        <w:t>“If government imposes environmental regulation on companies, it may decrease some environmental risks.  But these very regulations</w:t>
      </w:r>
      <w:r w:rsidR="00F12A48">
        <w:rPr>
          <w:sz w:val="28"/>
          <w:szCs w:val="28"/>
        </w:rPr>
        <w:t xml:space="preserve"> may increase other environmental risks or shift risks to other areas.” (Sunstein 1995, p. viii).</w:t>
      </w:r>
    </w:p>
    <w:p w:rsidR="00F12A48" w:rsidRDefault="00F12A48" w:rsidP="000A1587">
      <w:pPr>
        <w:rPr>
          <w:sz w:val="28"/>
          <w:szCs w:val="28"/>
        </w:rPr>
      </w:pPr>
      <w:r>
        <w:rPr>
          <w:sz w:val="28"/>
          <w:szCs w:val="28"/>
        </w:rPr>
        <w:t xml:space="preserve">Reading this quote there is no mention of </w:t>
      </w:r>
      <w:r w:rsidR="00B0124C">
        <w:rPr>
          <w:sz w:val="28"/>
          <w:szCs w:val="28"/>
        </w:rPr>
        <w:t>unintended a</w:t>
      </w:r>
      <w:r>
        <w:rPr>
          <w:sz w:val="28"/>
          <w:szCs w:val="28"/>
        </w:rPr>
        <w:t xml:space="preserve">ncillary </w:t>
      </w:r>
      <w:r w:rsidR="007F5810">
        <w:rPr>
          <w:sz w:val="28"/>
          <w:szCs w:val="28"/>
        </w:rPr>
        <w:t xml:space="preserve">(secondary or supplementary) </w:t>
      </w:r>
      <w:r>
        <w:rPr>
          <w:sz w:val="28"/>
          <w:szCs w:val="28"/>
        </w:rPr>
        <w:t>benefits</w:t>
      </w:r>
      <w:r w:rsidR="00380318">
        <w:rPr>
          <w:sz w:val="28"/>
          <w:szCs w:val="28"/>
        </w:rPr>
        <w:t xml:space="preserve"> or even consider</w:t>
      </w:r>
      <w:r w:rsidR="00E5545B">
        <w:rPr>
          <w:sz w:val="28"/>
          <w:szCs w:val="28"/>
        </w:rPr>
        <w:t>ation of</w:t>
      </w:r>
      <w:r w:rsidR="00380318">
        <w:rPr>
          <w:sz w:val="28"/>
          <w:szCs w:val="28"/>
        </w:rPr>
        <w:t xml:space="preserve"> such benefits</w:t>
      </w:r>
      <w:r>
        <w:rPr>
          <w:sz w:val="28"/>
          <w:szCs w:val="28"/>
        </w:rPr>
        <w:t xml:space="preserve">.  That said the main proponents of risk-risk tradeoffs do acknowledge the importance of ancillary benefits as well.  As </w:t>
      </w:r>
      <w:r w:rsidR="008D730C">
        <w:rPr>
          <w:sz w:val="28"/>
          <w:szCs w:val="28"/>
        </w:rPr>
        <w:t xml:space="preserve">Mendelson and </w:t>
      </w:r>
      <w:r>
        <w:rPr>
          <w:sz w:val="28"/>
          <w:szCs w:val="28"/>
        </w:rPr>
        <w:t>Wiener argue:</w:t>
      </w:r>
    </w:p>
    <w:p w:rsidR="00F12A48" w:rsidRDefault="00F12A48" w:rsidP="00380318">
      <w:pPr>
        <w:ind w:left="720"/>
        <w:rPr>
          <w:sz w:val="28"/>
          <w:szCs w:val="28"/>
        </w:rPr>
      </w:pPr>
      <w:r>
        <w:rPr>
          <w:sz w:val="28"/>
          <w:szCs w:val="28"/>
        </w:rPr>
        <w:t>“…analysis should include all important impacts-both quantitative and qualitative, both intended and ancillary (including both ancillary harms and ancillary benefits).” (</w:t>
      </w:r>
      <w:r w:rsidR="008D730C">
        <w:rPr>
          <w:sz w:val="28"/>
          <w:szCs w:val="28"/>
        </w:rPr>
        <w:t>Mendel</w:t>
      </w:r>
      <w:r>
        <w:rPr>
          <w:sz w:val="28"/>
          <w:szCs w:val="28"/>
        </w:rPr>
        <w:t xml:space="preserve">son </w:t>
      </w:r>
      <w:r w:rsidR="008D730C">
        <w:rPr>
          <w:sz w:val="28"/>
          <w:szCs w:val="28"/>
        </w:rPr>
        <w:t xml:space="preserve"> and Wiener </w:t>
      </w:r>
      <w:r>
        <w:rPr>
          <w:sz w:val="28"/>
          <w:szCs w:val="28"/>
        </w:rPr>
        <w:t>2014,p. 513).</w:t>
      </w:r>
    </w:p>
    <w:p w:rsidR="00F12A48" w:rsidRDefault="00F12A48" w:rsidP="000A1587">
      <w:pPr>
        <w:rPr>
          <w:sz w:val="28"/>
          <w:szCs w:val="28"/>
        </w:rPr>
      </w:pPr>
    </w:p>
    <w:p w:rsidR="001679E5" w:rsidRDefault="00F12A48" w:rsidP="000A1587">
      <w:pPr>
        <w:rPr>
          <w:sz w:val="28"/>
          <w:szCs w:val="28"/>
        </w:rPr>
      </w:pPr>
      <w:r>
        <w:rPr>
          <w:sz w:val="28"/>
          <w:szCs w:val="28"/>
        </w:rPr>
        <w:t xml:space="preserve">This point has been made repeatedly by </w:t>
      </w:r>
      <w:r w:rsidR="008D730C">
        <w:rPr>
          <w:sz w:val="28"/>
          <w:szCs w:val="28"/>
        </w:rPr>
        <w:t xml:space="preserve">a number of </w:t>
      </w:r>
      <w:r>
        <w:rPr>
          <w:sz w:val="28"/>
          <w:szCs w:val="28"/>
        </w:rPr>
        <w:t xml:space="preserve">the </w:t>
      </w:r>
      <w:r w:rsidR="008D730C">
        <w:rPr>
          <w:sz w:val="28"/>
          <w:szCs w:val="28"/>
        </w:rPr>
        <w:t xml:space="preserve">key </w:t>
      </w:r>
      <w:r>
        <w:rPr>
          <w:sz w:val="28"/>
          <w:szCs w:val="28"/>
        </w:rPr>
        <w:t>proponents (e</w:t>
      </w:r>
      <w:r w:rsidR="007F5810">
        <w:rPr>
          <w:sz w:val="28"/>
          <w:szCs w:val="28"/>
        </w:rPr>
        <w:t>.</w:t>
      </w:r>
      <w:r>
        <w:rPr>
          <w:sz w:val="28"/>
          <w:szCs w:val="28"/>
        </w:rPr>
        <w:t>g</w:t>
      </w:r>
      <w:r w:rsidR="007F5810">
        <w:rPr>
          <w:sz w:val="28"/>
          <w:szCs w:val="28"/>
        </w:rPr>
        <w:t>.</w:t>
      </w:r>
      <w:r>
        <w:rPr>
          <w:sz w:val="28"/>
          <w:szCs w:val="28"/>
        </w:rPr>
        <w:t xml:space="preserve"> Graham and Wiener 2008a and b; </w:t>
      </w:r>
      <w:r w:rsidR="00B15553">
        <w:rPr>
          <w:sz w:val="28"/>
          <w:szCs w:val="28"/>
        </w:rPr>
        <w:t xml:space="preserve">Stern and Wiener 2006; </w:t>
      </w:r>
      <w:r>
        <w:rPr>
          <w:sz w:val="28"/>
          <w:szCs w:val="28"/>
        </w:rPr>
        <w:t>Wiener 1998, 2</w:t>
      </w:r>
      <w:r w:rsidR="00B15553">
        <w:rPr>
          <w:sz w:val="28"/>
          <w:szCs w:val="28"/>
        </w:rPr>
        <w:t>002, 2006</w:t>
      </w:r>
      <w:r>
        <w:rPr>
          <w:sz w:val="28"/>
          <w:szCs w:val="28"/>
        </w:rPr>
        <w:t>) so it is unfair to brand all the research on risk-risk tradeoffs as ways to reduce regulatio</w:t>
      </w:r>
      <w:r w:rsidR="00892D0A">
        <w:rPr>
          <w:sz w:val="28"/>
          <w:szCs w:val="28"/>
        </w:rPr>
        <w:t xml:space="preserve">n, even though most of the </w:t>
      </w:r>
      <w:r>
        <w:rPr>
          <w:sz w:val="28"/>
          <w:szCs w:val="28"/>
        </w:rPr>
        <w:t xml:space="preserve">studies to date may have focused more on the risks </w:t>
      </w:r>
      <w:r w:rsidR="0034455B">
        <w:rPr>
          <w:sz w:val="28"/>
          <w:szCs w:val="28"/>
        </w:rPr>
        <w:t>rather than</w:t>
      </w:r>
      <w:r>
        <w:rPr>
          <w:sz w:val="28"/>
          <w:szCs w:val="28"/>
        </w:rPr>
        <w:t xml:space="preserve"> benefits</w:t>
      </w:r>
      <w:r w:rsidR="00380318">
        <w:rPr>
          <w:sz w:val="28"/>
          <w:szCs w:val="28"/>
        </w:rPr>
        <w:t xml:space="preserve"> (e</w:t>
      </w:r>
      <w:r w:rsidR="008D730C">
        <w:rPr>
          <w:sz w:val="28"/>
          <w:szCs w:val="28"/>
        </w:rPr>
        <w:t>.</w:t>
      </w:r>
      <w:r w:rsidR="00380318">
        <w:rPr>
          <w:sz w:val="28"/>
          <w:szCs w:val="28"/>
        </w:rPr>
        <w:t>g</w:t>
      </w:r>
      <w:r w:rsidR="008D730C">
        <w:rPr>
          <w:sz w:val="28"/>
          <w:szCs w:val="28"/>
        </w:rPr>
        <w:t>.</w:t>
      </w:r>
      <w:r w:rsidR="00380318">
        <w:rPr>
          <w:sz w:val="28"/>
          <w:szCs w:val="28"/>
        </w:rPr>
        <w:t xml:space="preserve"> the case studies in Graham and Wiener 1995 focused on ancillary risks rather than ancillary benefits)</w:t>
      </w:r>
      <w:r>
        <w:rPr>
          <w:sz w:val="28"/>
          <w:szCs w:val="28"/>
        </w:rPr>
        <w:t>.</w:t>
      </w:r>
      <w:r w:rsidR="00380318">
        <w:rPr>
          <w:sz w:val="28"/>
          <w:szCs w:val="28"/>
        </w:rPr>
        <w:t xml:space="preserve"> One important note, however, is to what degree regulatory agencies themselves consider ancillary risks more or less than ancillary benefits.  </w:t>
      </w:r>
      <w:r w:rsidR="008D730C">
        <w:rPr>
          <w:sz w:val="28"/>
          <w:szCs w:val="28"/>
        </w:rPr>
        <w:t xml:space="preserve">One would hypothesize that regulators would want to play up ancillary benefits and down play ancillary risks. As past research shows regulators </w:t>
      </w:r>
      <w:r w:rsidR="00786CF8">
        <w:rPr>
          <w:sz w:val="28"/>
          <w:szCs w:val="28"/>
        </w:rPr>
        <w:t xml:space="preserve">(and here we refer to career civil servants rather than political appointees) </w:t>
      </w:r>
      <w:r w:rsidR="00E5545B">
        <w:rPr>
          <w:sz w:val="28"/>
          <w:szCs w:val="28"/>
        </w:rPr>
        <w:t>by</w:t>
      </w:r>
      <w:r w:rsidR="008D730C">
        <w:rPr>
          <w:sz w:val="28"/>
          <w:szCs w:val="28"/>
        </w:rPr>
        <w:t xml:space="preserve"> their very nature want to regulate</w:t>
      </w:r>
      <w:r w:rsidR="00E5545B">
        <w:rPr>
          <w:sz w:val="28"/>
          <w:szCs w:val="28"/>
        </w:rPr>
        <w:t>, some more emphatically than others</w:t>
      </w:r>
      <w:r w:rsidR="00482A02">
        <w:rPr>
          <w:sz w:val="28"/>
          <w:szCs w:val="28"/>
        </w:rPr>
        <w:t xml:space="preserve"> (for a personal account see, for example,</w:t>
      </w:r>
      <w:r w:rsidR="00AD2767">
        <w:rPr>
          <w:sz w:val="28"/>
          <w:szCs w:val="28"/>
        </w:rPr>
        <w:t>Vallianatos and Jenkins 2014)</w:t>
      </w:r>
      <w:r w:rsidR="008D730C">
        <w:rPr>
          <w:sz w:val="28"/>
          <w:szCs w:val="28"/>
        </w:rPr>
        <w:t xml:space="preserve">.  </w:t>
      </w:r>
    </w:p>
    <w:p w:rsidR="001679E5" w:rsidRDefault="001679E5" w:rsidP="000A1587">
      <w:pPr>
        <w:rPr>
          <w:sz w:val="28"/>
          <w:szCs w:val="28"/>
        </w:rPr>
      </w:pPr>
    </w:p>
    <w:p w:rsidR="00A046A2" w:rsidRDefault="00380318" w:rsidP="000A1587">
      <w:pPr>
        <w:rPr>
          <w:sz w:val="28"/>
          <w:szCs w:val="28"/>
        </w:rPr>
      </w:pPr>
      <w:r>
        <w:rPr>
          <w:sz w:val="28"/>
          <w:szCs w:val="28"/>
        </w:rPr>
        <w:t>In examining some of the regulatory impact analysis done by the Swedish authorities with regard to promoting ever stronger</w:t>
      </w:r>
      <w:r w:rsidR="00B75DEC">
        <w:rPr>
          <w:sz w:val="28"/>
          <w:szCs w:val="28"/>
        </w:rPr>
        <w:t xml:space="preserve"> chemical controls based on </w:t>
      </w:r>
      <w:r>
        <w:rPr>
          <w:sz w:val="28"/>
          <w:szCs w:val="28"/>
        </w:rPr>
        <w:t xml:space="preserve">precautionary and substitution principles, </w:t>
      </w:r>
      <w:r w:rsidR="001679E5">
        <w:rPr>
          <w:sz w:val="28"/>
          <w:szCs w:val="28"/>
        </w:rPr>
        <w:t xml:space="preserve">for example, </w:t>
      </w:r>
      <w:r>
        <w:rPr>
          <w:sz w:val="28"/>
          <w:szCs w:val="28"/>
        </w:rPr>
        <w:t>it is clear that the</w:t>
      </w:r>
      <w:r w:rsidR="0034455B">
        <w:rPr>
          <w:sz w:val="28"/>
          <w:szCs w:val="28"/>
        </w:rPr>
        <w:t>se authorities d</w:t>
      </w:r>
      <w:r>
        <w:rPr>
          <w:sz w:val="28"/>
          <w:szCs w:val="28"/>
        </w:rPr>
        <w:t>own play the risks and highlighted the benefits</w:t>
      </w:r>
      <w:r w:rsidR="007B3E82">
        <w:rPr>
          <w:sz w:val="28"/>
          <w:szCs w:val="28"/>
        </w:rPr>
        <w:t>.  In its regulatory impact analysis (R</w:t>
      </w:r>
      <w:r w:rsidR="001679E5">
        <w:rPr>
          <w:sz w:val="28"/>
          <w:szCs w:val="28"/>
        </w:rPr>
        <w:t>IA</w:t>
      </w:r>
      <w:r w:rsidR="007B3E82">
        <w:rPr>
          <w:sz w:val="28"/>
          <w:szCs w:val="28"/>
        </w:rPr>
        <w:t>)</w:t>
      </w:r>
      <w:r w:rsidR="001679E5">
        <w:rPr>
          <w:sz w:val="28"/>
          <w:szCs w:val="28"/>
        </w:rPr>
        <w:t xml:space="preserve"> of its 2013 </w:t>
      </w:r>
      <w:r w:rsidR="00B15553">
        <w:rPr>
          <w:sz w:val="28"/>
          <w:szCs w:val="28"/>
        </w:rPr>
        <w:t>Government Bill on Chemicals</w:t>
      </w:r>
      <w:r w:rsidR="008D730C">
        <w:rPr>
          <w:sz w:val="28"/>
          <w:szCs w:val="28"/>
        </w:rPr>
        <w:t xml:space="preserve"> </w:t>
      </w:r>
      <w:r w:rsidR="00A046A2">
        <w:rPr>
          <w:sz w:val="28"/>
          <w:szCs w:val="28"/>
        </w:rPr>
        <w:t>the Swedish Ministry of the Environment notes with regard to benefits of the bill:</w:t>
      </w:r>
    </w:p>
    <w:p w:rsidR="00A046A2" w:rsidRDefault="00E5545B" w:rsidP="00A046A2">
      <w:pPr>
        <w:ind w:left="720"/>
        <w:rPr>
          <w:sz w:val="28"/>
          <w:szCs w:val="28"/>
        </w:rPr>
      </w:pPr>
      <w:r>
        <w:rPr>
          <w:sz w:val="28"/>
          <w:szCs w:val="28"/>
        </w:rPr>
        <w:t>“</w:t>
      </w:r>
      <w:r w:rsidR="00A046A2">
        <w:rPr>
          <w:sz w:val="28"/>
          <w:szCs w:val="28"/>
        </w:rPr>
        <w:t xml:space="preserve">The main social benefits </w:t>
      </w:r>
      <w:r>
        <w:rPr>
          <w:sz w:val="28"/>
          <w:szCs w:val="28"/>
        </w:rPr>
        <w:t>of</w:t>
      </w:r>
      <w:r w:rsidR="00A046A2">
        <w:rPr>
          <w:sz w:val="28"/>
          <w:szCs w:val="28"/>
        </w:rPr>
        <w:t xml:space="preserve"> further developed chemical control policy has </w:t>
      </w:r>
      <w:r>
        <w:rPr>
          <w:sz w:val="28"/>
          <w:szCs w:val="28"/>
        </w:rPr>
        <w:t>concern the</w:t>
      </w:r>
      <w:r w:rsidR="00A046A2">
        <w:rPr>
          <w:sz w:val="28"/>
          <w:szCs w:val="28"/>
        </w:rPr>
        <w:t xml:space="preserve"> reduction in negative effects on human health and the environment.” (Swedish </w:t>
      </w:r>
      <w:r w:rsidR="00B15553">
        <w:rPr>
          <w:sz w:val="28"/>
          <w:szCs w:val="28"/>
        </w:rPr>
        <w:t>Government Bill</w:t>
      </w:r>
      <w:r w:rsidR="00A046A2">
        <w:rPr>
          <w:sz w:val="28"/>
          <w:szCs w:val="28"/>
        </w:rPr>
        <w:t xml:space="preserve"> 2013, p. 124 [translation by </w:t>
      </w:r>
      <w:r>
        <w:rPr>
          <w:sz w:val="28"/>
          <w:szCs w:val="28"/>
        </w:rPr>
        <w:t xml:space="preserve">first </w:t>
      </w:r>
      <w:r w:rsidR="00A046A2">
        <w:rPr>
          <w:sz w:val="28"/>
          <w:szCs w:val="28"/>
        </w:rPr>
        <w:t>author])</w:t>
      </w:r>
    </w:p>
    <w:p w:rsidR="00A046A2" w:rsidRDefault="00A046A2" w:rsidP="000A1587">
      <w:pPr>
        <w:rPr>
          <w:sz w:val="28"/>
          <w:szCs w:val="28"/>
        </w:rPr>
      </w:pPr>
    </w:p>
    <w:p w:rsidR="00A046A2" w:rsidRDefault="00A046A2" w:rsidP="000A1587">
      <w:pPr>
        <w:rPr>
          <w:sz w:val="28"/>
          <w:szCs w:val="28"/>
        </w:rPr>
      </w:pPr>
      <w:r>
        <w:rPr>
          <w:sz w:val="28"/>
          <w:szCs w:val="28"/>
        </w:rPr>
        <w:t>It goes on to say with regard to the costs of the proposed regulations:</w:t>
      </w:r>
    </w:p>
    <w:p w:rsidR="00A046A2" w:rsidRDefault="00A046A2" w:rsidP="00A046A2">
      <w:pPr>
        <w:ind w:left="720"/>
        <w:rPr>
          <w:sz w:val="28"/>
          <w:szCs w:val="28"/>
        </w:rPr>
      </w:pPr>
      <w:r>
        <w:rPr>
          <w:sz w:val="28"/>
          <w:szCs w:val="28"/>
        </w:rPr>
        <w:t xml:space="preserve">“Tougher regulations can in many cases stimulate innovation and in the long term assist companies which are forward looking with regard to producing chemicals to gain competitive advantage.  Also by phasing out the use of dangerous substances some companies can reduce the costs </w:t>
      </w:r>
      <w:r w:rsidR="00482A02">
        <w:rPr>
          <w:sz w:val="28"/>
          <w:szCs w:val="28"/>
        </w:rPr>
        <w:t>of</w:t>
      </w:r>
      <w:r>
        <w:rPr>
          <w:sz w:val="28"/>
          <w:szCs w:val="28"/>
        </w:rPr>
        <w:t xml:space="preserve"> protecting workers fr</w:t>
      </w:r>
      <w:r w:rsidR="007B3E82">
        <w:rPr>
          <w:sz w:val="28"/>
          <w:szCs w:val="28"/>
        </w:rPr>
        <w:t>om</w:t>
      </w:r>
      <w:r>
        <w:rPr>
          <w:sz w:val="28"/>
          <w:szCs w:val="28"/>
        </w:rPr>
        <w:t xml:space="preserve"> those active in the production process…(Swedish </w:t>
      </w:r>
      <w:r w:rsidR="00B15553">
        <w:rPr>
          <w:sz w:val="28"/>
          <w:szCs w:val="28"/>
        </w:rPr>
        <w:t>Government Bill</w:t>
      </w:r>
      <w:r>
        <w:rPr>
          <w:sz w:val="28"/>
          <w:szCs w:val="28"/>
        </w:rPr>
        <w:t xml:space="preserve"> 2013, p. 125).  </w:t>
      </w:r>
    </w:p>
    <w:p w:rsidR="00A046A2" w:rsidRDefault="00A046A2" w:rsidP="000A1587">
      <w:pPr>
        <w:rPr>
          <w:sz w:val="28"/>
          <w:szCs w:val="28"/>
        </w:rPr>
      </w:pPr>
      <w:r>
        <w:rPr>
          <w:sz w:val="28"/>
          <w:szCs w:val="28"/>
        </w:rPr>
        <w:t xml:space="preserve"> </w:t>
      </w:r>
    </w:p>
    <w:p w:rsidR="00380318" w:rsidRDefault="00A046A2" w:rsidP="000A1587">
      <w:pPr>
        <w:rPr>
          <w:sz w:val="28"/>
          <w:szCs w:val="28"/>
        </w:rPr>
      </w:pPr>
      <w:r>
        <w:rPr>
          <w:sz w:val="28"/>
          <w:szCs w:val="28"/>
        </w:rPr>
        <w:t xml:space="preserve">In this rather non-rigorous discussion </w:t>
      </w:r>
      <w:r w:rsidR="008D730C">
        <w:rPr>
          <w:sz w:val="28"/>
          <w:szCs w:val="28"/>
        </w:rPr>
        <w:t xml:space="preserve">without any </w:t>
      </w:r>
      <w:r>
        <w:rPr>
          <w:sz w:val="28"/>
          <w:szCs w:val="28"/>
        </w:rPr>
        <w:t>facts or references it is clear that possible risk</w:t>
      </w:r>
      <w:r w:rsidR="008D730C">
        <w:rPr>
          <w:sz w:val="28"/>
          <w:szCs w:val="28"/>
        </w:rPr>
        <w:t xml:space="preserve">-risk </w:t>
      </w:r>
      <w:r>
        <w:rPr>
          <w:sz w:val="28"/>
          <w:szCs w:val="28"/>
        </w:rPr>
        <w:t>tradeoffs are</w:t>
      </w:r>
      <w:r w:rsidR="00AD2767">
        <w:rPr>
          <w:sz w:val="28"/>
          <w:szCs w:val="28"/>
        </w:rPr>
        <w:t xml:space="preserve"> not addressed nor considered (</w:t>
      </w:r>
      <w:r>
        <w:rPr>
          <w:sz w:val="28"/>
          <w:szCs w:val="28"/>
        </w:rPr>
        <w:t xml:space="preserve">for further </w:t>
      </w:r>
      <w:r w:rsidR="00380318">
        <w:rPr>
          <w:sz w:val="28"/>
          <w:szCs w:val="28"/>
        </w:rPr>
        <w:t xml:space="preserve">discussion on Swedish chemical control policy see Lofstedt 2014).  </w:t>
      </w:r>
      <w:r>
        <w:rPr>
          <w:sz w:val="28"/>
          <w:szCs w:val="28"/>
        </w:rPr>
        <w:t xml:space="preserve">Hence, </w:t>
      </w:r>
      <w:r w:rsidR="00380318">
        <w:rPr>
          <w:sz w:val="28"/>
          <w:szCs w:val="28"/>
        </w:rPr>
        <w:t xml:space="preserve">one can argue that it is </w:t>
      </w:r>
      <w:r>
        <w:rPr>
          <w:sz w:val="28"/>
          <w:szCs w:val="28"/>
        </w:rPr>
        <w:t xml:space="preserve">therefore </w:t>
      </w:r>
      <w:r w:rsidR="00380318">
        <w:rPr>
          <w:sz w:val="28"/>
          <w:szCs w:val="28"/>
        </w:rPr>
        <w:t xml:space="preserve">justified </w:t>
      </w:r>
      <w:r>
        <w:rPr>
          <w:sz w:val="28"/>
          <w:szCs w:val="28"/>
        </w:rPr>
        <w:t xml:space="preserve">for researchers </w:t>
      </w:r>
      <w:r w:rsidR="00380318">
        <w:rPr>
          <w:sz w:val="28"/>
          <w:szCs w:val="28"/>
        </w:rPr>
        <w:t xml:space="preserve">to examine the risks to a greater degree </w:t>
      </w:r>
      <w:r w:rsidR="009A3DE8">
        <w:rPr>
          <w:sz w:val="28"/>
          <w:szCs w:val="28"/>
        </w:rPr>
        <w:t xml:space="preserve">than the benefits </w:t>
      </w:r>
      <w:r w:rsidR="00380318">
        <w:rPr>
          <w:sz w:val="28"/>
          <w:szCs w:val="28"/>
        </w:rPr>
        <w:t xml:space="preserve">as regulators </w:t>
      </w:r>
      <w:r w:rsidR="00482A02">
        <w:rPr>
          <w:sz w:val="28"/>
          <w:szCs w:val="28"/>
        </w:rPr>
        <w:t xml:space="preserve">themselves </w:t>
      </w:r>
      <w:r w:rsidR="00380318">
        <w:rPr>
          <w:sz w:val="28"/>
          <w:szCs w:val="28"/>
        </w:rPr>
        <w:t xml:space="preserve">will most likely play down </w:t>
      </w:r>
      <w:r w:rsidR="009A3DE8">
        <w:rPr>
          <w:sz w:val="28"/>
          <w:szCs w:val="28"/>
        </w:rPr>
        <w:t xml:space="preserve">the risks </w:t>
      </w:r>
      <w:r w:rsidR="00380318">
        <w:rPr>
          <w:sz w:val="28"/>
          <w:szCs w:val="28"/>
        </w:rPr>
        <w:t>(</w:t>
      </w:r>
      <w:r w:rsidR="0034455B">
        <w:rPr>
          <w:sz w:val="28"/>
          <w:szCs w:val="28"/>
        </w:rPr>
        <w:t xml:space="preserve">for an excellent </w:t>
      </w:r>
      <w:r w:rsidR="00B15553">
        <w:rPr>
          <w:sz w:val="28"/>
          <w:szCs w:val="28"/>
        </w:rPr>
        <w:t>discussion</w:t>
      </w:r>
      <w:r w:rsidR="0034455B">
        <w:rPr>
          <w:sz w:val="28"/>
          <w:szCs w:val="28"/>
        </w:rPr>
        <w:t xml:space="preserve"> see Dudley 2012</w:t>
      </w:r>
      <w:r w:rsidR="00380318">
        <w:rPr>
          <w:sz w:val="28"/>
          <w:szCs w:val="28"/>
        </w:rPr>
        <w:t xml:space="preserve">).  </w:t>
      </w:r>
    </w:p>
    <w:p w:rsidR="00380318" w:rsidRDefault="00380318" w:rsidP="000A1587">
      <w:pPr>
        <w:rPr>
          <w:sz w:val="28"/>
          <w:szCs w:val="28"/>
        </w:rPr>
      </w:pPr>
    </w:p>
    <w:p w:rsidR="003E5A0C" w:rsidRPr="00AE62D8" w:rsidRDefault="00AE62D8" w:rsidP="00AE62D8">
      <w:pPr>
        <w:pStyle w:val="ListParagraph"/>
        <w:numPr>
          <w:ilvl w:val="0"/>
          <w:numId w:val="2"/>
        </w:numPr>
        <w:rPr>
          <w:b/>
          <w:sz w:val="28"/>
          <w:szCs w:val="28"/>
        </w:rPr>
      </w:pPr>
      <w:r>
        <w:rPr>
          <w:b/>
          <w:sz w:val="28"/>
          <w:szCs w:val="28"/>
        </w:rPr>
        <w:t xml:space="preserve"> </w:t>
      </w:r>
      <w:r w:rsidR="003E5A0C" w:rsidRPr="00AE62D8">
        <w:rPr>
          <w:b/>
          <w:sz w:val="28"/>
          <w:szCs w:val="28"/>
        </w:rPr>
        <w:t>What is the status of risk-risk tradeoff</w:t>
      </w:r>
      <w:r w:rsidR="007F5810">
        <w:rPr>
          <w:b/>
          <w:sz w:val="28"/>
          <w:szCs w:val="28"/>
        </w:rPr>
        <w:t xml:space="preserve"> research</w:t>
      </w:r>
      <w:r w:rsidR="003E5A0C" w:rsidRPr="00AE62D8">
        <w:rPr>
          <w:b/>
          <w:sz w:val="28"/>
          <w:szCs w:val="28"/>
        </w:rPr>
        <w:t xml:space="preserve"> today?</w:t>
      </w:r>
    </w:p>
    <w:p w:rsidR="0017530B" w:rsidRDefault="00892D0A" w:rsidP="000A1587">
      <w:pPr>
        <w:rPr>
          <w:sz w:val="28"/>
          <w:szCs w:val="28"/>
        </w:rPr>
      </w:pPr>
      <w:r>
        <w:rPr>
          <w:sz w:val="28"/>
          <w:szCs w:val="28"/>
        </w:rPr>
        <w:t xml:space="preserve">After the publication of the </w:t>
      </w:r>
      <w:r w:rsidR="007F5810">
        <w:rPr>
          <w:sz w:val="28"/>
          <w:szCs w:val="28"/>
        </w:rPr>
        <w:t xml:space="preserve">seminal </w:t>
      </w:r>
      <w:r>
        <w:rPr>
          <w:sz w:val="28"/>
          <w:szCs w:val="28"/>
        </w:rPr>
        <w:t xml:space="preserve">Graham and Wiener book, a number of academics including Cass Sunstein and Kip Viscusi </w:t>
      </w:r>
      <w:r w:rsidR="0017530B">
        <w:rPr>
          <w:sz w:val="28"/>
          <w:szCs w:val="28"/>
        </w:rPr>
        <w:t xml:space="preserve">as well as public policy think tanks such as AEI-Brookings Joint Centre for Regulatory Studies </w:t>
      </w:r>
      <w:r>
        <w:rPr>
          <w:sz w:val="28"/>
          <w:szCs w:val="28"/>
        </w:rPr>
        <w:t xml:space="preserve">argued that </w:t>
      </w:r>
      <w:r w:rsidR="0017530B">
        <w:rPr>
          <w:sz w:val="28"/>
          <w:szCs w:val="28"/>
        </w:rPr>
        <w:t xml:space="preserve">regulatory agencies needed to take into account </w:t>
      </w:r>
      <w:r>
        <w:rPr>
          <w:sz w:val="28"/>
          <w:szCs w:val="28"/>
        </w:rPr>
        <w:t>risk-risk tradeoffs</w:t>
      </w:r>
      <w:r w:rsidR="0017530B">
        <w:rPr>
          <w:sz w:val="28"/>
          <w:szCs w:val="28"/>
        </w:rPr>
        <w:t xml:space="preserve"> (e</w:t>
      </w:r>
      <w:r w:rsidR="007F5810">
        <w:rPr>
          <w:sz w:val="28"/>
          <w:szCs w:val="28"/>
        </w:rPr>
        <w:t>.</w:t>
      </w:r>
      <w:r w:rsidR="0017530B">
        <w:rPr>
          <w:sz w:val="28"/>
          <w:szCs w:val="28"/>
        </w:rPr>
        <w:t>g</w:t>
      </w:r>
      <w:r w:rsidR="007F5810">
        <w:rPr>
          <w:sz w:val="28"/>
          <w:szCs w:val="28"/>
        </w:rPr>
        <w:t>.</w:t>
      </w:r>
      <w:r w:rsidR="0017530B">
        <w:rPr>
          <w:sz w:val="28"/>
          <w:szCs w:val="28"/>
        </w:rPr>
        <w:t xml:space="preserve"> Sunstein 1996; Viscusi 1996).  These pleas were picked up by </w:t>
      </w:r>
      <w:r w:rsidR="00AE62D8">
        <w:rPr>
          <w:sz w:val="28"/>
          <w:szCs w:val="28"/>
        </w:rPr>
        <w:t>politicians</w:t>
      </w:r>
      <w:r w:rsidR="0017530B">
        <w:rPr>
          <w:sz w:val="28"/>
          <w:szCs w:val="28"/>
        </w:rPr>
        <w:t xml:space="preserve"> and i</w:t>
      </w:r>
      <w:r w:rsidR="003E5A0C">
        <w:rPr>
          <w:sz w:val="28"/>
          <w:szCs w:val="28"/>
        </w:rPr>
        <w:t xml:space="preserve">t </w:t>
      </w:r>
      <w:r w:rsidR="0017530B">
        <w:rPr>
          <w:sz w:val="28"/>
          <w:szCs w:val="28"/>
        </w:rPr>
        <w:t xml:space="preserve">became a </w:t>
      </w:r>
      <w:r w:rsidR="003E5A0C">
        <w:rPr>
          <w:sz w:val="28"/>
          <w:szCs w:val="28"/>
        </w:rPr>
        <w:t xml:space="preserve">popular item of discussion </w:t>
      </w:r>
      <w:r w:rsidR="0017530B">
        <w:rPr>
          <w:sz w:val="28"/>
          <w:szCs w:val="28"/>
        </w:rPr>
        <w:t xml:space="preserve">especially </w:t>
      </w:r>
      <w:r w:rsidR="003E5A0C">
        <w:rPr>
          <w:sz w:val="28"/>
          <w:szCs w:val="28"/>
        </w:rPr>
        <w:t>during the 105</w:t>
      </w:r>
      <w:r w:rsidR="003E5A0C" w:rsidRPr="003E5A0C">
        <w:rPr>
          <w:sz w:val="28"/>
          <w:szCs w:val="28"/>
          <w:vertAlign w:val="superscript"/>
        </w:rPr>
        <w:t>th</w:t>
      </w:r>
      <w:r w:rsidR="003E5A0C">
        <w:rPr>
          <w:sz w:val="28"/>
          <w:szCs w:val="28"/>
        </w:rPr>
        <w:t xml:space="preserve"> and 106</w:t>
      </w:r>
      <w:r w:rsidR="003E5A0C" w:rsidRPr="003E5A0C">
        <w:rPr>
          <w:sz w:val="28"/>
          <w:szCs w:val="28"/>
          <w:vertAlign w:val="superscript"/>
        </w:rPr>
        <w:t>th</w:t>
      </w:r>
      <w:r w:rsidR="003E5A0C">
        <w:rPr>
          <w:sz w:val="28"/>
          <w:szCs w:val="28"/>
        </w:rPr>
        <w:t xml:space="preserve"> </w:t>
      </w:r>
      <w:r w:rsidR="007B3E82">
        <w:rPr>
          <w:sz w:val="28"/>
          <w:szCs w:val="28"/>
        </w:rPr>
        <w:t xml:space="preserve">US </w:t>
      </w:r>
      <w:r w:rsidR="003E5A0C">
        <w:rPr>
          <w:sz w:val="28"/>
          <w:szCs w:val="28"/>
        </w:rPr>
        <w:t xml:space="preserve">Congresses </w:t>
      </w:r>
      <w:r w:rsidR="0017530B">
        <w:rPr>
          <w:sz w:val="28"/>
          <w:szCs w:val="28"/>
        </w:rPr>
        <w:t xml:space="preserve">(1997-1999) </w:t>
      </w:r>
      <w:r w:rsidR="003E5A0C">
        <w:rPr>
          <w:sz w:val="28"/>
          <w:szCs w:val="28"/>
        </w:rPr>
        <w:t xml:space="preserve">where there were attempts </w:t>
      </w:r>
      <w:r w:rsidR="00E5545B">
        <w:rPr>
          <w:sz w:val="28"/>
          <w:szCs w:val="28"/>
        </w:rPr>
        <w:t>at</w:t>
      </w:r>
      <w:r w:rsidR="003E5A0C">
        <w:rPr>
          <w:sz w:val="28"/>
          <w:szCs w:val="28"/>
        </w:rPr>
        <w:t xml:space="preserve"> regulatory reform under the so called Gingrich </w:t>
      </w:r>
      <w:r w:rsidR="009730EF">
        <w:rPr>
          <w:sz w:val="28"/>
          <w:szCs w:val="28"/>
        </w:rPr>
        <w:t xml:space="preserve">revolution (Revesz and Livermore 2008).  Although these proposed initiatives never became law, it was highlighted </w:t>
      </w:r>
      <w:r w:rsidR="0017530B">
        <w:rPr>
          <w:sz w:val="28"/>
          <w:szCs w:val="28"/>
        </w:rPr>
        <w:t xml:space="preserve">by the </w:t>
      </w:r>
      <w:r w:rsidR="009730EF">
        <w:rPr>
          <w:sz w:val="28"/>
          <w:szCs w:val="28"/>
        </w:rPr>
        <w:t xml:space="preserve"> OMB in 2003</w:t>
      </w:r>
      <w:r w:rsidR="0017530B">
        <w:rPr>
          <w:sz w:val="28"/>
          <w:szCs w:val="28"/>
        </w:rPr>
        <w:t>,</w:t>
      </w:r>
      <w:r w:rsidR="009730EF">
        <w:rPr>
          <w:sz w:val="28"/>
          <w:szCs w:val="28"/>
        </w:rPr>
        <w:t xml:space="preserve"> at a time when </w:t>
      </w:r>
      <w:r w:rsidR="00B15553">
        <w:rPr>
          <w:sz w:val="28"/>
          <w:szCs w:val="28"/>
        </w:rPr>
        <w:t>Dr.</w:t>
      </w:r>
      <w:r w:rsidR="009730EF">
        <w:rPr>
          <w:sz w:val="28"/>
          <w:szCs w:val="28"/>
        </w:rPr>
        <w:t xml:space="preserve">John Graham was </w:t>
      </w:r>
      <w:r w:rsidR="00D9446B">
        <w:rPr>
          <w:sz w:val="28"/>
          <w:szCs w:val="28"/>
        </w:rPr>
        <w:t>the</w:t>
      </w:r>
      <w:r w:rsidR="009730EF">
        <w:rPr>
          <w:sz w:val="28"/>
          <w:szCs w:val="28"/>
        </w:rPr>
        <w:t xml:space="preserve"> Administrator for O</w:t>
      </w:r>
      <w:r w:rsidR="0017530B">
        <w:rPr>
          <w:sz w:val="28"/>
          <w:szCs w:val="28"/>
        </w:rPr>
        <w:t>ffice of Information and Regulatory Affairs (OI</w:t>
      </w:r>
      <w:r w:rsidR="009730EF">
        <w:rPr>
          <w:sz w:val="28"/>
          <w:szCs w:val="28"/>
        </w:rPr>
        <w:t>RA</w:t>
      </w:r>
      <w:r w:rsidR="0017530B">
        <w:rPr>
          <w:sz w:val="28"/>
          <w:szCs w:val="28"/>
        </w:rPr>
        <w:t>), when it noted that “decreasing one risk may increase a countervailing risk”</w:t>
      </w:r>
      <w:r w:rsidR="009730EF">
        <w:rPr>
          <w:sz w:val="28"/>
          <w:szCs w:val="28"/>
        </w:rPr>
        <w:t xml:space="preserve"> (OMB 2003).  </w:t>
      </w:r>
    </w:p>
    <w:p w:rsidR="0017530B" w:rsidRDefault="0017530B" w:rsidP="000A1587">
      <w:pPr>
        <w:rPr>
          <w:sz w:val="28"/>
          <w:szCs w:val="28"/>
        </w:rPr>
      </w:pPr>
    </w:p>
    <w:p w:rsidR="009256CB" w:rsidRDefault="009730EF" w:rsidP="000A1587">
      <w:pPr>
        <w:rPr>
          <w:sz w:val="28"/>
          <w:szCs w:val="28"/>
        </w:rPr>
      </w:pPr>
      <w:r>
        <w:rPr>
          <w:sz w:val="28"/>
          <w:szCs w:val="28"/>
        </w:rPr>
        <w:t xml:space="preserve">In Europe </w:t>
      </w:r>
      <w:r w:rsidR="0017530B">
        <w:rPr>
          <w:sz w:val="28"/>
          <w:szCs w:val="28"/>
        </w:rPr>
        <w:t>most of the discussion surrounding risk-risk tradeoffs have taken place in the pharmaceutical sector</w:t>
      </w:r>
      <w:r w:rsidR="00BF203C">
        <w:rPr>
          <w:sz w:val="28"/>
          <w:szCs w:val="28"/>
        </w:rPr>
        <w:t xml:space="preserve"> (Eichler et al 2013)</w:t>
      </w:r>
      <w:r w:rsidR="0017530B">
        <w:rPr>
          <w:sz w:val="28"/>
          <w:szCs w:val="28"/>
        </w:rPr>
        <w:t xml:space="preserve">.  </w:t>
      </w:r>
      <w:r w:rsidR="009256CB">
        <w:rPr>
          <w:sz w:val="28"/>
          <w:szCs w:val="28"/>
        </w:rPr>
        <w:t>One issue of importance is risk-risk tradeoffs with regard to personal patient-physician interactions.  Do doctors and patients view the risks</w:t>
      </w:r>
      <w:r w:rsidR="007B3E82">
        <w:rPr>
          <w:sz w:val="28"/>
          <w:szCs w:val="28"/>
        </w:rPr>
        <w:t xml:space="preserve"> in</w:t>
      </w:r>
      <w:r w:rsidR="009256CB">
        <w:rPr>
          <w:sz w:val="28"/>
          <w:szCs w:val="28"/>
        </w:rPr>
        <w:t xml:space="preserve"> the same</w:t>
      </w:r>
      <w:r w:rsidR="007B3E82">
        <w:rPr>
          <w:sz w:val="28"/>
          <w:szCs w:val="28"/>
        </w:rPr>
        <w:t xml:space="preserve"> </w:t>
      </w:r>
      <w:r w:rsidR="00E5545B">
        <w:rPr>
          <w:sz w:val="28"/>
          <w:szCs w:val="28"/>
        </w:rPr>
        <w:t>way</w:t>
      </w:r>
      <w:r w:rsidR="009256CB">
        <w:rPr>
          <w:sz w:val="28"/>
          <w:szCs w:val="28"/>
        </w:rPr>
        <w:t xml:space="preserve">?  A number of studies show that these groupings have different mindsets (Arnardottir 2013; Arnott et al 2012; Johnson et al 2010; Lernet et al 1993), leading </w:t>
      </w:r>
      <w:r w:rsidR="00D9446B">
        <w:rPr>
          <w:sz w:val="28"/>
          <w:szCs w:val="28"/>
        </w:rPr>
        <w:t xml:space="preserve">pharmaceutical </w:t>
      </w:r>
      <w:r w:rsidR="009256CB">
        <w:rPr>
          <w:sz w:val="28"/>
          <w:szCs w:val="28"/>
        </w:rPr>
        <w:t>regulators to conclude that:</w:t>
      </w:r>
    </w:p>
    <w:p w:rsidR="0017530B" w:rsidRDefault="004D1CB9" w:rsidP="004D1CB9">
      <w:pPr>
        <w:ind w:left="720"/>
        <w:rPr>
          <w:sz w:val="28"/>
          <w:szCs w:val="28"/>
        </w:rPr>
      </w:pPr>
      <w:r>
        <w:rPr>
          <w:sz w:val="28"/>
          <w:szCs w:val="28"/>
        </w:rPr>
        <w:t>“</w:t>
      </w:r>
      <w:r w:rsidR="009256CB">
        <w:rPr>
          <w:sz w:val="28"/>
          <w:szCs w:val="28"/>
        </w:rPr>
        <w:t xml:space="preserve">it could be argued that patient’s risk-risk trade-offs are likely </w:t>
      </w:r>
      <w:r w:rsidR="0017530B">
        <w:rPr>
          <w:sz w:val="28"/>
          <w:szCs w:val="28"/>
        </w:rPr>
        <w:t>to be asymmetrical</w:t>
      </w:r>
      <w:r>
        <w:rPr>
          <w:sz w:val="28"/>
          <w:szCs w:val="28"/>
        </w:rPr>
        <w:t xml:space="preserve"> (or biased) as those of physicians or perhaps regulators-only in the opposite direction” </w:t>
      </w:r>
      <w:r w:rsidR="0017530B">
        <w:rPr>
          <w:sz w:val="28"/>
          <w:szCs w:val="28"/>
        </w:rPr>
        <w:t xml:space="preserve"> (Eichler et al 2013</w:t>
      </w:r>
      <w:r>
        <w:rPr>
          <w:sz w:val="28"/>
          <w:szCs w:val="28"/>
        </w:rPr>
        <w:t>, p.</w:t>
      </w:r>
      <w:r w:rsidR="00B15553">
        <w:rPr>
          <w:sz w:val="28"/>
          <w:szCs w:val="28"/>
        </w:rPr>
        <w:t>909</w:t>
      </w:r>
      <w:r w:rsidR="0017530B">
        <w:rPr>
          <w:sz w:val="28"/>
          <w:szCs w:val="28"/>
        </w:rPr>
        <w:t xml:space="preserve">).  </w:t>
      </w:r>
    </w:p>
    <w:p w:rsidR="00A64F0C" w:rsidRDefault="00A64F0C" w:rsidP="000A1587">
      <w:pPr>
        <w:rPr>
          <w:sz w:val="28"/>
          <w:szCs w:val="28"/>
        </w:rPr>
      </w:pPr>
      <w:r>
        <w:rPr>
          <w:sz w:val="28"/>
          <w:szCs w:val="28"/>
        </w:rPr>
        <w:t xml:space="preserve">As a result, medical regulators going forward need to take into account patients’ and doctors’ views when assessing risk-risk tradeoffs of various pharmaceutical products.  The most well-known medical example of risk-risk tradeoffs being discussed in the public domain occurred when HIV activists </w:t>
      </w:r>
      <w:r w:rsidR="00B15553">
        <w:rPr>
          <w:sz w:val="28"/>
          <w:szCs w:val="28"/>
        </w:rPr>
        <w:t>persuaded</w:t>
      </w:r>
      <w:r>
        <w:rPr>
          <w:sz w:val="28"/>
          <w:szCs w:val="28"/>
        </w:rPr>
        <w:t xml:space="preserve"> pharma regulators </w:t>
      </w:r>
      <w:r w:rsidR="00B15553">
        <w:rPr>
          <w:sz w:val="28"/>
          <w:szCs w:val="28"/>
        </w:rPr>
        <w:t xml:space="preserve">to give them </w:t>
      </w:r>
      <w:r>
        <w:rPr>
          <w:sz w:val="28"/>
          <w:szCs w:val="28"/>
        </w:rPr>
        <w:t xml:space="preserve">access to certain </w:t>
      </w:r>
      <w:r w:rsidR="00AE62D8">
        <w:rPr>
          <w:sz w:val="28"/>
          <w:szCs w:val="28"/>
        </w:rPr>
        <w:t xml:space="preserve">anti HIV/Aids </w:t>
      </w:r>
      <w:r>
        <w:rPr>
          <w:sz w:val="28"/>
          <w:szCs w:val="28"/>
        </w:rPr>
        <w:t>drugs that still were in the experiment</w:t>
      </w:r>
      <w:r w:rsidR="00E5545B">
        <w:rPr>
          <w:sz w:val="28"/>
          <w:szCs w:val="28"/>
        </w:rPr>
        <w:t>al</w:t>
      </w:r>
      <w:r w:rsidR="00BF203C">
        <w:rPr>
          <w:sz w:val="28"/>
          <w:szCs w:val="28"/>
        </w:rPr>
        <w:t>/development</w:t>
      </w:r>
      <w:r>
        <w:rPr>
          <w:sz w:val="28"/>
          <w:szCs w:val="28"/>
        </w:rPr>
        <w:t>al stages in the 1980s (Carpenter 2010).</w:t>
      </w:r>
    </w:p>
    <w:p w:rsidR="0017530B" w:rsidRDefault="00A64F0C" w:rsidP="000A1587">
      <w:pPr>
        <w:rPr>
          <w:sz w:val="28"/>
          <w:szCs w:val="28"/>
        </w:rPr>
      </w:pPr>
      <w:r>
        <w:rPr>
          <w:sz w:val="28"/>
          <w:szCs w:val="28"/>
        </w:rPr>
        <w:t xml:space="preserve">  </w:t>
      </w:r>
    </w:p>
    <w:p w:rsidR="003E5A0C" w:rsidRDefault="00FF3AD7" w:rsidP="000A1587">
      <w:pPr>
        <w:rPr>
          <w:sz w:val="28"/>
          <w:szCs w:val="28"/>
        </w:rPr>
      </w:pPr>
      <w:r>
        <w:rPr>
          <w:sz w:val="28"/>
          <w:szCs w:val="28"/>
        </w:rPr>
        <w:t>O</w:t>
      </w:r>
      <w:r w:rsidR="00A64F0C">
        <w:rPr>
          <w:sz w:val="28"/>
          <w:szCs w:val="28"/>
        </w:rPr>
        <w:t xml:space="preserve">utside the pharmaceutical sector risk-risk tradeoffs are acknowledged but less discussed.  </w:t>
      </w:r>
      <w:r>
        <w:rPr>
          <w:sz w:val="28"/>
          <w:szCs w:val="28"/>
        </w:rPr>
        <w:t>One study examined UK public willingness to trade-off the possible risks associated with nuclear power plants with that of climate change</w:t>
      </w:r>
      <w:r w:rsidR="00E5545B">
        <w:rPr>
          <w:sz w:val="28"/>
          <w:szCs w:val="28"/>
        </w:rPr>
        <w:t>,</w:t>
      </w:r>
      <w:r>
        <w:rPr>
          <w:sz w:val="28"/>
          <w:szCs w:val="28"/>
        </w:rPr>
        <w:t xml:space="preserve"> and </w:t>
      </w:r>
      <w:r w:rsidR="00AE62D8">
        <w:rPr>
          <w:sz w:val="28"/>
          <w:szCs w:val="28"/>
        </w:rPr>
        <w:t xml:space="preserve">although a high number of the British public would be willing to accept nuclear power in such circumstances, most of the public saw climate change and nuclear power </w:t>
      </w:r>
      <w:r w:rsidR="00B15553">
        <w:rPr>
          <w:sz w:val="28"/>
          <w:szCs w:val="28"/>
        </w:rPr>
        <w:t xml:space="preserve">more or less equally </w:t>
      </w:r>
      <w:r w:rsidR="00AE62D8">
        <w:rPr>
          <w:sz w:val="28"/>
          <w:szCs w:val="28"/>
        </w:rPr>
        <w:t>problematic</w:t>
      </w:r>
      <w:r w:rsidR="007B3E82">
        <w:rPr>
          <w:sz w:val="28"/>
          <w:szCs w:val="28"/>
        </w:rPr>
        <w:t xml:space="preserve">.  Rather the UK publics would prefer to use </w:t>
      </w:r>
      <w:r w:rsidR="00AE62D8">
        <w:rPr>
          <w:sz w:val="28"/>
          <w:szCs w:val="28"/>
        </w:rPr>
        <w:t xml:space="preserve">renewable energy sources </w:t>
      </w:r>
      <w:r w:rsidR="007B3E82">
        <w:rPr>
          <w:sz w:val="28"/>
          <w:szCs w:val="28"/>
        </w:rPr>
        <w:t>to solve the climate change issue</w:t>
      </w:r>
      <w:r w:rsidR="00B15553">
        <w:rPr>
          <w:sz w:val="28"/>
          <w:szCs w:val="28"/>
        </w:rPr>
        <w:t xml:space="preserve"> </w:t>
      </w:r>
      <w:r>
        <w:rPr>
          <w:sz w:val="28"/>
          <w:szCs w:val="28"/>
        </w:rPr>
        <w:t xml:space="preserve">(Pidgeon et al 2008).  </w:t>
      </w:r>
      <w:r w:rsidR="00A40719">
        <w:rPr>
          <w:sz w:val="28"/>
          <w:szCs w:val="28"/>
        </w:rPr>
        <w:t>Within European policy circles</w:t>
      </w:r>
      <w:r w:rsidR="00AE62D8">
        <w:rPr>
          <w:sz w:val="28"/>
          <w:szCs w:val="28"/>
        </w:rPr>
        <w:t>,</w:t>
      </w:r>
      <w:r w:rsidR="00A40719">
        <w:rPr>
          <w:sz w:val="28"/>
          <w:szCs w:val="28"/>
        </w:rPr>
        <w:t xml:space="preserve"> European and US based academics repeatedly raise the importance of risk-risk tradeoffs (eg Graham and Hsia 2002; Lofstedt 2013; Wiener et al </w:t>
      </w:r>
      <w:r w:rsidR="001679E5">
        <w:rPr>
          <w:sz w:val="28"/>
          <w:szCs w:val="28"/>
        </w:rPr>
        <w:t>201</w:t>
      </w:r>
      <w:r w:rsidR="00B15553">
        <w:rPr>
          <w:sz w:val="28"/>
          <w:szCs w:val="28"/>
        </w:rPr>
        <w:t>1</w:t>
      </w:r>
      <w:r w:rsidR="00A40719">
        <w:rPr>
          <w:sz w:val="28"/>
          <w:szCs w:val="28"/>
        </w:rPr>
        <w:t xml:space="preserve">).  </w:t>
      </w:r>
      <w:r w:rsidR="00A64F0C">
        <w:rPr>
          <w:sz w:val="28"/>
          <w:szCs w:val="28"/>
        </w:rPr>
        <w:t>P</w:t>
      </w:r>
      <w:r w:rsidR="009730EF">
        <w:rPr>
          <w:sz w:val="28"/>
          <w:szCs w:val="28"/>
        </w:rPr>
        <w:t>olicy makers that the first author interviewed</w:t>
      </w:r>
      <w:r w:rsidR="00A64F0C">
        <w:rPr>
          <w:sz w:val="28"/>
          <w:szCs w:val="28"/>
        </w:rPr>
        <w:t>, for example,</w:t>
      </w:r>
      <w:r w:rsidR="009730EF">
        <w:rPr>
          <w:sz w:val="28"/>
          <w:szCs w:val="28"/>
        </w:rPr>
        <w:t xml:space="preserve"> were aware of the concept with some </w:t>
      </w:r>
      <w:r w:rsidR="00A64F0C">
        <w:rPr>
          <w:sz w:val="28"/>
          <w:szCs w:val="28"/>
        </w:rPr>
        <w:t xml:space="preserve">of them </w:t>
      </w:r>
      <w:r w:rsidR="009730EF">
        <w:rPr>
          <w:sz w:val="28"/>
          <w:szCs w:val="28"/>
        </w:rPr>
        <w:t>finding it important while others ignoring it.  On</w:t>
      </w:r>
      <w:r w:rsidR="0017530B">
        <w:rPr>
          <w:sz w:val="28"/>
          <w:szCs w:val="28"/>
        </w:rPr>
        <w:t>e</w:t>
      </w:r>
      <w:r w:rsidR="009730EF">
        <w:rPr>
          <w:sz w:val="28"/>
          <w:szCs w:val="28"/>
        </w:rPr>
        <w:t xml:space="preserve"> senior Swedish civil servant noted:</w:t>
      </w:r>
    </w:p>
    <w:p w:rsidR="009730EF" w:rsidRDefault="009730EF" w:rsidP="00EB2F73">
      <w:pPr>
        <w:ind w:left="720"/>
        <w:rPr>
          <w:sz w:val="28"/>
          <w:szCs w:val="28"/>
        </w:rPr>
      </w:pPr>
      <w:r>
        <w:rPr>
          <w:sz w:val="28"/>
          <w:szCs w:val="28"/>
        </w:rPr>
        <w:t>“Yes I understand the concept of risk-risk tradeoffs.  It is rather quite logical and rational.  But to be honest I don’t necessarily adhere to it.  If my Minister wants a bill passed regarding the phase out of a certain chemical I will do everything I can to get the bill passed whether it is completely sensible or not.  I am loyal to my Minister.” (Interview with author November 2013)</w:t>
      </w:r>
    </w:p>
    <w:p w:rsidR="009730EF" w:rsidRDefault="009730EF" w:rsidP="000A1587">
      <w:pPr>
        <w:rPr>
          <w:sz w:val="28"/>
          <w:szCs w:val="28"/>
        </w:rPr>
      </w:pPr>
    </w:p>
    <w:p w:rsidR="009730EF" w:rsidRDefault="009730EF" w:rsidP="000A1587">
      <w:pPr>
        <w:rPr>
          <w:sz w:val="28"/>
          <w:szCs w:val="28"/>
        </w:rPr>
      </w:pPr>
      <w:r>
        <w:rPr>
          <w:sz w:val="28"/>
          <w:szCs w:val="28"/>
        </w:rPr>
        <w:t>On the opposite side of the argument one UK civil servant noted:</w:t>
      </w:r>
    </w:p>
    <w:p w:rsidR="009730EF" w:rsidRDefault="00EB2F73" w:rsidP="00EB2F73">
      <w:pPr>
        <w:ind w:left="720"/>
        <w:rPr>
          <w:sz w:val="28"/>
          <w:szCs w:val="28"/>
        </w:rPr>
      </w:pPr>
      <w:r>
        <w:rPr>
          <w:sz w:val="28"/>
          <w:szCs w:val="28"/>
        </w:rPr>
        <w:t xml:space="preserve">“We take pride </w:t>
      </w:r>
      <w:r w:rsidR="00C86697">
        <w:rPr>
          <w:sz w:val="28"/>
          <w:szCs w:val="28"/>
        </w:rPr>
        <w:t>in being</w:t>
      </w:r>
      <w:r>
        <w:rPr>
          <w:sz w:val="28"/>
          <w:szCs w:val="28"/>
        </w:rPr>
        <w:t xml:space="preserve"> as evidence based as possible in our Department and</w:t>
      </w:r>
      <w:r w:rsidR="00AE62D8">
        <w:rPr>
          <w:sz w:val="28"/>
          <w:szCs w:val="28"/>
        </w:rPr>
        <w:t>,</w:t>
      </w:r>
      <w:r>
        <w:rPr>
          <w:sz w:val="28"/>
          <w:szCs w:val="28"/>
        </w:rPr>
        <w:t xml:space="preserve"> as result</w:t>
      </w:r>
      <w:r w:rsidR="00AE62D8">
        <w:rPr>
          <w:sz w:val="28"/>
          <w:szCs w:val="28"/>
        </w:rPr>
        <w:t>,</w:t>
      </w:r>
      <w:r>
        <w:rPr>
          <w:sz w:val="28"/>
          <w:szCs w:val="28"/>
        </w:rPr>
        <w:t xml:space="preserve"> we follow the discussion regarding risk-risk tradeoffs with keen interest.  It is in everyone’s interest that regulations are as robust as possible and </w:t>
      </w:r>
      <w:r w:rsidR="00BF203C">
        <w:rPr>
          <w:sz w:val="28"/>
          <w:szCs w:val="28"/>
        </w:rPr>
        <w:t xml:space="preserve">a </w:t>
      </w:r>
      <w:r>
        <w:rPr>
          <w:sz w:val="28"/>
          <w:szCs w:val="28"/>
        </w:rPr>
        <w:t xml:space="preserve">better understanding </w:t>
      </w:r>
      <w:r w:rsidR="007B3E82">
        <w:rPr>
          <w:sz w:val="28"/>
          <w:szCs w:val="28"/>
        </w:rPr>
        <w:t xml:space="preserve">of </w:t>
      </w:r>
      <w:r>
        <w:rPr>
          <w:sz w:val="28"/>
          <w:szCs w:val="28"/>
        </w:rPr>
        <w:t xml:space="preserve">risk-risk tradeoffs </w:t>
      </w:r>
      <w:r w:rsidR="007B3E82">
        <w:rPr>
          <w:sz w:val="28"/>
          <w:szCs w:val="28"/>
        </w:rPr>
        <w:t xml:space="preserve">should </w:t>
      </w:r>
      <w:r>
        <w:rPr>
          <w:sz w:val="28"/>
          <w:szCs w:val="28"/>
        </w:rPr>
        <w:t>help us achieve this goal.” (Interview with author October 2013).</w:t>
      </w:r>
    </w:p>
    <w:p w:rsidR="00EB2F73" w:rsidRDefault="00EB2F73" w:rsidP="000A1587">
      <w:pPr>
        <w:rPr>
          <w:sz w:val="28"/>
          <w:szCs w:val="28"/>
        </w:rPr>
      </w:pPr>
    </w:p>
    <w:p w:rsidR="00EB2F73" w:rsidRDefault="00EB2F73" w:rsidP="000A1587">
      <w:pPr>
        <w:rPr>
          <w:sz w:val="28"/>
          <w:szCs w:val="28"/>
        </w:rPr>
      </w:pPr>
      <w:r>
        <w:rPr>
          <w:sz w:val="28"/>
          <w:szCs w:val="28"/>
        </w:rPr>
        <w:t>In discussion with civil servants and politicians, however, one issue that was repeatedly raised was the lack of European risk-risk tradeoffs examples.  The Graham and Wiener book, which contained no less than 9 case studies were all American based.  Similar</w:t>
      </w:r>
      <w:r w:rsidR="00A61E05">
        <w:rPr>
          <w:sz w:val="28"/>
          <w:szCs w:val="28"/>
        </w:rPr>
        <w:t>ly</w:t>
      </w:r>
      <w:r w:rsidR="00AE62D8">
        <w:rPr>
          <w:sz w:val="28"/>
          <w:szCs w:val="28"/>
        </w:rPr>
        <w:t>,</w:t>
      </w:r>
      <w:r>
        <w:rPr>
          <w:sz w:val="28"/>
          <w:szCs w:val="28"/>
        </w:rPr>
        <w:t xml:space="preserve"> the examples used by Viscusi and others where US based.  In the next section I provide 3 concrete European examples.</w:t>
      </w:r>
    </w:p>
    <w:p w:rsidR="00EB2F73" w:rsidRDefault="00EB2F73" w:rsidP="000A1587">
      <w:pPr>
        <w:rPr>
          <w:sz w:val="28"/>
          <w:szCs w:val="28"/>
        </w:rPr>
      </w:pPr>
    </w:p>
    <w:p w:rsidR="002F241B" w:rsidRPr="00BF203C" w:rsidRDefault="002F241B" w:rsidP="00BF203C">
      <w:pPr>
        <w:pStyle w:val="ListParagraph"/>
        <w:numPr>
          <w:ilvl w:val="0"/>
          <w:numId w:val="3"/>
        </w:numPr>
        <w:rPr>
          <w:b/>
          <w:sz w:val="28"/>
          <w:szCs w:val="28"/>
        </w:rPr>
      </w:pPr>
      <w:r w:rsidRPr="00BF203C">
        <w:rPr>
          <w:b/>
          <w:sz w:val="28"/>
          <w:szCs w:val="28"/>
        </w:rPr>
        <w:t>Risk-risk tradeoff case studies</w:t>
      </w:r>
    </w:p>
    <w:p w:rsidR="00EB2F73" w:rsidRDefault="00EB2F73" w:rsidP="00EB2F73">
      <w:pPr>
        <w:rPr>
          <w:sz w:val="28"/>
          <w:szCs w:val="28"/>
        </w:rPr>
      </w:pPr>
      <w:r>
        <w:rPr>
          <w:sz w:val="28"/>
          <w:szCs w:val="28"/>
        </w:rPr>
        <w:t xml:space="preserve">There are a number of case studies </w:t>
      </w:r>
      <w:r w:rsidR="00533C0F">
        <w:rPr>
          <w:sz w:val="28"/>
          <w:szCs w:val="28"/>
        </w:rPr>
        <w:t>we</w:t>
      </w:r>
      <w:r>
        <w:rPr>
          <w:sz w:val="28"/>
          <w:szCs w:val="28"/>
        </w:rPr>
        <w:t xml:space="preserve"> could </w:t>
      </w:r>
      <w:r w:rsidR="005E27A0">
        <w:rPr>
          <w:sz w:val="28"/>
          <w:szCs w:val="28"/>
        </w:rPr>
        <w:t>choose from to explore ri</w:t>
      </w:r>
      <w:r>
        <w:rPr>
          <w:sz w:val="28"/>
          <w:szCs w:val="28"/>
        </w:rPr>
        <w:t>s</w:t>
      </w:r>
      <w:r w:rsidR="005E27A0">
        <w:rPr>
          <w:sz w:val="28"/>
          <w:szCs w:val="28"/>
        </w:rPr>
        <w:t>k</w:t>
      </w:r>
      <w:r>
        <w:rPr>
          <w:sz w:val="28"/>
          <w:szCs w:val="28"/>
        </w:rPr>
        <w:t>-risk tradeoffs.  In order to get a</w:t>
      </w:r>
      <w:r w:rsidR="007B3E82">
        <w:rPr>
          <w:sz w:val="28"/>
          <w:szCs w:val="28"/>
        </w:rPr>
        <w:t>s</w:t>
      </w:r>
      <w:r>
        <w:rPr>
          <w:sz w:val="28"/>
          <w:szCs w:val="28"/>
        </w:rPr>
        <w:t xml:space="preserve"> broad </w:t>
      </w:r>
      <w:r w:rsidR="007B3E82">
        <w:rPr>
          <w:sz w:val="28"/>
          <w:szCs w:val="28"/>
        </w:rPr>
        <w:t xml:space="preserve">a </w:t>
      </w:r>
      <w:r>
        <w:rPr>
          <w:sz w:val="28"/>
          <w:szCs w:val="28"/>
        </w:rPr>
        <w:t xml:space="preserve">set as possible </w:t>
      </w:r>
      <w:r w:rsidR="009946DD">
        <w:rPr>
          <w:sz w:val="28"/>
          <w:szCs w:val="28"/>
        </w:rPr>
        <w:t>we</w:t>
      </w:r>
      <w:r>
        <w:rPr>
          <w:sz w:val="28"/>
          <w:szCs w:val="28"/>
        </w:rPr>
        <w:t xml:space="preserve"> decided to pick 3 different cases</w:t>
      </w:r>
      <w:r w:rsidR="007B3E82">
        <w:rPr>
          <w:sz w:val="28"/>
          <w:szCs w:val="28"/>
        </w:rPr>
        <w:t xml:space="preserve"> studies</w:t>
      </w:r>
      <w:r>
        <w:rPr>
          <w:sz w:val="28"/>
          <w:szCs w:val="28"/>
        </w:rPr>
        <w:t xml:space="preserve">: one energy </w:t>
      </w:r>
      <w:r w:rsidR="00784B3A">
        <w:rPr>
          <w:sz w:val="28"/>
          <w:szCs w:val="28"/>
        </w:rPr>
        <w:t xml:space="preserve">case, and then cases from the </w:t>
      </w:r>
      <w:r w:rsidR="001679E5">
        <w:rPr>
          <w:sz w:val="28"/>
          <w:szCs w:val="28"/>
        </w:rPr>
        <w:t>plant/crop protection products (</w:t>
      </w:r>
      <w:r w:rsidR="00784B3A">
        <w:rPr>
          <w:sz w:val="28"/>
          <w:szCs w:val="28"/>
        </w:rPr>
        <w:t>pesticides</w:t>
      </w:r>
      <w:r w:rsidR="001679E5">
        <w:rPr>
          <w:sz w:val="28"/>
          <w:szCs w:val="28"/>
        </w:rPr>
        <w:t>)</w:t>
      </w:r>
      <w:r w:rsidR="00784B3A">
        <w:rPr>
          <w:sz w:val="28"/>
          <w:szCs w:val="28"/>
        </w:rPr>
        <w:t xml:space="preserve"> and pharma</w:t>
      </w:r>
      <w:r w:rsidR="001679E5">
        <w:rPr>
          <w:sz w:val="28"/>
          <w:szCs w:val="28"/>
        </w:rPr>
        <w:t>ceuticals/biotechnology</w:t>
      </w:r>
      <w:r w:rsidR="00784B3A">
        <w:rPr>
          <w:sz w:val="28"/>
          <w:szCs w:val="28"/>
        </w:rPr>
        <w:t xml:space="preserve"> sectors respectively.</w:t>
      </w:r>
      <w:r w:rsidR="00A61E05">
        <w:rPr>
          <w:sz w:val="28"/>
          <w:szCs w:val="28"/>
        </w:rPr>
        <w:t xml:space="preserve">  </w:t>
      </w:r>
      <w:r w:rsidR="00533C0F">
        <w:rPr>
          <w:sz w:val="28"/>
          <w:szCs w:val="28"/>
        </w:rPr>
        <w:t xml:space="preserve">We chose these case studies on two primary criteria: firstly, </w:t>
      </w:r>
      <w:r w:rsidR="007B3E82">
        <w:rPr>
          <w:sz w:val="28"/>
          <w:szCs w:val="28"/>
        </w:rPr>
        <w:t>the</w:t>
      </w:r>
      <w:r w:rsidR="00533C0F">
        <w:rPr>
          <w:sz w:val="28"/>
          <w:szCs w:val="28"/>
        </w:rPr>
        <w:t xml:space="preserve">  familiarity of the case in question and secondly, the</w:t>
      </w:r>
      <w:r w:rsidR="007B3E82">
        <w:rPr>
          <w:sz w:val="28"/>
          <w:szCs w:val="28"/>
        </w:rPr>
        <w:t xml:space="preserve"> </w:t>
      </w:r>
      <w:r w:rsidR="00533C0F">
        <w:rPr>
          <w:sz w:val="28"/>
          <w:szCs w:val="28"/>
        </w:rPr>
        <w:t xml:space="preserve">broader policy relevance.  All three case studies have direct policy relevance, of which case study 3, that of Tysabri, has received </w:t>
      </w:r>
      <w:r w:rsidR="003F60EB">
        <w:rPr>
          <w:sz w:val="28"/>
          <w:szCs w:val="28"/>
        </w:rPr>
        <w:t xml:space="preserve">much </w:t>
      </w:r>
      <w:r w:rsidR="00533C0F">
        <w:rPr>
          <w:sz w:val="28"/>
          <w:szCs w:val="28"/>
        </w:rPr>
        <w:t xml:space="preserve">attention from policy makers on both sides of the Atlantic.  In addition, independently, we have worked on all three cases at some point in our careers.  </w:t>
      </w:r>
    </w:p>
    <w:p w:rsidR="00A61E05" w:rsidRPr="00EB2F73" w:rsidRDefault="00A61E05" w:rsidP="00EB2F73">
      <w:pPr>
        <w:rPr>
          <w:sz w:val="28"/>
          <w:szCs w:val="28"/>
        </w:rPr>
      </w:pPr>
    </w:p>
    <w:p w:rsidR="002F241B" w:rsidRPr="00784B3A" w:rsidRDefault="002F241B" w:rsidP="00BF203C">
      <w:pPr>
        <w:pStyle w:val="ListParagraph"/>
        <w:numPr>
          <w:ilvl w:val="1"/>
          <w:numId w:val="4"/>
        </w:numPr>
        <w:rPr>
          <w:b/>
          <w:sz w:val="28"/>
          <w:szCs w:val="28"/>
        </w:rPr>
      </w:pPr>
      <w:r w:rsidRPr="00784B3A">
        <w:rPr>
          <w:b/>
          <w:sz w:val="28"/>
          <w:szCs w:val="28"/>
        </w:rPr>
        <w:t>A risk transfer example</w:t>
      </w:r>
      <w:r w:rsidR="00A61E05" w:rsidRPr="00784B3A">
        <w:rPr>
          <w:b/>
          <w:sz w:val="28"/>
          <w:szCs w:val="28"/>
        </w:rPr>
        <w:t>-closing the Barseback nuclear power station</w:t>
      </w:r>
    </w:p>
    <w:p w:rsidR="00E909C3" w:rsidRDefault="00A506F2" w:rsidP="00D46022">
      <w:pPr>
        <w:rPr>
          <w:sz w:val="28"/>
          <w:szCs w:val="28"/>
        </w:rPr>
      </w:pPr>
      <w:r>
        <w:rPr>
          <w:sz w:val="28"/>
          <w:szCs w:val="28"/>
        </w:rPr>
        <w:t xml:space="preserve">Nuclear power has long been a contested issue in Sweden, especially in the 1970s and 1980s when elections were won and lost depending where one stood on whether to phase out or keep Sweden’s nuclear </w:t>
      </w:r>
      <w:r w:rsidR="00784B3A">
        <w:rPr>
          <w:sz w:val="28"/>
          <w:szCs w:val="28"/>
        </w:rPr>
        <w:t>reactors</w:t>
      </w:r>
      <w:r w:rsidR="00A61E05">
        <w:rPr>
          <w:sz w:val="28"/>
          <w:szCs w:val="28"/>
        </w:rPr>
        <w:t xml:space="preserve"> </w:t>
      </w:r>
      <w:r w:rsidR="007B3E82">
        <w:rPr>
          <w:sz w:val="28"/>
          <w:szCs w:val="28"/>
        </w:rPr>
        <w:t xml:space="preserve">working </w:t>
      </w:r>
      <w:r w:rsidR="00A61E05">
        <w:rPr>
          <w:sz w:val="28"/>
          <w:szCs w:val="28"/>
        </w:rPr>
        <w:t>(eg Anshelm 2000; Lofstedt 1993; Sahr 1985; Vedung 1980 and 1991)</w:t>
      </w:r>
      <w:r>
        <w:rPr>
          <w:sz w:val="28"/>
          <w:szCs w:val="28"/>
        </w:rPr>
        <w:t xml:space="preserve">. </w:t>
      </w:r>
      <w:r w:rsidR="00F941A7">
        <w:rPr>
          <w:sz w:val="28"/>
          <w:szCs w:val="28"/>
        </w:rPr>
        <w:t>In 1976, for example, the Social Democrats failed to gain a majority in the elections and lost control of the Swedish parliament for the first time in 44 years because of a strong showing of the anti-nuclear Center Party.  Similarly follow</w:t>
      </w:r>
      <w:r w:rsidR="007B3E82">
        <w:rPr>
          <w:sz w:val="28"/>
          <w:szCs w:val="28"/>
        </w:rPr>
        <w:t>ing the 1979 Three Mile Island a</w:t>
      </w:r>
      <w:r w:rsidR="00F941A7">
        <w:rPr>
          <w:sz w:val="28"/>
          <w:szCs w:val="28"/>
        </w:rPr>
        <w:t xml:space="preserve">ccident, the decision was taken to hold a </w:t>
      </w:r>
      <w:r w:rsidR="007B3E82">
        <w:rPr>
          <w:sz w:val="28"/>
          <w:szCs w:val="28"/>
        </w:rPr>
        <w:t>“</w:t>
      </w:r>
      <w:r w:rsidR="00F941A7">
        <w:rPr>
          <w:sz w:val="28"/>
          <w:szCs w:val="28"/>
        </w:rPr>
        <w:t>nuclear</w:t>
      </w:r>
      <w:r w:rsidR="007B3E82">
        <w:rPr>
          <w:sz w:val="28"/>
          <w:szCs w:val="28"/>
        </w:rPr>
        <w:t>”</w:t>
      </w:r>
      <w:r w:rsidR="00F941A7">
        <w:rPr>
          <w:sz w:val="28"/>
          <w:szCs w:val="28"/>
        </w:rPr>
        <w:t xml:space="preserve"> referendum in Sweden which </w:t>
      </w:r>
      <w:r w:rsidR="00EE0F8F">
        <w:rPr>
          <w:sz w:val="28"/>
          <w:szCs w:val="28"/>
        </w:rPr>
        <w:t xml:space="preserve">resulted in a </w:t>
      </w:r>
      <w:r w:rsidR="00F941A7">
        <w:rPr>
          <w:sz w:val="28"/>
          <w:szCs w:val="28"/>
        </w:rPr>
        <w:t xml:space="preserve">call for the </w:t>
      </w:r>
      <w:r w:rsidR="003F60EB">
        <w:rPr>
          <w:sz w:val="28"/>
          <w:szCs w:val="28"/>
        </w:rPr>
        <w:t xml:space="preserve">nation’s </w:t>
      </w:r>
      <w:r w:rsidR="00F941A7">
        <w:rPr>
          <w:sz w:val="28"/>
          <w:szCs w:val="28"/>
        </w:rPr>
        <w:t>12 nuclear reactors  to be phased-out by 2</w:t>
      </w:r>
      <w:r w:rsidR="00E909C3">
        <w:rPr>
          <w:sz w:val="28"/>
          <w:szCs w:val="28"/>
        </w:rPr>
        <w:t>0</w:t>
      </w:r>
      <w:r w:rsidR="00F941A7">
        <w:rPr>
          <w:sz w:val="28"/>
          <w:szCs w:val="28"/>
        </w:rPr>
        <w:t xml:space="preserve">10 at the latest (Lofstedt 1993; Sahr 1985). </w:t>
      </w:r>
      <w:r w:rsidR="00906293">
        <w:rPr>
          <w:sz w:val="28"/>
          <w:szCs w:val="28"/>
        </w:rPr>
        <w:t xml:space="preserve"> In 1986 the Chernobyl disaster, which was first detected outside the then Soviet Union by monitoring equipment at the Forsmark nuclear power plant in Sweden, spread radiation over southern Lapland and the Swedish province of  Gastriksland.  This disaster caused concern among Swedish policy makers, leading to the then Energy and Environmental Minister, Birgitta Dahl, pledg</w:t>
      </w:r>
      <w:r w:rsidR="00EE0F8F">
        <w:rPr>
          <w:sz w:val="28"/>
          <w:szCs w:val="28"/>
        </w:rPr>
        <w:t>ing</w:t>
      </w:r>
      <w:r w:rsidR="00906293">
        <w:rPr>
          <w:sz w:val="28"/>
          <w:szCs w:val="28"/>
        </w:rPr>
        <w:t xml:space="preserve"> </w:t>
      </w:r>
      <w:r w:rsidR="00EE0F8F">
        <w:rPr>
          <w:sz w:val="28"/>
          <w:szCs w:val="28"/>
        </w:rPr>
        <w:t>to</w:t>
      </w:r>
      <w:r w:rsidR="00906293">
        <w:rPr>
          <w:sz w:val="28"/>
          <w:szCs w:val="28"/>
        </w:rPr>
        <w:t xml:space="preserve"> close down of two nuclear reactors by 1996 (Lofstedt 2001). </w:t>
      </w:r>
      <w:r w:rsidR="00EE0F8F">
        <w:rPr>
          <w:sz w:val="28"/>
          <w:szCs w:val="28"/>
        </w:rPr>
        <w:t>However, t</w:t>
      </w:r>
      <w:r w:rsidR="00906293">
        <w:rPr>
          <w:sz w:val="28"/>
          <w:szCs w:val="28"/>
        </w:rPr>
        <w:t xml:space="preserve">his pledge </w:t>
      </w:r>
      <w:r w:rsidR="00EE0F8F">
        <w:rPr>
          <w:sz w:val="28"/>
          <w:szCs w:val="28"/>
        </w:rPr>
        <w:t>was</w:t>
      </w:r>
      <w:r w:rsidR="00906293">
        <w:rPr>
          <w:sz w:val="28"/>
          <w:szCs w:val="28"/>
        </w:rPr>
        <w:t xml:space="preserve"> quickly forgotten in the early 1990s as Sweden was facing a recession that held the attention of policy makers</w:t>
      </w:r>
      <w:r w:rsidR="00EE0F8F">
        <w:rPr>
          <w:sz w:val="28"/>
          <w:szCs w:val="28"/>
        </w:rPr>
        <w:t xml:space="preserve"> instead</w:t>
      </w:r>
      <w:r w:rsidR="00906293">
        <w:rPr>
          <w:sz w:val="28"/>
          <w:szCs w:val="28"/>
        </w:rPr>
        <w:t xml:space="preserve">.  </w:t>
      </w:r>
      <w:r w:rsidR="00EE0F8F">
        <w:rPr>
          <w:sz w:val="28"/>
          <w:szCs w:val="28"/>
        </w:rPr>
        <w:t>Having said this t</w:t>
      </w:r>
      <w:r w:rsidR="00906293">
        <w:rPr>
          <w:sz w:val="28"/>
          <w:szCs w:val="28"/>
        </w:rPr>
        <w:t xml:space="preserve">he future of Sweden’s nuclear power came back to the forefront </w:t>
      </w:r>
      <w:r w:rsidR="003F60EB">
        <w:rPr>
          <w:sz w:val="28"/>
          <w:szCs w:val="28"/>
        </w:rPr>
        <w:t xml:space="preserve">in the 1994 election campaign </w:t>
      </w:r>
      <w:r w:rsidR="00906293">
        <w:rPr>
          <w:sz w:val="28"/>
          <w:szCs w:val="28"/>
        </w:rPr>
        <w:t>when the then leader of the Social Dem</w:t>
      </w:r>
      <w:r w:rsidR="00EE0F8F">
        <w:rPr>
          <w:sz w:val="28"/>
          <w:szCs w:val="28"/>
        </w:rPr>
        <w:t>o</w:t>
      </w:r>
      <w:r w:rsidR="00906293">
        <w:rPr>
          <w:sz w:val="28"/>
          <w:szCs w:val="28"/>
        </w:rPr>
        <w:t xml:space="preserve">cratic opposition, Ingvar Karlsson, noted that should he be elected that he </w:t>
      </w:r>
      <w:r w:rsidR="00E909C3">
        <w:rPr>
          <w:sz w:val="28"/>
          <w:szCs w:val="28"/>
        </w:rPr>
        <w:t xml:space="preserve">would stand by the promise to phase out all of 12 nuclear reactors by 2010 and start the phase out within the next election period (in line with Dahl’s pledge).  The results of the 1994 election gave the Social Democrats 45 percent of the seats.  With their hand forced by the need to build a ruling coalition with the Center Party, they </w:t>
      </w:r>
      <w:r w:rsidR="00EE0F8F">
        <w:rPr>
          <w:sz w:val="28"/>
          <w:szCs w:val="28"/>
        </w:rPr>
        <w:t xml:space="preserve">stood by </w:t>
      </w:r>
      <w:r w:rsidR="00E909C3">
        <w:rPr>
          <w:sz w:val="28"/>
          <w:szCs w:val="28"/>
        </w:rPr>
        <w:t xml:space="preserve">their campaign promise and announced that the phase-out of nuclear power would begin in 1995 or 1996 (Anshelm 2000). </w:t>
      </w:r>
      <w:r w:rsidR="00F941A7">
        <w:rPr>
          <w:sz w:val="28"/>
          <w:szCs w:val="28"/>
        </w:rPr>
        <w:t xml:space="preserve"> </w:t>
      </w:r>
      <w:r>
        <w:rPr>
          <w:sz w:val="28"/>
          <w:szCs w:val="28"/>
        </w:rPr>
        <w:t xml:space="preserve"> </w:t>
      </w:r>
    </w:p>
    <w:p w:rsidR="00E909C3" w:rsidRDefault="00E909C3" w:rsidP="00D46022">
      <w:pPr>
        <w:rPr>
          <w:sz w:val="28"/>
          <w:szCs w:val="28"/>
        </w:rPr>
      </w:pPr>
    </w:p>
    <w:p w:rsidR="00D46022" w:rsidRDefault="00784B3A" w:rsidP="00D46022">
      <w:pPr>
        <w:rPr>
          <w:sz w:val="28"/>
          <w:szCs w:val="28"/>
        </w:rPr>
      </w:pPr>
      <w:r>
        <w:rPr>
          <w:sz w:val="28"/>
          <w:szCs w:val="28"/>
        </w:rPr>
        <w:t xml:space="preserve">In their initial negotiations </w:t>
      </w:r>
      <w:r w:rsidR="0053676E">
        <w:rPr>
          <w:sz w:val="28"/>
          <w:szCs w:val="28"/>
        </w:rPr>
        <w:t>they decide</w:t>
      </w:r>
      <w:r>
        <w:rPr>
          <w:sz w:val="28"/>
          <w:szCs w:val="28"/>
        </w:rPr>
        <w:t>d</w:t>
      </w:r>
      <w:r w:rsidR="0053676E">
        <w:rPr>
          <w:sz w:val="28"/>
          <w:szCs w:val="28"/>
        </w:rPr>
        <w:t xml:space="preserve"> to target two reactors at the Barseback site located in southern Sweden some 20 kilometers away from Malmo (and 30 minutes away from </w:t>
      </w:r>
      <w:r w:rsidR="00BF203C">
        <w:rPr>
          <w:sz w:val="28"/>
          <w:szCs w:val="28"/>
        </w:rPr>
        <w:t xml:space="preserve">Copenhagen, </w:t>
      </w:r>
      <w:r w:rsidR="0053676E">
        <w:rPr>
          <w:sz w:val="28"/>
          <w:szCs w:val="28"/>
        </w:rPr>
        <w:t xml:space="preserve">Denmark via the bridge across the Oresund straight).  </w:t>
      </w:r>
      <w:r w:rsidR="009F1C6C">
        <w:rPr>
          <w:sz w:val="28"/>
          <w:szCs w:val="28"/>
        </w:rPr>
        <w:t>Although t</w:t>
      </w:r>
      <w:r w:rsidR="0053676E">
        <w:rPr>
          <w:sz w:val="28"/>
          <w:szCs w:val="28"/>
        </w:rPr>
        <w:t xml:space="preserve">hese two nuclear reactors were as safe as </w:t>
      </w:r>
      <w:r>
        <w:rPr>
          <w:sz w:val="28"/>
          <w:szCs w:val="28"/>
        </w:rPr>
        <w:t xml:space="preserve">any of </w:t>
      </w:r>
      <w:r w:rsidR="009F1C6C">
        <w:rPr>
          <w:sz w:val="28"/>
          <w:szCs w:val="28"/>
        </w:rPr>
        <w:t xml:space="preserve">the </w:t>
      </w:r>
      <w:r w:rsidR="0053676E">
        <w:rPr>
          <w:sz w:val="28"/>
          <w:szCs w:val="28"/>
        </w:rPr>
        <w:t xml:space="preserve">other nuclear </w:t>
      </w:r>
      <w:r w:rsidR="009F1C6C">
        <w:rPr>
          <w:sz w:val="28"/>
          <w:szCs w:val="28"/>
        </w:rPr>
        <w:t xml:space="preserve">reactors </w:t>
      </w:r>
      <w:r w:rsidR="0053676E">
        <w:rPr>
          <w:sz w:val="28"/>
          <w:szCs w:val="28"/>
        </w:rPr>
        <w:t xml:space="preserve">in Sweden, </w:t>
      </w:r>
      <w:r w:rsidR="009F1C6C">
        <w:rPr>
          <w:sz w:val="28"/>
          <w:szCs w:val="28"/>
        </w:rPr>
        <w:t>they were picked for two main reasons: firstly</w:t>
      </w:r>
      <w:r w:rsidR="0034455B">
        <w:rPr>
          <w:sz w:val="28"/>
          <w:szCs w:val="28"/>
        </w:rPr>
        <w:t>,</w:t>
      </w:r>
      <w:r w:rsidR="009F1C6C">
        <w:rPr>
          <w:sz w:val="28"/>
          <w:szCs w:val="28"/>
        </w:rPr>
        <w:t xml:space="preserve"> they were small compared to the other Swedish reactors </w:t>
      </w:r>
      <w:r w:rsidR="00862120">
        <w:rPr>
          <w:sz w:val="28"/>
          <w:szCs w:val="28"/>
        </w:rPr>
        <w:t xml:space="preserve">(615 megawatts each) </w:t>
      </w:r>
      <w:r w:rsidR="009F1C6C">
        <w:rPr>
          <w:sz w:val="28"/>
          <w:szCs w:val="28"/>
        </w:rPr>
        <w:t xml:space="preserve">and secondly, and more importantly, they were built in the </w:t>
      </w:r>
      <w:r w:rsidR="00E909C3">
        <w:rPr>
          <w:sz w:val="28"/>
          <w:szCs w:val="28"/>
        </w:rPr>
        <w:t>“</w:t>
      </w:r>
      <w:r w:rsidR="009F1C6C">
        <w:rPr>
          <w:sz w:val="28"/>
          <w:szCs w:val="28"/>
        </w:rPr>
        <w:t>wrong</w:t>
      </w:r>
      <w:r w:rsidR="00E909C3">
        <w:rPr>
          <w:sz w:val="28"/>
          <w:szCs w:val="28"/>
        </w:rPr>
        <w:t>”</w:t>
      </w:r>
      <w:r w:rsidR="009F1C6C">
        <w:rPr>
          <w:sz w:val="28"/>
          <w:szCs w:val="28"/>
        </w:rPr>
        <w:t xml:space="preserve"> place.  They were located too close to major cities </w:t>
      </w:r>
      <w:r w:rsidR="00E909C3">
        <w:rPr>
          <w:sz w:val="28"/>
          <w:szCs w:val="28"/>
        </w:rPr>
        <w:t>(most notabl</w:t>
      </w:r>
      <w:r w:rsidR="009946DD">
        <w:rPr>
          <w:sz w:val="28"/>
          <w:szCs w:val="28"/>
        </w:rPr>
        <w:t>y Copenhagen and Malmo</w:t>
      </w:r>
      <w:r w:rsidR="00E909C3">
        <w:rPr>
          <w:sz w:val="28"/>
          <w:szCs w:val="28"/>
        </w:rPr>
        <w:t xml:space="preserve">) </w:t>
      </w:r>
      <w:r w:rsidR="009F1C6C">
        <w:rPr>
          <w:sz w:val="28"/>
          <w:szCs w:val="28"/>
        </w:rPr>
        <w:t>and the antinuclear Danes were especially opposed to them (</w:t>
      </w:r>
      <w:r w:rsidR="00AE62D8">
        <w:rPr>
          <w:sz w:val="28"/>
          <w:szCs w:val="28"/>
        </w:rPr>
        <w:t xml:space="preserve">for a discussion see </w:t>
      </w:r>
      <w:r w:rsidR="009F1C6C">
        <w:rPr>
          <w:sz w:val="28"/>
          <w:szCs w:val="28"/>
        </w:rPr>
        <w:t>Lofstedt 1996).  Hence</w:t>
      </w:r>
      <w:r w:rsidR="00AE62D8">
        <w:rPr>
          <w:sz w:val="28"/>
          <w:szCs w:val="28"/>
        </w:rPr>
        <w:t>,</w:t>
      </w:r>
      <w:r w:rsidR="009F1C6C">
        <w:rPr>
          <w:sz w:val="28"/>
          <w:szCs w:val="28"/>
        </w:rPr>
        <w:t xml:space="preserve"> by closing them</w:t>
      </w:r>
      <w:r w:rsidR="00C86697">
        <w:rPr>
          <w:sz w:val="28"/>
          <w:szCs w:val="28"/>
        </w:rPr>
        <w:t>,</w:t>
      </w:r>
      <w:r w:rsidR="009F1C6C">
        <w:rPr>
          <w:sz w:val="28"/>
          <w:szCs w:val="28"/>
        </w:rPr>
        <w:t xml:space="preserve"> rather than reactors at Ringhals or Forsmark </w:t>
      </w:r>
      <w:r w:rsidR="00AE62D8">
        <w:rPr>
          <w:sz w:val="28"/>
          <w:szCs w:val="28"/>
        </w:rPr>
        <w:t xml:space="preserve">nuclear power stations </w:t>
      </w:r>
      <w:r w:rsidR="009F1C6C">
        <w:rPr>
          <w:sz w:val="28"/>
          <w:szCs w:val="28"/>
        </w:rPr>
        <w:t xml:space="preserve">the authorities </w:t>
      </w:r>
      <w:r w:rsidR="00E909C3">
        <w:rPr>
          <w:sz w:val="28"/>
          <w:szCs w:val="28"/>
        </w:rPr>
        <w:t xml:space="preserve">hoped that they </w:t>
      </w:r>
      <w:r w:rsidR="009F1C6C">
        <w:rPr>
          <w:sz w:val="28"/>
          <w:szCs w:val="28"/>
        </w:rPr>
        <w:t>would be able to make amends with senior Danish policy makers.</w:t>
      </w:r>
    </w:p>
    <w:p w:rsidR="00D1048B" w:rsidRDefault="00D1048B" w:rsidP="00D46022">
      <w:pPr>
        <w:rPr>
          <w:sz w:val="28"/>
          <w:szCs w:val="28"/>
        </w:rPr>
      </w:pPr>
    </w:p>
    <w:p w:rsidR="00E909C3" w:rsidRDefault="00D1048B" w:rsidP="00D46022">
      <w:pPr>
        <w:rPr>
          <w:sz w:val="28"/>
          <w:szCs w:val="28"/>
        </w:rPr>
      </w:pPr>
      <w:r>
        <w:rPr>
          <w:sz w:val="28"/>
          <w:szCs w:val="28"/>
        </w:rPr>
        <w:t xml:space="preserve">The Swedish </w:t>
      </w:r>
      <w:r w:rsidR="00C86697">
        <w:rPr>
          <w:sz w:val="28"/>
          <w:szCs w:val="28"/>
        </w:rPr>
        <w:t>utilities</w:t>
      </w:r>
      <w:r>
        <w:rPr>
          <w:sz w:val="28"/>
          <w:szCs w:val="28"/>
        </w:rPr>
        <w:t xml:space="preserve"> were highly opposed to the closure of Barseback arguing that it would be better to use the money that the Swedish state would be </w:t>
      </w:r>
      <w:r w:rsidR="009F1C6C">
        <w:rPr>
          <w:sz w:val="28"/>
          <w:szCs w:val="28"/>
        </w:rPr>
        <w:t>paying Sydkraft (now part of the E</w:t>
      </w:r>
      <w:r w:rsidR="00BF203C">
        <w:rPr>
          <w:sz w:val="28"/>
          <w:szCs w:val="28"/>
        </w:rPr>
        <w:t>ON</w:t>
      </w:r>
      <w:r w:rsidR="009F1C6C">
        <w:rPr>
          <w:sz w:val="28"/>
          <w:szCs w:val="28"/>
        </w:rPr>
        <w:t xml:space="preserve"> group) to </w:t>
      </w:r>
      <w:r w:rsidR="00AE62D8">
        <w:rPr>
          <w:sz w:val="28"/>
          <w:szCs w:val="28"/>
        </w:rPr>
        <w:t xml:space="preserve">compensate for the closure of </w:t>
      </w:r>
      <w:r w:rsidR="009F1C6C">
        <w:rPr>
          <w:sz w:val="28"/>
          <w:szCs w:val="28"/>
        </w:rPr>
        <w:t>Barseback</w:t>
      </w:r>
      <w:r w:rsidR="00AE62D8">
        <w:rPr>
          <w:sz w:val="28"/>
          <w:szCs w:val="28"/>
        </w:rPr>
        <w:t>,</w:t>
      </w:r>
      <w:r w:rsidR="009F1C6C">
        <w:rPr>
          <w:sz w:val="28"/>
          <w:szCs w:val="28"/>
        </w:rPr>
        <w:t xml:space="preserve"> to make nuclear power stations in the </w:t>
      </w:r>
      <w:r w:rsidR="00862120">
        <w:rPr>
          <w:sz w:val="28"/>
          <w:szCs w:val="28"/>
        </w:rPr>
        <w:t xml:space="preserve">Baltic area safer (such as the massive Ignalina reactor in Lithuania which is </w:t>
      </w:r>
      <w:r w:rsidR="00784B3A">
        <w:rPr>
          <w:sz w:val="28"/>
          <w:szCs w:val="28"/>
        </w:rPr>
        <w:t xml:space="preserve">based on </w:t>
      </w:r>
      <w:r w:rsidR="00862120">
        <w:rPr>
          <w:sz w:val="28"/>
          <w:szCs w:val="28"/>
        </w:rPr>
        <w:t xml:space="preserve">the same design as the ill-fated reactor at Chernobyl).  </w:t>
      </w:r>
      <w:r w:rsidR="00E909C3">
        <w:rPr>
          <w:sz w:val="28"/>
          <w:szCs w:val="28"/>
        </w:rPr>
        <w:t xml:space="preserve">Anticipating this outcry the </w:t>
      </w:r>
      <w:r w:rsidR="003F60EB">
        <w:rPr>
          <w:sz w:val="28"/>
          <w:szCs w:val="28"/>
        </w:rPr>
        <w:t xml:space="preserve">then Social Democratic </w:t>
      </w:r>
      <w:r w:rsidR="00E909C3">
        <w:rPr>
          <w:sz w:val="28"/>
          <w:szCs w:val="28"/>
        </w:rPr>
        <w:t xml:space="preserve">Prime </w:t>
      </w:r>
      <w:r w:rsidR="003F60EB">
        <w:rPr>
          <w:sz w:val="28"/>
          <w:szCs w:val="28"/>
        </w:rPr>
        <w:t>Minister Goran Persson and the C</w:t>
      </w:r>
      <w:r w:rsidR="00E909C3">
        <w:rPr>
          <w:sz w:val="28"/>
          <w:szCs w:val="28"/>
        </w:rPr>
        <w:t>enter Party leader Olof Johansson wrote an opinion editorial noting:</w:t>
      </w:r>
    </w:p>
    <w:p w:rsidR="00E909C3" w:rsidRDefault="00E909C3" w:rsidP="00AD1297">
      <w:pPr>
        <w:ind w:left="720"/>
        <w:rPr>
          <w:sz w:val="28"/>
          <w:szCs w:val="28"/>
        </w:rPr>
      </w:pPr>
      <w:r>
        <w:rPr>
          <w:sz w:val="28"/>
          <w:szCs w:val="28"/>
        </w:rPr>
        <w:t xml:space="preserve">“For us the introduction of ecologically sustainable society is not utopian, nor something that is built on a Sorgard romanticism where modern technology has played out its role.  </w:t>
      </w:r>
      <w:r w:rsidR="00AD1297">
        <w:rPr>
          <w:sz w:val="28"/>
          <w:szCs w:val="28"/>
        </w:rPr>
        <w:t>Rather, we are convinced that the restructuring of Sweden will lead to the birth of new technologies that will lead to greater employment opportunities throughout the country.” (Persson and Johansson 1997, p.4)</w:t>
      </w:r>
    </w:p>
    <w:p w:rsidR="003F60EB" w:rsidRDefault="00AD1297" w:rsidP="00D46022">
      <w:pPr>
        <w:rPr>
          <w:sz w:val="28"/>
          <w:szCs w:val="28"/>
        </w:rPr>
      </w:pPr>
      <w:r>
        <w:rPr>
          <w:sz w:val="28"/>
          <w:szCs w:val="28"/>
        </w:rPr>
        <w:t xml:space="preserve">The Social Democrats and their allies then announced that an upcoming energy bill would provide plenty of government funds to help develop such a sustainable society.  </w:t>
      </w:r>
      <w:r w:rsidR="003F60EB">
        <w:rPr>
          <w:sz w:val="28"/>
          <w:szCs w:val="28"/>
        </w:rPr>
        <w:t>These funds were discussed in the Swedish Government 1997 Energy Bill when it noted that Barseback 2 would only be closed down if the electricity lost from this reactor could be replaced by energy conservation measures and investments in renewable energy sources (Swedish Government Bill 1997).  To make this happen the Swedish government set aside 3.5 billion SEK (1997) in subsidies designed to yield energy savings and new renewable energy production equivalent to 4 terawatt-hours per year (Lofstedt 2001) and established the Swedish Energy Agency to oversee it.</w:t>
      </w:r>
    </w:p>
    <w:p w:rsidR="003F60EB" w:rsidRDefault="003F60EB" w:rsidP="00D46022">
      <w:pPr>
        <w:rPr>
          <w:sz w:val="28"/>
          <w:szCs w:val="28"/>
        </w:rPr>
      </w:pPr>
    </w:p>
    <w:p w:rsidR="00AD1297" w:rsidRDefault="00862120" w:rsidP="00D46022">
      <w:pPr>
        <w:rPr>
          <w:sz w:val="28"/>
          <w:szCs w:val="28"/>
        </w:rPr>
      </w:pPr>
      <w:r>
        <w:rPr>
          <w:sz w:val="28"/>
          <w:szCs w:val="28"/>
        </w:rPr>
        <w:t xml:space="preserve">After some foot dragging and legal battles the first </w:t>
      </w:r>
      <w:r w:rsidR="002F78F9">
        <w:rPr>
          <w:sz w:val="28"/>
          <w:szCs w:val="28"/>
        </w:rPr>
        <w:t xml:space="preserve">Barseback </w:t>
      </w:r>
      <w:r>
        <w:rPr>
          <w:sz w:val="28"/>
          <w:szCs w:val="28"/>
        </w:rPr>
        <w:t xml:space="preserve">reactor was closed down </w:t>
      </w:r>
      <w:r w:rsidR="002F78F9">
        <w:rPr>
          <w:sz w:val="28"/>
          <w:szCs w:val="28"/>
        </w:rPr>
        <w:t xml:space="preserve">in </w:t>
      </w:r>
      <w:r>
        <w:rPr>
          <w:sz w:val="28"/>
          <w:szCs w:val="28"/>
        </w:rPr>
        <w:t>November 1999</w:t>
      </w:r>
      <w:r w:rsidR="002F78F9">
        <w:rPr>
          <w:sz w:val="28"/>
          <w:szCs w:val="28"/>
        </w:rPr>
        <w:t xml:space="preserve">. </w:t>
      </w:r>
      <w:r w:rsidR="00AD1297">
        <w:rPr>
          <w:sz w:val="28"/>
          <w:szCs w:val="28"/>
        </w:rPr>
        <w:t xml:space="preserve">Sydkraft (now part of </w:t>
      </w:r>
      <w:r w:rsidR="003F60EB">
        <w:rPr>
          <w:sz w:val="28"/>
          <w:szCs w:val="28"/>
        </w:rPr>
        <w:t xml:space="preserve">the German </w:t>
      </w:r>
      <w:r w:rsidR="00AD1297">
        <w:rPr>
          <w:sz w:val="28"/>
          <w:szCs w:val="28"/>
        </w:rPr>
        <w:t>Eon</w:t>
      </w:r>
      <w:r w:rsidR="003F60EB">
        <w:rPr>
          <w:sz w:val="28"/>
          <w:szCs w:val="28"/>
        </w:rPr>
        <w:t xml:space="preserve"> group</w:t>
      </w:r>
      <w:r w:rsidR="00AD1297">
        <w:rPr>
          <w:sz w:val="28"/>
          <w:szCs w:val="28"/>
        </w:rPr>
        <w:t xml:space="preserve">), the owner of the Barseback nuclear power plant, received a generous compensatory deal.  The utility was awarded </w:t>
      </w:r>
      <w:r w:rsidR="003F60EB">
        <w:rPr>
          <w:sz w:val="28"/>
          <w:szCs w:val="28"/>
        </w:rPr>
        <w:t>funds</w:t>
      </w:r>
      <w:r w:rsidR="00AD1297">
        <w:rPr>
          <w:sz w:val="28"/>
          <w:szCs w:val="28"/>
        </w:rPr>
        <w:t xml:space="preserve"> to cover the cost of shutdown as well as increased generating capacity from nuclear reactors at Ringhals (owned by the public utility Vattenfall).  The combined cost for the Government in terms of compensation for lost capacity at Barseback at the time of the closure was between 5.9 to 8.4 billion SEK  (Sydkraft 1999).  </w:t>
      </w:r>
    </w:p>
    <w:p w:rsidR="00AD1297" w:rsidRDefault="00AD1297" w:rsidP="00D46022">
      <w:pPr>
        <w:rPr>
          <w:sz w:val="28"/>
          <w:szCs w:val="28"/>
        </w:rPr>
      </w:pPr>
    </w:p>
    <w:p w:rsidR="001146F3" w:rsidRDefault="003F60EB" w:rsidP="00D46022">
      <w:pPr>
        <w:rPr>
          <w:sz w:val="28"/>
          <w:szCs w:val="28"/>
        </w:rPr>
      </w:pPr>
      <w:r>
        <w:rPr>
          <w:sz w:val="28"/>
          <w:szCs w:val="28"/>
        </w:rPr>
        <w:t>At the time of closing Barseback 1 i</w:t>
      </w:r>
      <w:r w:rsidR="00B57972">
        <w:rPr>
          <w:sz w:val="28"/>
          <w:szCs w:val="28"/>
        </w:rPr>
        <w:t>n 1999 the Swedish government commissioned t</w:t>
      </w:r>
      <w:r w:rsidR="00784B3A">
        <w:rPr>
          <w:sz w:val="28"/>
          <w:szCs w:val="28"/>
        </w:rPr>
        <w:t>w</w:t>
      </w:r>
      <w:r w:rsidR="00B57972">
        <w:rPr>
          <w:sz w:val="28"/>
          <w:szCs w:val="28"/>
        </w:rPr>
        <w:t xml:space="preserve">o boutique consulting companies to see if the subsidies </w:t>
      </w:r>
      <w:r>
        <w:rPr>
          <w:sz w:val="28"/>
          <w:szCs w:val="28"/>
        </w:rPr>
        <w:t xml:space="preserve">allocated from the 1997 Energy Bill </w:t>
      </w:r>
      <w:r w:rsidR="00B57972">
        <w:rPr>
          <w:sz w:val="28"/>
          <w:szCs w:val="28"/>
        </w:rPr>
        <w:t>were having an effect and whether</w:t>
      </w:r>
      <w:r w:rsidR="00784B3A">
        <w:rPr>
          <w:sz w:val="28"/>
          <w:szCs w:val="28"/>
        </w:rPr>
        <w:t>,</w:t>
      </w:r>
      <w:r w:rsidR="00B57972">
        <w:rPr>
          <w:sz w:val="28"/>
          <w:szCs w:val="28"/>
        </w:rPr>
        <w:t xml:space="preserve"> therefore</w:t>
      </w:r>
      <w:r w:rsidR="00784B3A">
        <w:rPr>
          <w:sz w:val="28"/>
          <w:szCs w:val="28"/>
        </w:rPr>
        <w:t>,</w:t>
      </w:r>
      <w:r w:rsidR="00B57972">
        <w:rPr>
          <w:sz w:val="28"/>
          <w:szCs w:val="28"/>
        </w:rPr>
        <w:t xml:space="preserve"> the second reactor could </w:t>
      </w:r>
      <w:r>
        <w:rPr>
          <w:sz w:val="28"/>
          <w:szCs w:val="28"/>
        </w:rPr>
        <w:t xml:space="preserve">also </w:t>
      </w:r>
      <w:r w:rsidR="00B57972">
        <w:rPr>
          <w:sz w:val="28"/>
          <w:szCs w:val="28"/>
        </w:rPr>
        <w:t>be closed</w:t>
      </w:r>
      <w:r w:rsidR="002F78F9">
        <w:rPr>
          <w:sz w:val="28"/>
          <w:szCs w:val="28"/>
        </w:rPr>
        <w:t xml:space="preserve">.  </w:t>
      </w:r>
      <w:r w:rsidR="00B57972">
        <w:rPr>
          <w:sz w:val="28"/>
          <w:szCs w:val="28"/>
        </w:rPr>
        <w:t>These two consul</w:t>
      </w:r>
      <w:r w:rsidR="00784B3A">
        <w:rPr>
          <w:sz w:val="28"/>
          <w:szCs w:val="28"/>
        </w:rPr>
        <w:t>t</w:t>
      </w:r>
      <w:r w:rsidR="00B57972">
        <w:rPr>
          <w:sz w:val="28"/>
          <w:szCs w:val="28"/>
        </w:rPr>
        <w:t xml:space="preserve">ancies concluded independently that the subsidies would not be enough to compensate the electricity lost from Barseback 1(COWI 2000; KM Miljoteknik 2000).  In its reply </w:t>
      </w:r>
      <w:r w:rsidR="00784B3A">
        <w:rPr>
          <w:sz w:val="28"/>
          <w:szCs w:val="28"/>
        </w:rPr>
        <w:t xml:space="preserve">to the two consultancy reports, </w:t>
      </w:r>
      <w:r w:rsidR="00B57972">
        <w:rPr>
          <w:sz w:val="28"/>
          <w:szCs w:val="28"/>
        </w:rPr>
        <w:t xml:space="preserve">the Swedish Energy Agency agreed with the findings of the </w:t>
      </w:r>
      <w:r w:rsidR="00784B3A">
        <w:rPr>
          <w:sz w:val="28"/>
          <w:szCs w:val="28"/>
        </w:rPr>
        <w:t>consultants but advocated a mid-</w:t>
      </w:r>
      <w:r w:rsidR="00B57972">
        <w:rPr>
          <w:sz w:val="28"/>
          <w:szCs w:val="28"/>
        </w:rPr>
        <w:t>2001 closure in any case as they felt that the energy market had changed significantly since 1997 (S</w:t>
      </w:r>
      <w:r w:rsidR="00784B3A">
        <w:rPr>
          <w:sz w:val="28"/>
          <w:szCs w:val="28"/>
        </w:rPr>
        <w:t xml:space="preserve">wedish Energy Agency 2000).  </w:t>
      </w:r>
      <w:r w:rsidR="00FA7849">
        <w:rPr>
          <w:sz w:val="28"/>
          <w:szCs w:val="28"/>
        </w:rPr>
        <w:t>If renewables and energy conservation measures could not replace the electricity generation capacity lost with the closure of Barseback 1, where did it come from instead?</w:t>
      </w:r>
      <w:r w:rsidR="00B57972">
        <w:rPr>
          <w:sz w:val="28"/>
          <w:szCs w:val="28"/>
        </w:rPr>
        <w:t xml:space="preserve">  Of the 4TWh lost from the closure of Barseback 1 only 1-1.5 TWh </w:t>
      </w:r>
      <w:r>
        <w:rPr>
          <w:sz w:val="28"/>
          <w:szCs w:val="28"/>
        </w:rPr>
        <w:t>was replaced</w:t>
      </w:r>
      <w:r w:rsidR="00B57972">
        <w:rPr>
          <w:sz w:val="28"/>
          <w:szCs w:val="28"/>
        </w:rPr>
        <w:t xml:space="preserve"> from the combination of renewable energy sources and energy conservation.  </w:t>
      </w:r>
      <w:r w:rsidR="008F3002">
        <w:rPr>
          <w:sz w:val="28"/>
          <w:szCs w:val="28"/>
        </w:rPr>
        <w:t>Rather t</w:t>
      </w:r>
      <w:r w:rsidR="00B57972">
        <w:rPr>
          <w:sz w:val="28"/>
          <w:szCs w:val="28"/>
        </w:rPr>
        <w:t>he majority of it was replaced with coal generated electricity most of it coming from Denmark.  As Sydkraft pointed out just after the closure of Barseback 1 in the period from 1</w:t>
      </w:r>
      <w:r w:rsidR="00B57972" w:rsidRPr="00B57972">
        <w:rPr>
          <w:sz w:val="28"/>
          <w:szCs w:val="28"/>
          <w:vertAlign w:val="superscript"/>
        </w:rPr>
        <w:t>st</w:t>
      </w:r>
      <w:r w:rsidR="00B57972">
        <w:rPr>
          <w:sz w:val="28"/>
          <w:szCs w:val="28"/>
        </w:rPr>
        <w:t xml:space="preserve"> December </w:t>
      </w:r>
      <w:r w:rsidR="00EE0F8F">
        <w:rPr>
          <w:sz w:val="28"/>
          <w:szCs w:val="28"/>
        </w:rPr>
        <w:t xml:space="preserve">1999 </w:t>
      </w:r>
      <w:r w:rsidR="00B57972">
        <w:rPr>
          <w:sz w:val="28"/>
          <w:szCs w:val="28"/>
        </w:rPr>
        <w:t>until 6</w:t>
      </w:r>
      <w:r w:rsidR="00B57972" w:rsidRPr="00B57972">
        <w:rPr>
          <w:sz w:val="28"/>
          <w:szCs w:val="28"/>
          <w:vertAlign w:val="superscript"/>
        </w:rPr>
        <w:t>th</w:t>
      </w:r>
      <w:r w:rsidR="00B57972">
        <w:rPr>
          <w:sz w:val="28"/>
          <w:szCs w:val="28"/>
        </w:rPr>
        <w:t xml:space="preserve"> February 2000 more than 100 Gigawatt hours of coal generated electricity per week was imported from Denmark to Sweden</w:t>
      </w:r>
      <w:r w:rsidR="00DA0EB5">
        <w:rPr>
          <w:sz w:val="28"/>
          <w:szCs w:val="28"/>
        </w:rPr>
        <w:t xml:space="preserve"> (Sydkraft 2000)</w:t>
      </w:r>
      <w:r w:rsidR="00B57972">
        <w:rPr>
          <w:sz w:val="28"/>
          <w:szCs w:val="28"/>
        </w:rPr>
        <w:t>.</w:t>
      </w:r>
    </w:p>
    <w:p w:rsidR="001146F3" w:rsidRDefault="001146F3" w:rsidP="00D46022">
      <w:pPr>
        <w:rPr>
          <w:sz w:val="28"/>
          <w:szCs w:val="28"/>
        </w:rPr>
      </w:pPr>
    </w:p>
    <w:p w:rsidR="00D1048B" w:rsidRDefault="00CE27E0" w:rsidP="00D46022">
      <w:pPr>
        <w:rPr>
          <w:sz w:val="28"/>
          <w:szCs w:val="28"/>
        </w:rPr>
      </w:pPr>
      <w:r>
        <w:rPr>
          <w:sz w:val="28"/>
          <w:szCs w:val="28"/>
        </w:rPr>
        <w:t>The closure of Barseback 1 was driven by the desire of the Social Democratic Party to secure power within the Swedish Parliament.  They did so by playing the antinuclear card to portray themselves as architects of an ecological society.  The reality, however, showed that the closure of Barseback 1</w:t>
      </w:r>
      <w:r w:rsidR="009718A4">
        <w:rPr>
          <w:sz w:val="28"/>
          <w:szCs w:val="28"/>
        </w:rPr>
        <w:t xml:space="preserve"> </w:t>
      </w:r>
      <w:r>
        <w:rPr>
          <w:sz w:val="28"/>
          <w:szCs w:val="28"/>
        </w:rPr>
        <w:t>produced results counter to the expressed goals</w:t>
      </w:r>
      <w:r w:rsidR="00C86697">
        <w:rPr>
          <w:sz w:val="28"/>
          <w:szCs w:val="28"/>
        </w:rPr>
        <w:t>,</w:t>
      </w:r>
      <w:r>
        <w:rPr>
          <w:sz w:val="28"/>
          <w:szCs w:val="28"/>
        </w:rPr>
        <w:t xml:space="preserve"> at a huge cost to Swedish tax payers (Lofstedt 2001</w:t>
      </w:r>
      <w:r w:rsidR="00EE0F8F">
        <w:rPr>
          <w:sz w:val="28"/>
          <w:szCs w:val="28"/>
        </w:rPr>
        <w:t>)</w:t>
      </w:r>
      <w:r>
        <w:rPr>
          <w:sz w:val="28"/>
          <w:szCs w:val="28"/>
        </w:rPr>
        <w:t xml:space="preserve">.  </w:t>
      </w:r>
      <w:r w:rsidR="001146F3">
        <w:rPr>
          <w:sz w:val="28"/>
          <w:szCs w:val="28"/>
        </w:rPr>
        <w:t>The consequences of this phase out strategy</w:t>
      </w:r>
      <w:r w:rsidR="00FA7849">
        <w:rPr>
          <w:sz w:val="28"/>
          <w:szCs w:val="28"/>
        </w:rPr>
        <w:t>, at least in the short term,</w:t>
      </w:r>
      <w:r w:rsidR="001146F3">
        <w:rPr>
          <w:sz w:val="28"/>
          <w:szCs w:val="28"/>
        </w:rPr>
        <w:t xml:space="preserve"> was in effect the replacement of nuclear generated electricity with coal generated electricity leading not only to greater CO2 emissions but also to higher levels of acid rain much of which were deposited in </w:t>
      </w:r>
      <w:r w:rsidR="00FA7849">
        <w:rPr>
          <w:sz w:val="28"/>
          <w:szCs w:val="28"/>
        </w:rPr>
        <w:t xml:space="preserve">south </w:t>
      </w:r>
      <w:r w:rsidR="001146F3">
        <w:rPr>
          <w:sz w:val="28"/>
          <w:szCs w:val="28"/>
        </w:rPr>
        <w:t>Swedish forests.  In sum, this was not only an expensive risk transfer but an inferior one.</w:t>
      </w:r>
      <w:r w:rsidR="00862120">
        <w:rPr>
          <w:sz w:val="28"/>
          <w:szCs w:val="28"/>
        </w:rPr>
        <w:t xml:space="preserve"> </w:t>
      </w:r>
    </w:p>
    <w:p w:rsidR="009F1C6C" w:rsidRPr="00D46022" w:rsidRDefault="009F1C6C" w:rsidP="00D46022">
      <w:pPr>
        <w:rPr>
          <w:sz w:val="28"/>
          <w:szCs w:val="28"/>
        </w:rPr>
      </w:pPr>
    </w:p>
    <w:p w:rsidR="002F241B" w:rsidRPr="00E82EB8" w:rsidRDefault="002F241B" w:rsidP="00BF203C">
      <w:pPr>
        <w:pStyle w:val="ListParagraph"/>
        <w:numPr>
          <w:ilvl w:val="1"/>
          <w:numId w:val="4"/>
        </w:numPr>
        <w:rPr>
          <w:b/>
          <w:sz w:val="28"/>
          <w:szCs w:val="28"/>
        </w:rPr>
      </w:pPr>
      <w:r w:rsidRPr="00E82EB8">
        <w:rPr>
          <w:b/>
          <w:sz w:val="28"/>
          <w:szCs w:val="28"/>
        </w:rPr>
        <w:t>Neonicotinoids-leading to worse outcomes for the bees</w:t>
      </w:r>
    </w:p>
    <w:p w:rsidR="00111D7A" w:rsidRPr="00EE1581" w:rsidRDefault="00111D7A" w:rsidP="00111D7A">
      <w:pPr>
        <w:pStyle w:val="ListParagraph"/>
        <w:ind w:left="375"/>
        <w:jc w:val="both"/>
        <w:rPr>
          <w:b/>
          <w:sz w:val="28"/>
          <w:szCs w:val="28"/>
        </w:rPr>
      </w:pPr>
    </w:p>
    <w:p w:rsidR="00111D7A" w:rsidRPr="00111D7A" w:rsidRDefault="00111D7A" w:rsidP="00111D7A">
      <w:pPr>
        <w:pStyle w:val="ListParagraph"/>
        <w:widowControl w:val="0"/>
        <w:autoSpaceDE w:val="0"/>
        <w:autoSpaceDN w:val="0"/>
        <w:adjustRightInd w:val="0"/>
        <w:ind w:left="375"/>
        <w:jc w:val="both"/>
        <w:rPr>
          <w:rFonts w:cs="Helvetica"/>
          <w:sz w:val="28"/>
          <w:szCs w:val="28"/>
        </w:rPr>
      </w:pPr>
      <w:r w:rsidRPr="00111D7A">
        <w:rPr>
          <w:rFonts w:cs="Helvetica"/>
          <w:sz w:val="28"/>
          <w:szCs w:val="28"/>
        </w:rPr>
        <w:t>Since the late 2000s a group of novel insecticides classed as neonicotinoids have come under increasing scrutiny over their environmental impacts, especially over their effects on bee</w:t>
      </w:r>
      <w:r w:rsidR="0048023F">
        <w:rPr>
          <w:rFonts w:cs="Helvetica"/>
          <w:sz w:val="28"/>
          <w:szCs w:val="28"/>
        </w:rPr>
        <w:t>s</w:t>
      </w:r>
      <w:r w:rsidR="00EE0F8F">
        <w:rPr>
          <w:rFonts w:cs="Helvetica"/>
          <w:sz w:val="28"/>
          <w:szCs w:val="28"/>
        </w:rPr>
        <w:t xml:space="preserve"> health</w:t>
      </w:r>
      <w:r w:rsidRPr="00111D7A">
        <w:rPr>
          <w:rFonts w:cs="Helvetica"/>
          <w:sz w:val="28"/>
          <w:szCs w:val="28"/>
        </w:rPr>
        <w:t>. Used as systemic pesticides,</w:t>
      </w:r>
      <w:r w:rsidRPr="00111D7A">
        <w:rPr>
          <w:rFonts w:cs="Helvetica"/>
          <w:bCs/>
          <w:sz w:val="28"/>
          <w:szCs w:val="28"/>
        </w:rPr>
        <w:t xml:space="preserve"> neonicotinoids</w:t>
      </w:r>
      <w:r w:rsidRPr="00111D7A">
        <w:rPr>
          <w:rFonts w:cs="Helvetica"/>
          <w:sz w:val="28"/>
          <w:szCs w:val="28"/>
        </w:rPr>
        <w:t xml:space="preserve"> are a class of neuro-active insecticides chemically similar to nicotine. They have become the most widely used class of insecticides with a global market share of over 25% (Van der Sluijs et al, 2013). Relatively safe for humans and other vertebrates with less toxicity than previously used organophosphate and carbamate insecticides (Tomizawa and Casida, 2005), they are focused on targeting pests that feed on crops selectively. Generally used as seed treatments rather than sprayed across crops, they can reduce the amount and frequency of pesticide applications (Fairbrother, Purdy, Anderson et al, 2014). </w:t>
      </w:r>
    </w:p>
    <w:p w:rsidR="00111D7A" w:rsidRPr="00111D7A" w:rsidDel="00482AB5" w:rsidRDefault="00111D7A" w:rsidP="00111D7A">
      <w:pPr>
        <w:pStyle w:val="ListParagraph"/>
        <w:widowControl w:val="0"/>
        <w:autoSpaceDE w:val="0"/>
        <w:autoSpaceDN w:val="0"/>
        <w:adjustRightInd w:val="0"/>
        <w:ind w:left="375"/>
        <w:jc w:val="both"/>
        <w:rPr>
          <w:rFonts w:cs="Helvetica"/>
          <w:sz w:val="28"/>
          <w:szCs w:val="28"/>
        </w:rPr>
      </w:pPr>
    </w:p>
    <w:p w:rsidR="00111D7A" w:rsidRPr="00111D7A" w:rsidRDefault="00111D7A" w:rsidP="00111D7A">
      <w:pPr>
        <w:pStyle w:val="ListParagraph"/>
        <w:widowControl w:val="0"/>
        <w:autoSpaceDE w:val="0"/>
        <w:autoSpaceDN w:val="0"/>
        <w:adjustRightInd w:val="0"/>
        <w:ind w:left="375"/>
        <w:jc w:val="both"/>
        <w:rPr>
          <w:rFonts w:cs="Helvetica"/>
          <w:sz w:val="28"/>
          <w:szCs w:val="28"/>
        </w:rPr>
      </w:pPr>
      <w:r w:rsidRPr="00111D7A">
        <w:rPr>
          <w:rFonts w:cs="Helvetica"/>
          <w:sz w:val="28"/>
          <w:szCs w:val="28"/>
        </w:rPr>
        <w:t xml:space="preserve">However, a range of studies </w:t>
      </w:r>
      <w:r w:rsidR="00C86697">
        <w:rPr>
          <w:rFonts w:cs="Helvetica"/>
          <w:sz w:val="28"/>
          <w:szCs w:val="28"/>
        </w:rPr>
        <w:t xml:space="preserve">already </w:t>
      </w:r>
      <w:r w:rsidR="0048023F">
        <w:rPr>
          <w:rFonts w:cs="Helvetica"/>
          <w:sz w:val="28"/>
          <w:szCs w:val="28"/>
        </w:rPr>
        <w:t xml:space="preserve">suggested </w:t>
      </w:r>
      <w:r w:rsidRPr="00111D7A">
        <w:rPr>
          <w:rFonts w:cs="Helvetica"/>
          <w:sz w:val="28"/>
          <w:szCs w:val="28"/>
        </w:rPr>
        <w:t>link</w:t>
      </w:r>
      <w:r w:rsidR="0048023F">
        <w:rPr>
          <w:rFonts w:cs="Helvetica"/>
          <w:sz w:val="28"/>
          <w:szCs w:val="28"/>
        </w:rPr>
        <w:t xml:space="preserve">s between </w:t>
      </w:r>
      <w:r w:rsidRPr="00111D7A">
        <w:rPr>
          <w:rFonts w:cs="Helvetica"/>
          <w:sz w:val="28"/>
          <w:szCs w:val="28"/>
        </w:rPr>
        <w:t xml:space="preserve">the use of neonicotinoids </w:t>
      </w:r>
      <w:r w:rsidR="00BC03E1">
        <w:rPr>
          <w:rFonts w:cs="Helvetica"/>
          <w:sz w:val="28"/>
          <w:szCs w:val="28"/>
        </w:rPr>
        <w:t>and</w:t>
      </w:r>
      <w:r w:rsidRPr="00111D7A">
        <w:rPr>
          <w:rFonts w:cs="Helvetica"/>
          <w:sz w:val="28"/>
          <w:szCs w:val="28"/>
        </w:rPr>
        <w:t xml:space="preserve"> adverse ecological effects, including </w:t>
      </w:r>
      <w:hyperlink r:id="rId8" w:history="1">
        <w:r w:rsidRPr="00111D7A">
          <w:rPr>
            <w:rFonts w:cs="Helvetica"/>
            <w:sz w:val="28"/>
            <w:szCs w:val="28"/>
          </w:rPr>
          <w:t>honey</w:t>
        </w:r>
        <w:r w:rsidR="0048023F">
          <w:rPr>
            <w:rFonts w:cs="Helvetica"/>
            <w:sz w:val="28"/>
            <w:szCs w:val="28"/>
          </w:rPr>
          <w:t xml:space="preserve"> </w:t>
        </w:r>
        <w:r w:rsidRPr="00111D7A">
          <w:rPr>
            <w:rFonts w:cs="Helvetica"/>
            <w:sz w:val="28"/>
            <w:szCs w:val="28"/>
          </w:rPr>
          <w:t>bee</w:t>
        </w:r>
      </w:hyperlink>
      <w:r w:rsidRPr="00111D7A">
        <w:rPr>
          <w:rFonts w:cs="Helvetica"/>
          <w:sz w:val="28"/>
          <w:szCs w:val="28"/>
        </w:rPr>
        <w:t xml:space="preserve"> </w:t>
      </w:r>
      <w:hyperlink r:id="rId9" w:history="1">
        <w:r w:rsidRPr="00111D7A">
          <w:rPr>
            <w:rFonts w:cs="Helvetica"/>
            <w:sz w:val="28"/>
            <w:szCs w:val="28"/>
          </w:rPr>
          <w:t>colony collapse disorder</w:t>
        </w:r>
      </w:hyperlink>
      <w:r w:rsidRPr="00111D7A">
        <w:rPr>
          <w:rFonts w:cs="Helvetica"/>
          <w:sz w:val="28"/>
          <w:szCs w:val="28"/>
        </w:rPr>
        <w:t xml:space="preserve"> (CCD), the reduction of wild bee density and bumblebee colony growth, and loss of </w:t>
      </w:r>
      <w:r w:rsidR="00C86697">
        <w:rPr>
          <w:rFonts w:cs="Helvetica"/>
          <w:sz w:val="28"/>
          <w:szCs w:val="28"/>
        </w:rPr>
        <w:t xml:space="preserve">insectivorous </w:t>
      </w:r>
      <w:r w:rsidRPr="00111D7A">
        <w:rPr>
          <w:rFonts w:cs="Helvetica"/>
          <w:sz w:val="28"/>
          <w:szCs w:val="28"/>
        </w:rPr>
        <w:t>birds due to a reduction in insect</w:t>
      </w:r>
      <w:r w:rsidR="0048023F">
        <w:rPr>
          <w:rFonts w:cs="Helvetica"/>
          <w:sz w:val="28"/>
          <w:szCs w:val="28"/>
        </w:rPr>
        <w:t>-prey</w:t>
      </w:r>
      <w:r w:rsidRPr="00111D7A">
        <w:rPr>
          <w:rFonts w:cs="Helvetica"/>
          <w:sz w:val="28"/>
          <w:szCs w:val="28"/>
        </w:rPr>
        <w:t xml:space="preserve"> populations </w:t>
      </w:r>
      <w:r w:rsidRPr="00111D7A">
        <w:rPr>
          <w:sz w:val="28"/>
          <w:szCs w:val="28"/>
        </w:rPr>
        <w:t xml:space="preserve">(e.g. </w:t>
      </w:r>
      <w:r w:rsidR="00C86697">
        <w:rPr>
          <w:sz w:val="28"/>
          <w:szCs w:val="28"/>
        </w:rPr>
        <w:t>Creswell 2011</w:t>
      </w:r>
      <w:r w:rsidRPr="00111D7A">
        <w:rPr>
          <w:sz w:val="28"/>
          <w:szCs w:val="28"/>
        </w:rPr>
        <w:t xml:space="preserve">; </w:t>
      </w:r>
      <w:r w:rsidR="00C86697">
        <w:rPr>
          <w:sz w:val="28"/>
          <w:szCs w:val="28"/>
        </w:rPr>
        <w:t xml:space="preserve">Girolami et al 2012; Hallman et al 2014; Rundlof et al 2015; </w:t>
      </w:r>
      <w:r w:rsidRPr="00111D7A">
        <w:rPr>
          <w:sz w:val="28"/>
          <w:szCs w:val="28"/>
        </w:rPr>
        <w:t>Tapp</w:t>
      </w:r>
      <w:r w:rsidR="0048023F">
        <w:rPr>
          <w:sz w:val="28"/>
          <w:szCs w:val="28"/>
        </w:rPr>
        <w:t>aro, Marton, Glorio at al, 2012</w:t>
      </w:r>
      <w:r w:rsidR="00C86697">
        <w:rPr>
          <w:sz w:val="28"/>
          <w:szCs w:val="28"/>
        </w:rPr>
        <w:t>; UNEP 2010</w:t>
      </w:r>
      <w:r w:rsidRPr="00111D7A">
        <w:rPr>
          <w:sz w:val="28"/>
          <w:szCs w:val="28"/>
        </w:rPr>
        <w:t>).</w:t>
      </w:r>
    </w:p>
    <w:p w:rsidR="00111D7A" w:rsidRPr="00EE1581" w:rsidRDefault="00111D7A" w:rsidP="00111D7A">
      <w:pPr>
        <w:pStyle w:val="ListParagraph"/>
        <w:widowControl w:val="0"/>
        <w:autoSpaceDE w:val="0"/>
        <w:autoSpaceDN w:val="0"/>
        <w:adjustRightInd w:val="0"/>
        <w:ind w:left="375"/>
        <w:jc w:val="both"/>
        <w:rPr>
          <w:rFonts w:cs="Helvetica"/>
          <w:sz w:val="28"/>
          <w:szCs w:val="28"/>
        </w:rPr>
      </w:pPr>
    </w:p>
    <w:p w:rsidR="00111D7A" w:rsidRPr="00111D7A" w:rsidRDefault="00111D7A" w:rsidP="00111D7A">
      <w:pPr>
        <w:pStyle w:val="ListParagraph"/>
        <w:ind w:left="375"/>
        <w:jc w:val="both"/>
        <w:rPr>
          <w:rFonts w:cs="Helvetica"/>
          <w:sz w:val="28"/>
          <w:szCs w:val="28"/>
        </w:rPr>
      </w:pPr>
      <w:r w:rsidRPr="00111D7A">
        <w:rPr>
          <w:rFonts w:cs="Helvetica"/>
          <w:sz w:val="28"/>
          <w:szCs w:val="28"/>
        </w:rPr>
        <w:t xml:space="preserve">In 2012, </w:t>
      </w:r>
      <w:r w:rsidR="00C86697">
        <w:rPr>
          <w:rFonts w:cs="Helvetica"/>
          <w:sz w:val="28"/>
          <w:szCs w:val="28"/>
        </w:rPr>
        <w:t xml:space="preserve">due to </w:t>
      </w:r>
      <w:r w:rsidRPr="00111D7A">
        <w:rPr>
          <w:rFonts w:cs="Helvetica"/>
          <w:sz w:val="28"/>
          <w:szCs w:val="28"/>
        </w:rPr>
        <w:t xml:space="preserve">increasing demands from some stakeholders and Member States, the </w:t>
      </w:r>
      <w:hyperlink r:id="rId10" w:history="1">
        <w:r w:rsidRPr="00111D7A">
          <w:rPr>
            <w:rFonts w:cs="Helvetica"/>
            <w:sz w:val="28"/>
            <w:szCs w:val="28"/>
          </w:rPr>
          <w:t>European Commission</w:t>
        </w:r>
      </w:hyperlink>
      <w:r w:rsidRPr="00111D7A">
        <w:rPr>
          <w:rFonts w:cs="Helvetica"/>
          <w:sz w:val="28"/>
          <w:szCs w:val="28"/>
        </w:rPr>
        <w:t xml:space="preserve"> asked EFSA to assess the safety of some uses of three of the most widely used neonicotinoids (</w:t>
      </w:r>
      <w:r w:rsidRPr="00111D7A">
        <w:rPr>
          <w:rFonts w:cs="Verdana"/>
          <w:sz w:val="28"/>
          <w:szCs w:val="28"/>
        </w:rPr>
        <w:t>clothianidin, imidacloprid and thiamethoxam)</w:t>
      </w:r>
      <w:r w:rsidR="00C86697">
        <w:rPr>
          <w:rFonts w:cs="Verdana"/>
          <w:sz w:val="28"/>
          <w:szCs w:val="28"/>
        </w:rPr>
        <w:t>, in response to growing concerns about their impact on bees</w:t>
      </w:r>
      <w:r w:rsidR="0048023F">
        <w:rPr>
          <w:rFonts w:cs="Verdana"/>
          <w:sz w:val="28"/>
          <w:szCs w:val="28"/>
        </w:rPr>
        <w:t>.</w:t>
      </w:r>
      <w:r w:rsidRPr="00111D7A">
        <w:rPr>
          <w:rFonts w:cs="Helvetica"/>
          <w:sz w:val="28"/>
          <w:szCs w:val="28"/>
        </w:rPr>
        <w:t xml:space="preserve"> </w:t>
      </w:r>
    </w:p>
    <w:p w:rsidR="00111D7A" w:rsidRPr="00EE1581" w:rsidRDefault="00111D7A" w:rsidP="00111D7A">
      <w:pPr>
        <w:pStyle w:val="ListParagraph"/>
        <w:ind w:left="375"/>
        <w:jc w:val="both"/>
        <w:rPr>
          <w:sz w:val="28"/>
          <w:szCs w:val="28"/>
        </w:rPr>
      </w:pPr>
    </w:p>
    <w:p w:rsidR="00111D7A" w:rsidRPr="00111D7A" w:rsidRDefault="00111D7A" w:rsidP="00111D7A">
      <w:pPr>
        <w:pStyle w:val="ListParagraph"/>
        <w:ind w:left="375"/>
        <w:jc w:val="both"/>
        <w:rPr>
          <w:sz w:val="28"/>
          <w:szCs w:val="28"/>
        </w:rPr>
      </w:pPr>
      <w:r w:rsidRPr="00111D7A">
        <w:rPr>
          <w:rFonts w:cs="Helvetica"/>
          <w:sz w:val="28"/>
          <w:szCs w:val="28"/>
        </w:rPr>
        <w:t xml:space="preserve">Industry provided additional data to respond to the concerns. Field studies </w:t>
      </w:r>
      <w:r w:rsidR="0048023F">
        <w:rPr>
          <w:rFonts w:cs="Helvetica"/>
          <w:sz w:val="28"/>
          <w:szCs w:val="28"/>
        </w:rPr>
        <w:t xml:space="preserve">which allowed testing under realistic environmental conditions </w:t>
      </w:r>
      <w:r w:rsidRPr="00111D7A">
        <w:rPr>
          <w:rFonts w:cs="Helvetica"/>
          <w:sz w:val="28"/>
          <w:szCs w:val="28"/>
        </w:rPr>
        <w:t xml:space="preserve">showed that neonicotinoids had no </w:t>
      </w:r>
      <w:r w:rsidR="0048023F">
        <w:rPr>
          <w:rFonts w:cs="Helvetica"/>
          <w:sz w:val="28"/>
          <w:szCs w:val="28"/>
        </w:rPr>
        <w:t xml:space="preserve">significant </w:t>
      </w:r>
      <w:r w:rsidRPr="00111D7A">
        <w:rPr>
          <w:rFonts w:cs="Helvetica"/>
          <w:sz w:val="28"/>
          <w:szCs w:val="28"/>
        </w:rPr>
        <w:t>effect on honey</w:t>
      </w:r>
      <w:r w:rsidR="0048023F">
        <w:rPr>
          <w:rFonts w:cs="Helvetica"/>
          <w:sz w:val="28"/>
          <w:szCs w:val="28"/>
        </w:rPr>
        <w:t xml:space="preserve"> </w:t>
      </w:r>
      <w:r w:rsidRPr="00111D7A">
        <w:rPr>
          <w:rFonts w:cs="Helvetica"/>
          <w:sz w:val="28"/>
          <w:szCs w:val="28"/>
        </w:rPr>
        <w:t xml:space="preserve">bee </w:t>
      </w:r>
      <w:r w:rsidR="0048023F">
        <w:rPr>
          <w:rFonts w:cs="Helvetica"/>
          <w:sz w:val="28"/>
          <w:szCs w:val="28"/>
        </w:rPr>
        <w:t>health</w:t>
      </w:r>
      <w:r w:rsidRPr="00111D7A">
        <w:rPr>
          <w:rFonts w:cs="Helvetica"/>
          <w:sz w:val="28"/>
          <w:szCs w:val="28"/>
        </w:rPr>
        <w:t xml:space="preserve">. As such, it seemed </w:t>
      </w:r>
      <w:r w:rsidRPr="00111D7A">
        <w:rPr>
          <w:sz w:val="28"/>
          <w:szCs w:val="28"/>
        </w:rPr>
        <w:t xml:space="preserve">that under ‘realistic field conditions’ neonicotinoids do not pose an unacceptable risk to bees. In contrast, research conducted in controlled laboratory settings exposed the risks of neonicotinoids for bee health. </w:t>
      </w:r>
    </w:p>
    <w:p w:rsidR="00111D7A" w:rsidRPr="00111D7A" w:rsidRDefault="00111D7A" w:rsidP="00111D7A">
      <w:pPr>
        <w:pStyle w:val="ListParagraph"/>
        <w:ind w:left="375"/>
        <w:jc w:val="both"/>
        <w:rPr>
          <w:sz w:val="28"/>
          <w:szCs w:val="28"/>
        </w:rPr>
      </w:pPr>
    </w:p>
    <w:p w:rsidR="00111D7A" w:rsidRPr="00111D7A" w:rsidRDefault="000A3CCF" w:rsidP="00111D7A">
      <w:pPr>
        <w:pStyle w:val="ListParagraph"/>
        <w:ind w:left="375"/>
        <w:jc w:val="both"/>
        <w:rPr>
          <w:sz w:val="28"/>
          <w:szCs w:val="28"/>
        </w:rPr>
      </w:pPr>
      <w:r>
        <w:rPr>
          <w:sz w:val="28"/>
          <w:szCs w:val="28"/>
        </w:rPr>
        <w:t xml:space="preserve">Triggering a wave of media attention, </w:t>
      </w:r>
      <w:r w:rsidR="00111D7A" w:rsidRPr="00111D7A">
        <w:rPr>
          <w:sz w:val="28"/>
          <w:szCs w:val="28"/>
        </w:rPr>
        <w:t xml:space="preserve">Whitehorn et al’s (2012) study published in </w:t>
      </w:r>
      <w:r w:rsidR="00111D7A" w:rsidRPr="00111D7A">
        <w:rPr>
          <w:i/>
          <w:sz w:val="28"/>
          <w:szCs w:val="28"/>
        </w:rPr>
        <w:t>Science</w:t>
      </w:r>
      <w:r w:rsidR="00111D7A" w:rsidRPr="00111D7A">
        <w:rPr>
          <w:sz w:val="28"/>
          <w:szCs w:val="28"/>
        </w:rPr>
        <w:t xml:space="preserve"> showed a severe negative impact of ‘field relevant’ doses of imidacloprid on bumblebee </w:t>
      </w:r>
      <w:r>
        <w:rPr>
          <w:sz w:val="28"/>
          <w:szCs w:val="28"/>
        </w:rPr>
        <w:t xml:space="preserve">colonies </w:t>
      </w:r>
      <w:r w:rsidR="00111D7A" w:rsidRPr="00111D7A">
        <w:rPr>
          <w:sz w:val="28"/>
          <w:szCs w:val="28"/>
        </w:rPr>
        <w:t>(Whitehorn, O’Connor, Wackers et al, 2012).</w:t>
      </w:r>
      <w:r w:rsidR="00111D7A" w:rsidRPr="00111D7A">
        <w:rPr>
          <w:rFonts w:cs="Helvetica"/>
          <w:sz w:val="28"/>
          <w:szCs w:val="28"/>
        </w:rPr>
        <w:t xml:space="preserve"> </w:t>
      </w:r>
      <w:r w:rsidR="00111D7A" w:rsidRPr="00111D7A">
        <w:rPr>
          <w:sz w:val="28"/>
          <w:szCs w:val="28"/>
        </w:rPr>
        <w:t>Researchers argued that neonicotinoids are bioavailable to pollinators for most of the year due to their wide application, persistence in soil and water and potential for uptake by succeeding crops and wild plants (Van der Sluijs, Simon-Delso, Gouls</w:t>
      </w:r>
      <w:r w:rsidR="0048023F">
        <w:rPr>
          <w:sz w:val="28"/>
          <w:szCs w:val="28"/>
        </w:rPr>
        <w:t>on et al, 2013)</w:t>
      </w:r>
      <w:r>
        <w:rPr>
          <w:sz w:val="28"/>
          <w:szCs w:val="28"/>
        </w:rPr>
        <w:t>.  Neonicotinoids</w:t>
      </w:r>
      <w:r w:rsidR="0048023F">
        <w:rPr>
          <w:sz w:val="28"/>
          <w:szCs w:val="28"/>
        </w:rPr>
        <w:t xml:space="preserve"> </w:t>
      </w:r>
      <w:r w:rsidR="00111D7A" w:rsidRPr="00111D7A">
        <w:rPr>
          <w:sz w:val="28"/>
          <w:szCs w:val="28"/>
        </w:rPr>
        <w:t xml:space="preserve">can be </w:t>
      </w:r>
      <w:r>
        <w:rPr>
          <w:sz w:val="28"/>
          <w:szCs w:val="28"/>
        </w:rPr>
        <w:t>present</w:t>
      </w:r>
      <w:r w:rsidR="0048023F">
        <w:rPr>
          <w:sz w:val="28"/>
          <w:szCs w:val="28"/>
        </w:rPr>
        <w:t xml:space="preserve"> </w:t>
      </w:r>
      <w:r w:rsidR="00111D7A" w:rsidRPr="00111D7A">
        <w:rPr>
          <w:sz w:val="28"/>
          <w:szCs w:val="28"/>
        </w:rPr>
        <w:t xml:space="preserve">in honeybee hives causing a wide range of adverse effects in their colonies (Creswell, 2011; </w:t>
      </w:r>
      <w:r w:rsidR="00111D7A" w:rsidRPr="00111D7A">
        <w:rPr>
          <w:rFonts w:cs="Arial"/>
          <w:color w:val="303030"/>
          <w:sz w:val="28"/>
          <w:szCs w:val="28"/>
        </w:rPr>
        <w:t>Decourtye, Armengaud, Renou et al, 2004</w:t>
      </w:r>
      <w:r w:rsidR="00111D7A" w:rsidRPr="00111D7A">
        <w:rPr>
          <w:sz w:val="28"/>
          <w:szCs w:val="28"/>
        </w:rPr>
        <w:t>).</w:t>
      </w:r>
    </w:p>
    <w:p w:rsidR="00111D7A" w:rsidRPr="00111D7A" w:rsidRDefault="00111D7A" w:rsidP="00111D7A">
      <w:pPr>
        <w:pStyle w:val="ListParagraph"/>
        <w:ind w:left="375"/>
        <w:jc w:val="both"/>
        <w:rPr>
          <w:sz w:val="28"/>
          <w:szCs w:val="28"/>
        </w:rPr>
      </w:pPr>
    </w:p>
    <w:p w:rsidR="00111D7A" w:rsidRPr="00111D7A" w:rsidRDefault="00111D7A" w:rsidP="00111D7A">
      <w:pPr>
        <w:pStyle w:val="ListParagraph"/>
        <w:ind w:left="375"/>
        <w:jc w:val="both"/>
        <w:rPr>
          <w:rFonts w:cs="Helvetica"/>
          <w:sz w:val="28"/>
          <w:szCs w:val="28"/>
        </w:rPr>
      </w:pPr>
      <w:r w:rsidRPr="00111D7A">
        <w:rPr>
          <w:rFonts w:cs="Helvetica"/>
          <w:sz w:val="28"/>
          <w:szCs w:val="28"/>
        </w:rPr>
        <w:t xml:space="preserve">In 2014 the self-appointed Taskforce on Systemic Pesticides published a series of papers in the journal </w:t>
      </w:r>
      <w:r w:rsidRPr="00111D7A">
        <w:rPr>
          <w:rFonts w:cs="Helvetica"/>
          <w:i/>
          <w:sz w:val="28"/>
          <w:szCs w:val="28"/>
        </w:rPr>
        <w:t>Environmental Science and Pollution Research</w:t>
      </w:r>
      <w:r w:rsidR="000A3CCF">
        <w:rPr>
          <w:rFonts w:cs="Helvetica"/>
          <w:i/>
          <w:sz w:val="28"/>
          <w:szCs w:val="28"/>
        </w:rPr>
        <w:t>,</w:t>
      </w:r>
      <w:r w:rsidRPr="00111D7A">
        <w:rPr>
          <w:rFonts w:cs="Helvetica"/>
          <w:sz w:val="28"/>
          <w:szCs w:val="28"/>
        </w:rPr>
        <w:t xml:space="preserve"> </w:t>
      </w:r>
      <w:r w:rsidR="000A3CCF">
        <w:rPr>
          <w:rFonts w:cs="Helvetica"/>
          <w:sz w:val="28"/>
          <w:szCs w:val="28"/>
        </w:rPr>
        <w:t xml:space="preserve">assessing </w:t>
      </w:r>
      <w:r w:rsidRPr="00111D7A">
        <w:rPr>
          <w:rFonts w:cs="Helvetica"/>
          <w:sz w:val="28"/>
          <w:szCs w:val="28"/>
        </w:rPr>
        <w:t>the impact of neonicotinoids on biodiversity and ecosystems, concluding that neonicotinoids pose a serious risk to a broad range of non-target invertebrates (</w:t>
      </w:r>
      <w:r w:rsidRPr="00111D7A">
        <w:rPr>
          <w:rFonts w:cs="Times New Roman Bold"/>
          <w:sz w:val="28"/>
          <w:szCs w:val="28"/>
        </w:rPr>
        <w:t xml:space="preserve">The Task Force on Systemic Pesticides, 2014; </w:t>
      </w:r>
      <w:r w:rsidR="00B57511">
        <w:rPr>
          <w:rFonts w:cs="Times New Roman Bold"/>
          <w:sz w:val="28"/>
          <w:szCs w:val="28"/>
        </w:rPr>
        <w:t>Van der Slujs et al 2014</w:t>
      </w:r>
      <w:r w:rsidRPr="00111D7A">
        <w:rPr>
          <w:rFonts w:cs="Helvetica"/>
          <w:sz w:val="28"/>
          <w:szCs w:val="28"/>
        </w:rPr>
        <w:t xml:space="preserve">). </w:t>
      </w:r>
    </w:p>
    <w:p w:rsidR="00111D7A" w:rsidRPr="00EE1581" w:rsidRDefault="00111D7A" w:rsidP="00111D7A">
      <w:pPr>
        <w:pStyle w:val="ListParagraph"/>
        <w:ind w:left="375"/>
        <w:jc w:val="both"/>
        <w:rPr>
          <w:rFonts w:cs="Helvetica"/>
          <w:sz w:val="28"/>
          <w:szCs w:val="28"/>
        </w:rPr>
      </w:pPr>
    </w:p>
    <w:p w:rsidR="00111D7A" w:rsidRPr="00111D7A" w:rsidRDefault="00111D7A" w:rsidP="00111D7A">
      <w:pPr>
        <w:pStyle w:val="ListParagraph"/>
        <w:widowControl w:val="0"/>
        <w:autoSpaceDE w:val="0"/>
        <w:autoSpaceDN w:val="0"/>
        <w:adjustRightInd w:val="0"/>
        <w:ind w:left="375"/>
        <w:jc w:val="both"/>
        <w:rPr>
          <w:rFonts w:cs="Georgia"/>
          <w:color w:val="424242"/>
          <w:sz w:val="28"/>
          <w:szCs w:val="28"/>
        </w:rPr>
      </w:pPr>
      <w:r w:rsidRPr="00111D7A">
        <w:rPr>
          <w:sz w:val="28"/>
          <w:szCs w:val="28"/>
        </w:rPr>
        <w:t xml:space="preserve">Yet whilst some academic research </w:t>
      </w:r>
      <w:r w:rsidR="0048023F">
        <w:rPr>
          <w:sz w:val="28"/>
          <w:szCs w:val="28"/>
        </w:rPr>
        <w:t xml:space="preserve">has </w:t>
      </w:r>
      <w:r w:rsidRPr="00111D7A">
        <w:rPr>
          <w:sz w:val="28"/>
          <w:szCs w:val="28"/>
        </w:rPr>
        <w:t xml:space="preserve">suggested that neonicotinoids have </w:t>
      </w:r>
      <w:r w:rsidR="000A3CCF">
        <w:rPr>
          <w:sz w:val="28"/>
          <w:szCs w:val="28"/>
        </w:rPr>
        <w:t>strong</w:t>
      </w:r>
      <w:r w:rsidRPr="00111D7A">
        <w:rPr>
          <w:sz w:val="28"/>
          <w:szCs w:val="28"/>
        </w:rPr>
        <w:t xml:space="preserve"> negative effects on bees</w:t>
      </w:r>
      <w:r w:rsidR="000A3CCF">
        <w:rPr>
          <w:sz w:val="28"/>
          <w:szCs w:val="28"/>
        </w:rPr>
        <w:t>(Rundlof et al 2015; Whitehorn et al 2012)</w:t>
      </w:r>
      <w:r w:rsidRPr="00111D7A">
        <w:rPr>
          <w:sz w:val="28"/>
          <w:szCs w:val="28"/>
        </w:rPr>
        <w:t xml:space="preserve">, there is no scientific consensus </w:t>
      </w:r>
      <w:r w:rsidR="000A3CCF">
        <w:rPr>
          <w:sz w:val="28"/>
          <w:szCs w:val="28"/>
        </w:rPr>
        <w:t xml:space="preserve">as to </w:t>
      </w:r>
      <w:r w:rsidRPr="00111D7A">
        <w:rPr>
          <w:sz w:val="28"/>
          <w:szCs w:val="28"/>
        </w:rPr>
        <w:t xml:space="preserve">whether these effects would happen to the same extent </w:t>
      </w:r>
      <w:r w:rsidR="000A3CCF">
        <w:rPr>
          <w:sz w:val="28"/>
          <w:szCs w:val="28"/>
        </w:rPr>
        <w:t>in</w:t>
      </w:r>
      <w:r w:rsidR="0048023F">
        <w:rPr>
          <w:sz w:val="28"/>
          <w:szCs w:val="28"/>
        </w:rPr>
        <w:t xml:space="preserve"> realistic</w:t>
      </w:r>
      <w:r w:rsidRPr="00111D7A">
        <w:rPr>
          <w:sz w:val="28"/>
          <w:szCs w:val="28"/>
        </w:rPr>
        <w:t xml:space="preserve"> field situations. </w:t>
      </w:r>
      <w:r w:rsidRPr="00111D7A">
        <w:rPr>
          <w:rFonts w:cs="Georgia"/>
          <w:sz w:val="28"/>
          <w:szCs w:val="28"/>
        </w:rPr>
        <w:t xml:space="preserve">Laboratory studies </w:t>
      </w:r>
      <w:r w:rsidR="000A3CCF">
        <w:rPr>
          <w:rFonts w:cs="Georgia"/>
          <w:sz w:val="28"/>
          <w:szCs w:val="28"/>
        </w:rPr>
        <w:t>have been</w:t>
      </w:r>
      <w:r w:rsidR="0048023F">
        <w:rPr>
          <w:rFonts w:cs="Georgia"/>
          <w:sz w:val="28"/>
          <w:szCs w:val="28"/>
        </w:rPr>
        <w:t xml:space="preserve"> </w:t>
      </w:r>
      <w:r w:rsidRPr="00111D7A">
        <w:rPr>
          <w:rFonts w:cs="Georgia"/>
          <w:sz w:val="28"/>
          <w:szCs w:val="28"/>
        </w:rPr>
        <w:t>criticised for giving bees unrealistic</w:t>
      </w:r>
      <w:r w:rsidR="0048023F">
        <w:rPr>
          <w:rFonts w:cs="Georgia"/>
          <w:sz w:val="28"/>
          <w:szCs w:val="28"/>
        </w:rPr>
        <w:t>ally high</w:t>
      </w:r>
      <w:r w:rsidRPr="00111D7A">
        <w:rPr>
          <w:rFonts w:cs="Georgia"/>
          <w:sz w:val="28"/>
          <w:szCs w:val="28"/>
        </w:rPr>
        <w:t xml:space="preserve"> doses of neonicotinoids and for not providing any other choice of </w:t>
      </w:r>
      <w:r w:rsidR="000A3CCF">
        <w:rPr>
          <w:rFonts w:cs="Georgia"/>
          <w:sz w:val="28"/>
          <w:szCs w:val="28"/>
        </w:rPr>
        <w:t>forage</w:t>
      </w:r>
      <w:r w:rsidRPr="00111D7A">
        <w:rPr>
          <w:rFonts w:cs="Georgia"/>
          <w:sz w:val="28"/>
          <w:szCs w:val="28"/>
        </w:rPr>
        <w:t xml:space="preserve">. Regular daily feeding of chemicals for a prolonged period of time likely differs from intermittent exposures </w:t>
      </w:r>
      <w:r w:rsidR="000A3CCF">
        <w:rPr>
          <w:rFonts w:cs="Georgia"/>
          <w:sz w:val="28"/>
          <w:szCs w:val="28"/>
        </w:rPr>
        <w:t>to nectar and pollen in</w:t>
      </w:r>
      <w:r w:rsidRPr="00111D7A">
        <w:rPr>
          <w:rFonts w:cs="Georgia"/>
          <w:sz w:val="28"/>
          <w:szCs w:val="28"/>
        </w:rPr>
        <w:t xml:space="preserve"> the field</w:t>
      </w:r>
      <w:r w:rsidR="000A3CCF">
        <w:rPr>
          <w:rFonts w:cs="Georgia"/>
          <w:sz w:val="28"/>
          <w:szCs w:val="28"/>
        </w:rPr>
        <w:t xml:space="preserve"> (Creswell et al 2014)</w:t>
      </w:r>
      <w:r w:rsidRPr="00111D7A">
        <w:rPr>
          <w:rFonts w:cs="Georgia"/>
          <w:sz w:val="28"/>
          <w:szCs w:val="28"/>
        </w:rPr>
        <w:t xml:space="preserve">. In turn, this may make </w:t>
      </w:r>
      <w:r w:rsidR="000A3CCF">
        <w:rPr>
          <w:rFonts w:cs="Georgia"/>
          <w:sz w:val="28"/>
          <w:szCs w:val="28"/>
        </w:rPr>
        <w:t xml:space="preserve">such studies </w:t>
      </w:r>
      <w:r w:rsidRPr="00111D7A">
        <w:rPr>
          <w:rFonts w:cs="Georgia"/>
          <w:sz w:val="28"/>
          <w:szCs w:val="28"/>
        </w:rPr>
        <w:t>less relevant to real-life exposure in the field than researchers propose (USDA, 2014)</w:t>
      </w:r>
    </w:p>
    <w:p w:rsidR="00111D7A" w:rsidRPr="00EE1581" w:rsidRDefault="00111D7A" w:rsidP="00111D7A">
      <w:pPr>
        <w:pStyle w:val="ListParagraph"/>
        <w:ind w:left="375"/>
        <w:jc w:val="both"/>
        <w:rPr>
          <w:sz w:val="28"/>
          <w:szCs w:val="28"/>
        </w:rPr>
      </w:pPr>
    </w:p>
    <w:p w:rsidR="00111D7A" w:rsidRPr="00111D7A" w:rsidRDefault="00111D7A" w:rsidP="00111D7A">
      <w:pPr>
        <w:pStyle w:val="ListParagraph"/>
        <w:ind w:left="375"/>
        <w:jc w:val="both"/>
        <w:rPr>
          <w:rFonts w:cs="Helvetica"/>
          <w:sz w:val="28"/>
          <w:szCs w:val="28"/>
        </w:rPr>
      </w:pPr>
      <w:r w:rsidRPr="00111D7A">
        <w:rPr>
          <w:sz w:val="28"/>
          <w:szCs w:val="28"/>
        </w:rPr>
        <w:t xml:space="preserve">As the scientific evidence resulting from field versus laboratory studies was contradictory, it could thus be used to support already existing views. </w:t>
      </w:r>
      <w:r w:rsidR="000A3CCF">
        <w:rPr>
          <w:sz w:val="28"/>
          <w:szCs w:val="28"/>
        </w:rPr>
        <w:t xml:space="preserve">The gaps in understanding meant that different policy conclusions could be drawn according to the weightings given to the scientific findings and to those of different interest groups (Godfrey et al 2015). </w:t>
      </w:r>
      <w:r w:rsidRPr="00111D7A">
        <w:rPr>
          <w:rFonts w:cs="Helvetica"/>
          <w:sz w:val="28"/>
          <w:szCs w:val="28"/>
        </w:rPr>
        <w:t xml:space="preserve">A polarized political debate clouded in uncertainty ensued. </w:t>
      </w:r>
    </w:p>
    <w:p w:rsidR="00111D7A" w:rsidRPr="00EE1581" w:rsidRDefault="00111D7A" w:rsidP="00111D7A">
      <w:pPr>
        <w:pStyle w:val="ListParagraph"/>
        <w:ind w:left="375"/>
        <w:jc w:val="both"/>
        <w:rPr>
          <w:rFonts w:cs="Helvetica"/>
          <w:sz w:val="28"/>
          <w:szCs w:val="28"/>
        </w:rPr>
      </w:pPr>
    </w:p>
    <w:p w:rsidR="00111D7A" w:rsidRPr="00111D7A" w:rsidRDefault="00111D7A" w:rsidP="00111D7A">
      <w:pPr>
        <w:pStyle w:val="ListParagraph"/>
        <w:widowControl w:val="0"/>
        <w:autoSpaceDE w:val="0"/>
        <w:autoSpaceDN w:val="0"/>
        <w:adjustRightInd w:val="0"/>
        <w:ind w:left="375"/>
        <w:jc w:val="both"/>
        <w:rPr>
          <w:rFonts w:cs="Helvetica"/>
          <w:sz w:val="28"/>
          <w:szCs w:val="28"/>
        </w:rPr>
      </w:pPr>
      <w:r w:rsidRPr="00111D7A">
        <w:rPr>
          <w:rFonts w:cs="Helvetica"/>
          <w:sz w:val="28"/>
          <w:szCs w:val="28"/>
        </w:rPr>
        <w:t xml:space="preserve">EFSA concluded that neonicotinoids can pose an </w:t>
      </w:r>
      <w:r w:rsidRPr="00111D7A">
        <w:rPr>
          <w:rFonts w:cs="Helvetica"/>
          <w:i/>
          <w:sz w:val="28"/>
          <w:szCs w:val="28"/>
        </w:rPr>
        <w:t>“unacceptably high risk”</w:t>
      </w:r>
      <w:r w:rsidRPr="00111D7A">
        <w:rPr>
          <w:rFonts w:cs="Helvetica"/>
          <w:sz w:val="28"/>
          <w:szCs w:val="28"/>
        </w:rPr>
        <w:t xml:space="preserve"> to bees, arguing that the industry</w:t>
      </w:r>
      <w:r w:rsidR="00701D43">
        <w:rPr>
          <w:rFonts w:cs="Helvetica"/>
          <w:sz w:val="28"/>
          <w:szCs w:val="28"/>
        </w:rPr>
        <w:t xml:space="preserve">-sponsored </w:t>
      </w:r>
      <w:r w:rsidR="00EF5819">
        <w:rPr>
          <w:rFonts w:cs="Helvetica"/>
          <w:sz w:val="28"/>
          <w:szCs w:val="28"/>
        </w:rPr>
        <w:t>s</w:t>
      </w:r>
      <w:r w:rsidR="00701D43">
        <w:rPr>
          <w:rFonts w:cs="Helvetica"/>
          <w:sz w:val="28"/>
          <w:szCs w:val="28"/>
        </w:rPr>
        <w:t>cience</w:t>
      </w:r>
      <w:r w:rsidRPr="00111D7A">
        <w:rPr>
          <w:rFonts w:cs="Helvetica"/>
          <w:sz w:val="28"/>
          <w:szCs w:val="28"/>
        </w:rPr>
        <w:t>, upon which regulatory agencies' claims of safety relied, could not demonstrate the absence of certain risks. EFSA’s scientists were unable to finalize risk assessments for some authorized uses, identified a number of data gaps and also highlighted that the risk to other pollinators should be further considered (EFSA, January 2013).</w:t>
      </w:r>
      <w:r w:rsidR="00701D43">
        <w:rPr>
          <w:rFonts w:cs="Helvetica"/>
          <w:sz w:val="28"/>
          <w:szCs w:val="28"/>
        </w:rPr>
        <w:t xml:space="preserve"> That said in many cases the European Commission itself has not had a problem in authorizing the use of a number of bio pesticides.</w:t>
      </w:r>
    </w:p>
    <w:p w:rsidR="00111D7A" w:rsidRPr="00EE1581" w:rsidRDefault="00111D7A" w:rsidP="00111D7A">
      <w:pPr>
        <w:pStyle w:val="ListParagraph"/>
        <w:widowControl w:val="0"/>
        <w:autoSpaceDE w:val="0"/>
        <w:autoSpaceDN w:val="0"/>
        <w:adjustRightInd w:val="0"/>
        <w:ind w:left="375"/>
        <w:jc w:val="both"/>
        <w:rPr>
          <w:rFonts w:cs="Helvetica"/>
          <w:sz w:val="28"/>
          <w:szCs w:val="28"/>
        </w:rPr>
      </w:pPr>
    </w:p>
    <w:p w:rsidR="00111D7A" w:rsidRPr="00111D7A" w:rsidRDefault="00111D7A" w:rsidP="00111D7A">
      <w:pPr>
        <w:pStyle w:val="ListParagraph"/>
        <w:ind w:left="375"/>
        <w:jc w:val="both"/>
        <w:rPr>
          <w:sz w:val="28"/>
          <w:szCs w:val="28"/>
        </w:rPr>
      </w:pPr>
      <w:r w:rsidRPr="00111D7A">
        <w:rPr>
          <w:sz w:val="28"/>
          <w:szCs w:val="28"/>
        </w:rPr>
        <w:t xml:space="preserve">Yet Rimkute (2015) suggests that </w:t>
      </w:r>
      <w:r w:rsidRPr="00111D7A">
        <w:rPr>
          <w:i/>
          <w:sz w:val="28"/>
          <w:szCs w:val="28"/>
        </w:rPr>
        <w:t>“extra efforts were taken by the commission (and followed by EFSA) to justify the inclusion of studies proving a risk and exclud</w:t>
      </w:r>
      <w:r w:rsidR="00EF5819">
        <w:rPr>
          <w:i/>
          <w:sz w:val="28"/>
          <w:szCs w:val="28"/>
        </w:rPr>
        <w:t>ing</w:t>
      </w:r>
      <w:r w:rsidRPr="00111D7A">
        <w:rPr>
          <w:i/>
          <w:sz w:val="28"/>
          <w:szCs w:val="28"/>
        </w:rPr>
        <w:t xml:space="preserve"> studies suggesting that there was no risk”</w:t>
      </w:r>
      <w:r w:rsidRPr="00111D7A">
        <w:rPr>
          <w:sz w:val="28"/>
          <w:szCs w:val="28"/>
        </w:rPr>
        <w:t xml:space="preserve"> (Rimkute, 2015, p. 10). Rimkute is critical that EFSA’s conclusions relied almost exclusively on laboratory research (from academic scientists), excluding a notable amount of evidence from field research (conducted by industry). </w:t>
      </w:r>
    </w:p>
    <w:p w:rsidR="00111D7A" w:rsidRPr="00EE1581" w:rsidRDefault="00111D7A" w:rsidP="00111D7A">
      <w:pPr>
        <w:pStyle w:val="ListParagraph"/>
        <w:widowControl w:val="0"/>
        <w:autoSpaceDE w:val="0"/>
        <w:autoSpaceDN w:val="0"/>
        <w:adjustRightInd w:val="0"/>
        <w:ind w:left="375"/>
        <w:jc w:val="both"/>
        <w:rPr>
          <w:rFonts w:cs="Helvetica"/>
          <w:sz w:val="28"/>
          <w:szCs w:val="28"/>
        </w:rPr>
      </w:pPr>
    </w:p>
    <w:p w:rsidR="00111D7A" w:rsidRPr="00111D7A" w:rsidRDefault="00111D7A" w:rsidP="00111D7A">
      <w:pPr>
        <w:pStyle w:val="ListParagraph"/>
        <w:widowControl w:val="0"/>
        <w:autoSpaceDE w:val="0"/>
        <w:autoSpaceDN w:val="0"/>
        <w:adjustRightInd w:val="0"/>
        <w:ind w:left="375"/>
        <w:jc w:val="both"/>
        <w:rPr>
          <w:rFonts w:cs="Helvetica"/>
          <w:sz w:val="28"/>
          <w:szCs w:val="28"/>
        </w:rPr>
      </w:pPr>
      <w:r w:rsidRPr="00111D7A">
        <w:rPr>
          <w:rFonts w:cs="Helvetica"/>
          <w:sz w:val="28"/>
          <w:szCs w:val="28"/>
        </w:rPr>
        <w:t>Nevertheless, applying the precautionary principle</w:t>
      </w:r>
      <w:r w:rsidRPr="00111D7A">
        <w:rPr>
          <w:sz w:val="28"/>
          <w:szCs w:val="28"/>
        </w:rPr>
        <w:t>- and in line with public opinion and NGO lobbying</w:t>
      </w:r>
      <w:r w:rsidRPr="00111D7A">
        <w:rPr>
          <w:rFonts w:cs="Helvetica"/>
          <w:sz w:val="28"/>
          <w:szCs w:val="28"/>
        </w:rPr>
        <w:t>- in April 2013, Member States voted for a two-year suspension of several uses</w:t>
      </w:r>
      <w:r w:rsidR="00EF5819">
        <w:rPr>
          <w:rFonts w:cs="Helvetica"/>
          <w:sz w:val="28"/>
          <w:szCs w:val="28"/>
        </w:rPr>
        <w:t xml:space="preserve"> of these three neonicotinoids</w:t>
      </w:r>
      <w:r w:rsidRPr="00111D7A">
        <w:rPr>
          <w:rFonts w:cs="Helvetica"/>
          <w:sz w:val="28"/>
          <w:szCs w:val="28"/>
        </w:rPr>
        <w:t xml:space="preserve">. Eight </w:t>
      </w:r>
      <w:r w:rsidR="00701D43">
        <w:rPr>
          <w:rFonts w:cs="Helvetica"/>
          <w:sz w:val="28"/>
          <w:szCs w:val="28"/>
        </w:rPr>
        <w:t>Member States</w:t>
      </w:r>
      <w:r w:rsidRPr="00111D7A">
        <w:rPr>
          <w:rFonts w:cs="Helvetica"/>
          <w:sz w:val="28"/>
          <w:szCs w:val="28"/>
        </w:rPr>
        <w:t xml:space="preserve"> (including the UK) voted against the motio</w:t>
      </w:r>
      <w:r w:rsidR="00EF5819">
        <w:rPr>
          <w:rFonts w:cs="Helvetica"/>
          <w:sz w:val="28"/>
          <w:szCs w:val="28"/>
        </w:rPr>
        <w:t>n, while four abstained. T</w:t>
      </w:r>
      <w:r w:rsidRPr="00111D7A">
        <w:rPr>
          <w:rFonts w:cs="Helvetica"/>
          <w:sz w:val="28"/>
          <w:szCs w:val="28"/>
        </w:rPr>
        <w:t>he UK’s</w:t>
      </w:r>
      <w:r w:rsidRPr="00111D7A">
        <w:rPr>
          <w:rFonts w:cs="Verdana"/>
          <w:sz w:val="28"/>
          <w:szCs w:val="28"/>
        </w:rPr>
        <w:t xml:space="preserve"> environment minister, Lord de Mauley</w:t>
      </w:r>
      <w:r w:rsidR="00EF5819">
        <w:rPr>
          <w:rFonts w:cs="Verdana"/>
          <w:sz w:val="28"/>
          <w:szCs w:val="28"/>
        </w:rPr>
        <w:t xml:space="preserve"> responded to the use suspension:</w:t>
      </w:r>
      <w:r w:rsidRPr="00111D7A">
        <w:rPr>
          <w:rFonts w:cs="Verdana"/>
          <w:sz w:val="28"/>
          <w:szCs w:val="28"/>
        </w:rPr>
        <w:t xml:space="preserve">  </w:t>
      </w:r>
    </w:p>
    <w:p w:rsidR="00111D7A" w:rsidRPr="00EE1581" w:rsidRDefault="00111D7A" w:rsidP="00111D7A">
      <w:pPr>
        <w:pStyle w:val="ListParagraph"/>
        <w:ind w:left="375"/>
        <w:jc w:val="both"/>
        <w:rPr>
          <w:rFonts w:cs="Helvetica"/>
          <w:sz w:val="28"/>
          <w:szCs w:val="28"/>
        </w:rPr>
      </w:pPr>
      <w:r w:rsidRPr="00EE1581">
        <w:rPr>
          <w:rFonts w:cs="Verdana"/>
          <w:i/>
          <w:sz w:val="28"/>
          <w:szCs w:val="28"/>
        </w:rPr>
        <w:t>"Having a healthy bee population is a top priority for us but we did not support the proposal because our scientific evidence doesn't support it. We will now work with farmers to cope with the consequences as a ban will carry significant costs for them</w:t>
      </w:r>
      <w:r w:rsidRPr="00EE1581">
        <w:rPr>
          <w:rFonts w:cs="Helvetica"/>
          <w:i/>
          <w:sz w:val="28"/>
          <w:szCs w:val="28"/>
        </w:rPr>
        <w:t>.”</w:t>
      </w:r>
      <w:r w:rsidRPr="00EE1581">
        <w:rPr>
          <w:rFonts w:cs="Helvetica"/>
          <w:sz w:val="28"/>
          <w:szCs w:val="28"/>
        </w:rPr>
        <w:t xml:space="preserve"> </w:t>
      </w:r>
    </w:p>
    <w:p w:rsidR="00111D7A" w:rsidRPr="00EE1581" w:rsidRDefault="00111D7A" w:rsidP="00111D7A">
      <w:pPr>
        <w:pStyle w:val="ListParagraph"/>
        <w:ind w:left="375"/>
        <w:jc w:val="both"/>
        <w:rPr>
          <w:rFonts w:cs="Helvetica"/>
          <w:sz w:val="28"/>
          <w:szCs w:val="28"/>
        </w:rPr>
      </w:pPr>
    </w:p>
    <w:p w:rsidR="00111D7A" w:rsidRPr="00111D7A" w:rsidRDefault="00111D7A" w:rsidP="00111D7A">
      <w:pPr>
        <w:pStyle w:val="ListParagraph"/>
        <w:ind w:left="375"/>
        <w:jc w:val="both"/>
        <w:rPr>
          <w:rFonts w:cs="Helvetica"/>
          <w:sz w:val="28"/>
          <w:szCs w:val="28"/>
        </w:rPr>
      </w:pPr>
      <w:r w:rsidRPr="00111D7A">
        <w:rPr>
          <w:rFonts w:cs="Helvetica"/>
          <w:sz w:val="28"/>
          <w:szCs w:val="28"/>
        </w:rPr>
        <w:t xml:space="preserve">Adding to the issue was a leaked memo by Henk Tennekes (from the International Union for the Conservation of Nature (IUCN)), which implied that a group of scientists from the IUCN affiliated with the taskforce </w:t>
      </w:r>
      <w:r w:rsidR="00701D43">
        <w:rPr>
          <w:rFonts w:cs="Helvetica"/>
          <w:sz w:val="28"/>
          <w:szCs w:val="28"/>
        </w:rPr>
        <w:t>(who had</w:t>
      </w:r>
      <w:r w:rsidRPr="00111D7A">
        <w:rPr>
          <w:rFonts w:cs="Helvetica"/>
          <w:sz w:val="28"/>
          <w:szCs w:val="28"/>
        </w:rPr>
        <w:t xml:space="preserve"> conducted the academic studies</w:t>
      </w:r>
      <w:r w:rsidR="00701D43">
        <w:rPr>
          <w:rFonts w:cs="Helvetica"/>
          <w:sz w:val="28"/>
          <w:szCs w:val="28"/>
        </w:rPr>
        <w:t>)</w:t>
      </w:r>
      <w:r w:rsidRPr="00111D7A">
        <w:rPr>
          <w:rFonts w:cs="Helvetica"/>
          <w:sz w:val="28"/>
          <w:szCs w:val="28"/>
        </w:rPr>
        <w:t xml:space="preserve"> agreed- in advance of obtaining the data- on the research papers to be published to demonstrate the negative impact of neonicotinoids on insects, birds and other species (Ridley, 2014). It appeared that </w:t>
      </w:r>
      <w:r w:rsidRPr="00111D7A">
        <w:rPr>
          <w:rFonts w:cs="Helvetica"/>
          <w:i/>
          <w:sz w:val="28"/>
          <w:szCs w:val="28"/>
        </w:rPr>
        <w:t>“Beegate”</w:t>
      </w:r>
      <w:r w:rsidRPr="00111D7A">
        <w:rPr>
          <w:rFonts w:cs="Helvetica"/>
          <w:sz w:val="28"/>
          <w:szCs w:val="28"/>
        </w:rPr>
        <w:t xml:space="preserve"> was deliberately engineered on the basis of questionable evidence by the IUCN, headed by one of the co-founders of the Dutch WWF and funded by the EU (Miller, 2015). Miller suggests that some scientists and EU authorities, were colluding, meaning that business and farming interests stood little chance. The </w:t>
      </w:r>
      <w:r w:rsidR="00EF5819">
        <w:rPr>
          <w:rFonts w:cs="Helvetica"/>
          <w:sz w:val="28"/>
          <w:szCs w:val="28"/>
        </w:rPr>
        <w:t xml:space="preserve">European </w:t>
      </w:r>
      <w:r w:rsidRPr="00111D7A">
        <w:rPr>
          <w:rFonts w:cs="Helvetica"/>
          <w:sz w:val="28"/>
          <w:szCs w:val="28"/>
        </w:rPr>
        <w:t xml:space="preserve">Crop Protection Association </w:t>
      </w:r>
      <w:r w:rsidR="00EF5819">
        <w:rPr>
          <w:rFonts w:cs="Helvetica"/>
          <w:sz w:val="28"/>
          <w:szCs w:val="28"/>
        </w:rPr>
        <w:t xml:space="preserve">(ECPA-representing many of the companies producing crop protection products) </w:t>
      </w:r>
      <w:r w:rsidRPr="00111D7A">
        <w:rPr>
          <w:rFonts w:cs="Helvetica"/>
          <w:sz w:val="28"/>
          <w:szCs w:val="28"/>
        </w:rPr>
        <w:t xml:space="preserve">argued that this memo discredits the task force on systemic pesticides set up by IUCN. </w:t>
      </w:r>
    </w:p>
    <w:p w:rsidR="00111D7A" w:rsidRPr="00EE1581" w:rsidRDefault="00111D7A" w:rsidP="00111D7A">
      <w:pPr>
        <w:pStyle w:val="ListParagraph"/>
        <w:ind w:left="375"/>
        <w:jc w:val="both"/>
        <w:rPr>
          <w:rFonts w:cs="Helvetica"/>
          <w:i/>
          <w:sz w:val="28"/>
          <w:szCs w:val="28"/>
        </w:rPr>
      </w:pPr>
    </w:p>
    <w:p w:rsidR="00111D7A" w:rsidRPr="00111D7A" w:rsidRDefault="00111D7A" w:rsidP="00111D7A">
      <w:pPr>
        <w:pStyle w:val="ListParagraph"/>
        <w:ind w:left="375"/>
        <w:jc w:val="both"/>
        <w:rPr>
          <w:rFonts w:cs="Helvetica"/>
          <w:i/>
          <w:sz w:val="28"/>
          <w:szCs w:val="28"/>
        </w:rPr>
      </w:pPr>
      <w:r w:rsidRPr="00111D7A">
        <w:rPr>
          <w:rFonts w:cs="Helvetica"/>
          <w:sz w:val="28"/>
          <w:szCs w:val="28"/>
        </w:rPr>
        <w:t xml:space="preserve">However, Tennekes responded (Volkskrant, 2014): </w:t>
      </w:r>
      <w:r w:rsidRPr="00111D7A">
        <w:rPr>
          <w:rFonts w:cs="Helvetica"/>
          <w:i/>
          <w:sz w:val="28"/>
          <w:szCs w:val="28"/>
        </w:rPr>
        <w:t>“if we do not ban neonicotinoids, we will be on the threshold of an ecological catastrophe. Entire ecosystems will collapse due to insects going extinct. Of course there was a campaign plan, and the participants knew that. I get that some see this as an unscientific approach but in this situation I think it is entirely justifiable.”</w:t>
      </w:r>
    </w:p>
    <w:p w:rsidR="00111D7A" w:rsidRPr="00EE1581" w:rsidRDefault="00111D7A" w:rsidP="00111D7A">
      <w:pPr>
        <w:pStyle w:val="ListParagraph"/>
        <w:ind w:left="375"/>
        <w:jc w:val="both"/>
        <w:rPr>
          <w:rFonts w:cs="Helvetica"/>
          <w:i/>
          <w:sz w:val="28"/>
          <w:szCs w:val="28"/>
        </w:rPr>
      </w:pPr>
    </w:p>
    <w:p w:rsidR="00111D7A" w:rsidRPr="00111D7A" w:rsidRDefault="00111D7A" w:rsidP="00111D7A">
      <w:pPr>
        <w:pStyle w:val="ListParagraph"/>
        <w:ind w:left="375"/>
        <w:jc w:val="both"/>
        <w:rPr>
          <w:rFonts w:cs="Helvetica"/>
          <w:sz w:val="28"/>
          <w:szCs w:val="28"/>
        </w:rPr>
      </w:pPr>
      <w:r w:rsidRPr="00111D7A">
        <w:rPr>
          <w:rFonts w:cs="Helvetica"/>
          <w:sz w:val="28"/>
          <w:szCs w:val="28"/>
        </w:rPr>
        <w:t xml:space="preserve">To date, the link between neonicotinoids and </w:t>
      </w:r>
      <w:r w:rsidR="00701D43">
        <w:rPr>
          <w:rFonts w:cs="Helvetica"/>
          <w:sz w:val="28"/>
          <w:szCs w:val="28"/>
        </w:rPr>
        <w:t xml:space="preserve">honey </w:t>
      </w:r>
      <w:r w:rsidRPr="00111D7A">
        <w:rPr>
          <w:rFonts w:cs="Helvetica"/>
          <w:sz w:val="28"/>
          <w:szCs w:val="28"/>
        </w:rPr>
        <w:t xml:space="preserve">bee decline is far from clear, with a range of other factors coming into play (Neumann and Carreck, 2010). Moreover, the </w:t>
      </w:r>
      <w:r w:rsidRPr="00111D7A">
        <w:rPr>
          <w:rFonts w:eastAsiaTheme="minorHAnsi" w:cs="Times New Roman Bold"/>
          <w:sz w:val="28"/>
        </w:rPr>
        <w:t xml:space="preserve">European Academies Science Advisory Council </w:t>
      </w:r>
      <w:r w:rsidRPr="00111D7A">
        <w:rPr>
          <w:rFonts w:cs="Helvetica"/>
          <w:sz w:val="28"/>
          <w:szCs w:val="28"/>
        </w:rPr>
        <w:t>(EASAC, 2015) criticizes the focus on honey</w:t>
      </w:r>
      <w:r w:rsidR="00EF5819">
        <w:rPr>
          <w:rFonts w:cs="Helvetica"/>
          <w:sz w:val="28"/>
          <w:szCs w:val="28"/>
        </w:rPr>
        <w:t xml:space="preserve"> </w:t>
      </w:r>
      <w:r w:rsidRPr="00111D7A">
        <w:rPr>
          <w:rFonts w:cs="Helvetica"/>
          <w:sz w:val="28"/>
          <w:szCs w:val="28"/>
        </w:rPr>
        <w:t xml:space="preserve">bees </w:t>
      </w:r>
      <w:r w:rsidR="00701D43">
        <w:rPr>
          <w:rFonts w:cs="Helvetica"/>
          <w:sz w:val="28"/>
          <w:szCs w:val="28"/>
        </w:rPr>
        <w:t xml:space="preserve">arguing that </w:t>
      </w:r>
      <w:r w:rsidR="00EF5819">
        <w:rPr>
          <w:rFonts w:cs="Helvetica"/>
          <w:sz w:val="28"/>
          <w:szCs w:val="28"/>
        </w:rPr>
        <w:t xml:space="preserve">it </w:t>
      </w:r>
      <w:r w:rsidR="00701D43">
        <w:rPr>
          <w:rFonts w:cs="Helvetica"/>
          <w:sz w:val="28"/>
          <w:szCs w:val="28"/>
        </w:rPr>
        <w:t>h</w:t>
      </w:r>
      <w:r w:rsidRPr="00111D7A">
        <w:rPr>
          <w:rFonts w:cs="Helvetica"/>
          <w:sz w:val="28"/>
          <w:szCs w:val="28"/>
        </w:rPr>
        <w:t>as distorted the debate around neonicotinoids</w:t>
      </w:r>
      <w:r w:rsidR="00EF5819">
        <w:rPr>
          <w:rFonts w:cs="Helvetica"/>
          <w:sz w:val="28"/>
          <w:szCs w:val="28"/>
        </w:rPr>
        <w:t>,</w:t>
      </w:r>
      <w:r w:rsidRPr="00111D7A">
        <w:rPr>
          <w:rFonts w:cs="Helvetica"/>
          <w:sz w:val="28"/>
          <w:szCs w:val="28"/>
        </w:rPr>
        <w:t xml:space="preserve"> as their widespread use may have a damaging impact on a wide range of organisms (such as bumblebees and butterflies) which aid pollination and natural pest control, as well as on biodiversity. </w:t>
      </w:r>
      <w:r w:rsidR="007063FF">
        <w:rPr>
          <w:rFonts w:cs="Helvetica"/>
          <w:sz w:val="28"/>
          <w:szCs w:val="28"/>
        </w:rPr>
        <w:t>Similarly new data from a number of European authorities show no dramatic decline in beehive numbers in the EU (Commissioner Vella 2015).</w:t>
      </w:r>
    </w:p>
    <w:p w:rsidR="00111D7A" w:rsidRPr="00111D7A" w:rsidRDefault="00111D7A" w:rsidP="00111D7A">
      <w:pPr>
        <w:pStyle w:val="ListParagraph"/>
        <w:ind w:left="375"/>
        <w:jc w:val="both"/>
        <w:rPr>
          <w:rFonts w:cs="Helvetica"/>
          <w:sz w:val="28"/>
          <w:szCs w:val="28"/>
        </w:rPr>
      </w:pPr>
    </w:p>
    <w:p w:rsidR="00111D7A" w:rsidRPr="00111D7A" w:rsidRDefault="00111D7A" w:rsidP="00111D7A">
      <w:pPr>
        <w:pStyle w:val="ListParagraph"/>
        <w:ind w:left="375"/>
        <w:jc w:val="both"/>
        <w:rPr>
          <w:rFonts w:cs="Helvetica"/>
          <w:sz w:val="28"/>
          <w:szCs w:val="28"/>
        </w:rPr>
      </w:pPr>
      <w:r w:rsidRPr="00111D7A">
        <w:rPr>
          <w:rFonts w:cs="Helvetica"/>
          <w:sz w:val="28"/>
          <w:szCs w:val="28"/>
        </w:rPr>
        <w:t xml:space="preserve">However, </w:t>
      </w:r>
      <w:r w:rsidR="00701D43">
        <w:rPr>
          <w:rFonts w:cs="Helvetica"/>
          <w:sz w:val="28"/>
          <w:szCs w:val="28"/>
        </w:rPr>
        <w:t xml:space="preserve">although it is difficult to present a definite analysis at this stage, </w:t>
      </w:r>
      <w:r w:rsidRPr="00111D7A">
        <w:rPr>
          <w:rFonts w:cs="Helvetica"/>
          <w:sz w:val="28"/>
          <w:szCs w:val="28"/>
        </w:rPr>
        <w:t xml:space="preserve">the costs of the EU moratorium on neonicotinoids are already becoming evident. </w:t>
      </w:r>
      <w:r w:rsidRPr="00111D7A">
        <w:rPr>
          <w:sz w:val="28"/>
          <w:szCs w:val="28"/>
        </w:rPr>
        <w:t>The unintended consequences of applying the precautionary principle in this case are risk-risk tradeoffs.</w:t>
      </w:r>
      <w:r w:rsidR="007063FF">
        <w:rPr>
          <w:sz w:val="28"/>
          <w:szCs w:val="28"/>
        </w:rPr>
        <w:t xml:space="preserve"> It is still unknown whether t</w:t>
      </w:r>
      <w:r w:rsidRPr="00111D7A">
        <w:rPr>
          <w:sz w:val="28"/>
          <w:szCs w:val="28"/>
        </w:rPr>
        <w:t xml:space="preserve">he EU ban </w:t>
      </w:r>
      <w:r w:rsidR="00BC03E1">
        <w:rPr>
          <w:sz w:val="28"/>
          <w:szCs w:val="28"/>
        </w:rPr>
        <w:t xml:space="preserve">has </w:t>
      </w:r>
      <w:r w:rsidRPr="00111D7A">
        <w:rPr>
          <w:sz w:val="28"/>
          <w:szCs w:val="28"/>
        </w:rPr>
        <w:t>succeed</w:t>
      </w:r>
      <w:r w:rsidR="00BC03E1">
        <w:rPr>
          <w:sz w:val="28"/>
          <w:szCs w:val="28"/>
        </w:rPr>
        <w:t>ed</w:t>
      </w:r>
      <w:r w:rsidRPr="00111D7A">
        <w:rPr>
          <w:sz w:val="28"/>
          <w:szCs w:val="28"/>
        </w:rPr>
        <w:t xml:space="preserve"> in diminishing pesticide risk to bees </w:t>
      </w:r>
      <w:r w:rsidRPr="00111D7A">
        <w:rPr>
          <w:i/>
          <w:sz w:val="28"/>
          <w:szCs w:val="28"/>
        </w:rPr>
        <w:t>per se</w:t>
      </w:r>
      <w:r w:rsidRPr="00111D7A">
        <w:rPr>
          <w:sz w:val="28"/>
          <w:szCs w:val="28"/>
        </w:rPr>
        <w:t xml:space="preserve">. Rather, there appears to be a negative risk transfer based on uncertain and highly polarized science. </w:t>
      </w:r>
    </w:p>
    <w:p w:rsidR="00111D7A" w:rsidRPr="00EE1581" w:rsidRDefault="00111D7A" w:rsidP="00111D7A">
      <w:pPr>
        <w:pStyle w:val="ListParagraph"/>
        <w:ind w:left="375"/>
        <w:jc w:val="both"/>
        <w:rPr>
          <w:sz w:val="28"/>
          <w:szCs w:val="28"/>
        </w:rPr>
      </w:pPr>
    </w:p>
    <w:p w:rsidR="00111D7A" w:rsidRPr="00111D7A" w:rsidRDefault="00111D7A" w:rsidP="00111D7A">
      <w:pPr>
        <w:pStyle w:val="ListParagraph"/>
        <w:ind w:left="375"/>
        <w:jc w:val="both"/>
        <w:rPr>
          <w:rFonts w:ascii="Times" w:eastAsiaTheme="minorHAnsi" w:hAnsi="Times" w:cs="Times"/>
          <w:color w:val="595959"/>
          <w:sz w:val="34"/>
          <w:szCs w:val="34"/>
        </w:rPr>
      </w:pPr>
      <w:r w:rsidRPr="00111D7A">
        <w:rPr>
          <w:rFonts w:eastAsiaTheme="minorHAnsi" w:cs="Times"/>
          <w:sz w:val="28"/>
          <w:szCs w:val="34"/>
        </w:rPr>
        <w:t>The unintended consequences of removing neonicotinoids meant that other possibly more harmful products were being used instead.</w:t>
      </w:r>
      <w:r w:rsidRPr="00111D7A">
        <w:rPr>
          <w:rFonts w:ascii="Times" w:eastAsiaTheme="minorHAnsi" w:hAnsi="Times" w:cs="Times"/>
          <w:color w:val="595959"/>
          <w:sz w:val="34"/>
          <w:szCs w:val="34"/>
        </w:rPr>
        <w:t xml:space="preserve"> </w:t>
      </w:r>
      <w:r w:rsidRPr="00111D7A">
        <w:rPr>
          <w:rFonts w:cs="Helvetica"/>
          <w:sz w:val="28"/>
          <w:szCs w:val="28"/>
        </w:rPr>
        <w:t xml:space="preserve">One of the advantages of neonicotinoids is that they are less environmentally damaging than many older pesticides (such as pyrethroids) as they are generally used as seed treatments rather than sprayed. </w:t>
      </w:r>
      <w:r w:rsidRPr="00111D7A">
        <w:rPr>
          <w:sz w:val="28"/>
          <w:szCs w:val="28"/>
        </w:rPr>
        <w:t xml:space="preserve">While environmentalists urge the transition to pollinator-friendly alternatives rather than neonicotinoids for the sake of sustainability of ecosystems, alternatives can have worse outcomes for bees and other pollinators. </w:t>
      </w:r>
      <w:r w:rsidRPr="00111D7A">
        <w:rPr>
          <w:rFonts w:cs="Helvetica"/>
          <w:sz w:val="28"/>
          <w:szCs w:val="28"/>
        </w:rPr>
        <w:t xml:space="preserve">Carreck (2015) argues that the ban could do more harm than good, as farmers would now spray crops multiple times with older pesticides that may be more harmful to wildlife, including bees. </w:t>
      </w:r>
    </w:p>
    <w:p w:rsidR="00111D7A" w:rsidRPr="00EE1581" w:rsidRDefault="00111D7A" w:rsidP="00111D7A">
      <w:pPr>
        <w:pStyle w:val="ListParagraph"/>
        <w:ind w:left="375"/>
        <w:jc w:val="both"/>
        <w:rPr>
          <w:rFonts w:cs="Helvetica"/>
          <w:sz w:val="28"/>
          <w:szCs w:val="28"/>
        </w:rPr>
      </w:pPr>
    </w:p>
    <w:p w:rsidR="00111D7A" w:rsidRPr="00111D7A" w:rsidRDefault="00111D7A" w:rsidP="00111D7A">
      <w:pPr>
        <w:pStyle w:val="ListParagraph"/>
        <w:ind w:left="375"/>
        <w:jc w:val="both"/>
        <w:rPr>
          <w:rFonts w:cs="Helvetica"/>
          <w:sz w:val="28"/>
          <w:szCs w:val="28"/>
        </w:rPr>
      </w:pPr>
      <w:r w:rsidRPr="00111D7A">
        <w:rPr>
          <w:sz w:val="28"/>
          <w:szCs w:val="28"/>
        </w:rPr>
        <w:t xml:space="preserve">The ban also means that certain pests are returning. In Germany, the European Union’s biggest rapeseed producer, the Deutsche Bauernverband (DVB) warned that there now is significant damage to young rapeseed plants from insects (e.g. flea beetles) which growers are unable to control due to the EU ban on neonicotinoids (Agrimoney, 2014). In the UK, farmers are reporting significant crop </w:t>
      </w:r>
      <w:r w:rsidR="007063FF">
        <w:rPr>
          <w:sz w:val="28"/>
          <w:szCs w:val="28"/>
        </w:rPr>
        <w:t>damage</w:t>
      </w:r>
      <w:r w:rsidRPr="00111D7A">
        <w:rPr>
          <w:sz w:val="28"/>
          <w:szCs w:val="28"/>
        </w:rPr>
        <w:t xml:space="preserve"> </w:t>
      </w:r>
      <w:r w:rsidR="007063FF">
        <w:rPr>
          <w:sz w:val="28"/>
          <w:szCs w:val="28"/>
        </w:rPr>
        <w:t>to</w:t>
      </w:r>
      <w:r w:rsidRPr="00111D7A">
        <w:rPr>
          <w:sz w:val="28"/>
          <w:szCs w:val="28"/>
        </w:rPr>
        <w:t xml:space="preserve"> oilseed rape because of the ban on neonicotinoids. </w:t>
      </w:r>
      <w:r w:rsidRPr="00111D7A">
        <w:rPr>
          <w:rFonts w:cs="Helvetica"/>
          <w:sz w:val="28"/>
          <w:szCs w:val="28"/>
        </w:rPr>
        <w:t xml:space="preserve">The moratorium has already </w:t>
      </w:r>
      <w:r w:rsidR="007063FF">
        <w:rPr>
          <w:rFonts w:cs="Helvetica"/>
          <w:sz w:val="28"/>
          <w:szCs w:val="28"/>
        </w:rPr>
        <w:t>caused</w:t>
      </w:r>
      <w:r w:rsidRPr="00111D7A">
        <w:rPr>
          <w:rFonts w:cs="Helvetica"/>
          <w:sz w:val="28"/>
          <w:szCs w:val="28"/>
        </w:rPr>
        <w:t xml:space="preserve"> huge damage to European agriculture- it is estimated that the costs to British farmers alone are over £600 million (Booker, 2014). The National Farmers Union is strongly concerned </w:t>
      </w:r>
      <w:r w:rsidR="007063FF">
        <w:rPr>
          <w:rFonts w:cs="Helvetica"/>
          <w:sz w:val="28"/>
          <w:szCs w:val="28"/>
        </w:rPr>
        <w:t>by</w:t>
      </w:r>
      <w:r w:rsidRPr="00111D7A">
        <w:rPr>
          <w:rFonts w:cs="Helvetica"/>
          <w:sz w:val="28"/>
          <w:szCs w:val="28"/>
        </w:rPr>
        <w:t xml:space="preserve"> the extent of oilseed rape crop damage resulting from the lack of availability of neonicotinoids last autumn </w:t>
      </w:r>
      <w:r w:rsidRPr="00111D7A">
        <w:rPr>
          <w:rFonts w:ascii="Times" w:eastAsiaTheme="minorHAnsi" w:hAnsi="Times" w:cs="Times"/>
          <w:sz w:val="28"/>
          <w:szCs w:val="34"/>
        </w:rPr>
        <w:t>(AHDB, 2015)</w:t>
      </w:r>
      <w:r w:rsidRPr="00111D7A">
        <w:rPr>
          <w:rFonts w:cs="Helvetica"/>
          <w:sz w:val="28"/>
          <w:szCs w:val="28"/>
        </w:rPr>
        <w:t xml:space="preserve">. </w:t>
      </w:r>
      <w:r w:rsidRPr="00111D7A">
        <w:rPr>
          <w:rFonts w:ascii="Times" w:eastAsiaTheme="minorHAnsi" w:hAnsi="Times" w:cs="Times"/>
          <w:sz w:val="28"/>
          <w:szCs w:val="34"/>
        </w:rPr>
        <w:t>Overall losses from cabbage stem flea beetle in the current oilseed rape crop in England and Wales (the first to be sown without the chemicals) are judged to be 5%, equating to an estimated 22,000ha of lost crop (AHDB, 2015).</w:t>
      </w:r>
    </w:p>
    <w:p w:rsidR="00111D7A" w:rsidRPr="00111D7A" w:rsidRDefault="00111D7A" w:rsidP="00111D7A">
      <w:pPr>
        <w:pStyle w:val="ListParagraph"/>
        <w:ind w:left="375"/>
        <w:jc w:val="both"/>
        <w:rPr>
          <w:rFonts w:cs="Helvetica"/>
          <w:sz w:val="28"/>
          <w:szCs w:val="28"/>
        </w:rPr>
      </w:pPr>
      <w:r w:rsidRPr="00111D7A">
        <w:rPr>
          <w:rFonts w:ascii="Times" w:eastAsiaTheme="minorHAnsi" w:hAnsi="Times" w:cs="Times"/>
          <w:color w:val="595959"/>
          <w:sz w:val="34"/>
          <w:szCs w:val="34"/>
        </w:rPr>
        <w:t> </w:t>
      </w:r>
    </w:p>
    <w:p w:rsidR="00111D7A" w:rsidRPr="00111D7A" w:rsidRDefault="00111D7A" w:rsidP="00111D7A">
      <w:pPr>
        <w:pStyle w:val="ListParagraph"/>
        <w:ind w:left="375"/>
        <w:jc w:val="both"/>
        <w:rPr>
          <w:rFonts w:cs="Georgia"/>
          <w:sz w:val="28"/>
          <w:szCs w:val="28"/>
        </w:rPr>
      </w:pPr>
      <w:r w:rsidRPr="00111D7A">
        <w:rPr>
          <w:rFonts w:cs="Georgia"/>
          <w:sz w:val="28"/>
          <w:szCs w:val="28"/>
        </w:rPr>
        <w:t>By conducting a detailed risk-risk analysis incorporating these tradeoffs prior to their decision-making, the EU Member States might have been able to avoid such negative economic and environmental outcomes. Existing scientific research</w:t>
      </w:r>
      <w:r w:rsidR="007063FF">
        <w:rPr>
          <w:rFonts w:cs="Georgia"/>
          <w:sz w:val="28"/>
          <w:szCs w:val="28"/>
        </w:rPr>
        <w:t xml:space="preserve">, be that driven by industry funding or environmental ideology, </w:t>
      </w:r>
      <w:r w:rsidR="00EF5819">
        <w:rPr>
          <w:rFonts w:cs="Georgia"/>
          <w:sz w:val="28"/>
          <w:szCs w:val="28"/>
        </w:rPr>
        <w:t xml:space="preserve"> </w:t>
      </w:r>
      <w:r w:rsidRPr="00111D7A">
        <w:rPr>
          <w:rFonts w:cs="Georgia"/>
          <w:sz w:val="28"/>
          <w:szCs w:val="28"/>
        </w:rPr>
        <w:t xml:space="preserve">was obfuscated by pre-determined objectives. It now remains to be seen whether the current moratorium will be upheld in light of </w:t>
      </w:r>
      <w:r w:rsidR="00EF5819">
        <w:rPr>
          <w:rFonts w:cs="Georgia"/>
          <w:sz w:val="28"/>
          <w:szCs w:val="28"/>
        </w:rPr>
        <w:t xml:space="preserve">the environmental and economic </w:t>
      </w:r>
      <w:r w:rsidRPr="00111D7A">
        <w:rPr>
          <w:rFonts w:cs="Georgia"/>
          <w:sz w:val="28"/>
          <w:szCs w:val="28"/>
        </w:rPr>
        <w:t xml:space="preserve">risks it </w:t>
      </w:r>
      <w:r w:rsidR="00EF5819">
        <w:rPr>
          <w:rFonts w:cs="Georgia"/>
          <w:sz w:val="28"/>
          <w:szCs w:val="28"/>
        </w:rPr>
        <w:t xml:space="preserve">has </w:t>
      </w:r>
      <w:r w:rsidRPr="00111D7A">
        <w:rPr>
          <w:rFonts w:cs="Georgia"/>
          <w:sz w:val="28"/>
          <w:szCs w:val="28"/>
        </w:rPr>
        <w:t>introduced.</w:t>
      </w:r>
    </w:p>
    <w:p w:rsidR="00111D7A" w:rsidRPr="00111D7A" w:rsidRDefault="00111D7A" w:rsidP="00111D7A">
      <w:pPr>
        <w:pStyle w:val="ListParagraph"/>
        <w:ind w:left="375"/>
        <w:jc w:val="both"/>
        <w:rPr>
          <w:sz w:val="28"/>
          <w:szCs w:val="28"/>
        </w:rPr>
      </w:pPr>
    </w:p>
    <w:p w:rsidR="00DA0EB5" w:rsidRDefault="00DA0EB5" w:rsidP="00DA0EB5">
      <w:pPr>
        <w:pStyle w:val="ListParagraph"/>
        <w:ind w:left="1140"/>
        <w:rPr>
          <w:sz w:val="28"/>
          <w:szCs w:val="28"/>
        </w:rPr>
      </w:pPr>
    </w:p>
    <w:p w:rsidR="002F241B" w:rsidRPr="00BF203C" w:rsidRDefault="002F241B" w:rsidP="00BF203C">
      <w:pPr>
        <w:pStyle w:val="ListParagraph"/>
        <w:numPr>
          <w:ilvl w:val="1"/>
          <w:numId w:val="4"/>
        </w:numPr>
        <w:rPr>
          <w:b/>
          <w:sz w:val="28"/>
          <w:szCs w:val="28"/>
        </w:rPr>
      </w:pPr>
      <w:r w:rsidRPr="00BF203C">
        <w:rPr>
          <w:b/>
          <w:sz w:val="28"/>
          <w:szCs w:val="28"/>
        </w:rPr>
        <w:t>Learning by listening: Tysabri</w:t>
      </w:r>
      <w:r w:rsidR="00533C0F">
        <w:rPr>
          <w:rStyle w:val="FootnoteReference"/>
          <w:b/>
          <w:sz w:val="28"/>
          <w:szCs w:val="28"/>
        </w:rPr>
        <w:footnoteReference w:id="1"/>
      </w:r>
    </w:p>
    <w:p w:rsidR="00765B64" w:rsidRDefault="00FA7849" w:rsidP="00FA7849">
      <w:pPr>
        <w:rPr>
          <w:sz w:val="28"/>
          <w:szCs w:val="28"/>
        </w:rPr>
      </w:pPr>
      <w:r>
        <w:rPr>
          <w:sz w:val="28"/>
          <w:szCs w:val="28"/>
        </w:rPr>
        <w:t>In late 2004 Tysabri, a drug produced by Biogen Idec</w:t>
      </w:r>
      <w:r w:rsidR="00BF203C">
        <w:rPr>
          <w:sz w:val="28"/>
          <w:szCs w:val="28"/>
        </w:rPr>
        <w:t xml:space="preserve"> and Elan</w:t>
      </w:r>
      <w:r>
        <w:rPr>
          <w:sz w:val="28"/>
          <w:szCs w:val="28"/>
        </w:rPr>
        <w:t xml:space="preserve">, was </w:t>
      </w:r>
      <w:r w:rsidR="004963E6">
        <w:rPr>
          <w:sz w:val="28"/>
          <w:szCs w:val="28"/>
        </w:rPr>
        <w:t xml:space="preserve">fast track </w:t>
      </w:r>
      <w:r>
        <w:rPr>
          <w:sz w:val="28"/>
          <w:szCs w:val="28"/>
        </w:rPr>
        <w:t xml:space="preserve">approved by the US FDA </w:t>
      </w:r>
      <w:r w:rsidR="002E0610">
        <w:rPr>
          <w:sz w:val="28"/>
          <w:szCs w:val="28"/>
        </w:rPr>
        <w:t>for patients with relapsing forms of multiple sclerosis</w:t>
      </w:r>
      <w:r w:rsidR="004A240A">
        <w:rPr>
          <w:sz w:val="28"/>
          <w:szCs w:val="28"/>
        </w:rPr>
        <w:t xml:space="preserve"> </w:t>
      </w:r>
      <w:r w:rsidR="00EE0F8F">
        <w:rPr>
          <w:sz w:val="28"/>
          <w:szCs w:val="28"/>
        </w:rPr>
        <w:t xml:space="preserve">(MS) </w:t>
      </w:r>
      <w:r w:rsidR="004A240A">
        <w:rPr>
          <w:sz w:val="28"/>
          <w:szCs w:val="28"/>
        </w:rPr>
        <w:t>following one year of clinical trials</w:t>
      </w:r>
      <w:r w:rsidR="002E0610">
        <w:rPr>
          <w:sz w:val="28"/>
          <w:szCs w:val="28"/>
        </w:rPr>
        <w:t xml:space="preserve">.  </w:t>
      </w:r>
      <w:r w:rsidR="00765B64">
        <w:rPr>
          <w:sz w:val="28"/>
          <w:szCs w:val="28"/>
        </w:rPr>
        <w:t xml:space="preserve">At the </w:t>
      </w:r>
      <w:r w:rsidR="00BC03E1">
        <w:rPr>
          <w:sz w:val="28"/>
          <w:szCs w:val="28"/>
        </w:rPr>
        <w:t xml:space="preserve">time that the drug was </w:t>
      </w:r>
      <w:r w:rsidR="00765B64">
        <w:rPr>
          <w:sz w:val="28"/>
          <w:szCs w:val="28"/>
        </w:rPr>
        <w:t xml:space="preserve">US FDA </w:t>
      </w:r>
      <w:r w:rsidR="00BC03E1">
        <w:rPr>
          <w:sz w:val="28"/>
          <w:szCs w:val="28"/>
        </w:rPr>
        <w:t xml:space="preserve">approved.  Its </w:t>
      </w:r>
      <w:r w:rsidR="00765B64">
        <w:rPr>
          <w:sz w:val="28"/>
          <w:szCs w:val="28"/>
        </w:rPr>
        <w:t>press release</w:t>
      </w:r>
      <w:r w:rsidR="00BC03E1">
        <w:rPr>
          <w:sz w:val="28"/>
          <w:szCs w:val="28"/>
        </w:rPr>
        <w:t xml:space="preserve"> noted that</w:t>
      </w:r>
      <w:r w:rsidR="00765B64">
        <w:rPr>
          <w:sz w:val="28"/>
          <w:szCs w:val="28"/>
        </w:rPr>
        <w:t>:</w:t>
      </w:r>
    </w:p>
    <w:p w:rsidR="00765B64" w:rsidRDefault="00765B64" w:rsidP="00765B64">
      <w:pPr>
        <w:ind w:left="720"/>
        <w:rPr>
          <w:sz w:val="28"/>
          <w:szCs w:val="28"/>
        </w:rPr>
      </w:pPr>
      <w:r>
        <w:rPr>
          <w:sz w:val="28"/>
          <w:szCs w:val="28"/>
        </w:rPr>
        <w:t>“This innovative treatment for multiple sclerosis represents a new approach to treating MS—exciting news for patients with this serious disease…while we eagerly await long-term results from ongoing clinical trials, we have reason to believe that Tysabri will significantly reduce relapses in MS. (FDA 2004, in IOM 2014, p.54)</w:t>
      </w:r>
    </w:p>
    <w:p w:rsidR="00386B7C" w:rsidRDefault="00765B64" w:rsidP="00FA7849">
      <w:pPr>
        <w:rPr>
          <w:sz w:val="28"/>
          <w:szCs w:val="28"/>
        </w:rPr>
      </w:pPr>
      <w:r>
        <w:rPr>
          <w:sz w:val="28"/>
          <w:szCs w:val="28"/>
        </w:rPr>
        <w:t xml:space="preserve">FDA provided accelerated approval for Tysabri as it took the view at the time that the new drug provided substantial benefits to patients with the disease.  </w:t>
      </w:r>
      <w:r w:rsidR="003E67C6">
        <w:rPr>
          <w:sz w:val="28"/>
          <w:szCs w:val="28"/>
        </w:rPr>
        <w:t xml:space="preserve">Four months after </w:t>
      </w:r>
      <w:r>
        <w:rPr>
          <w:sz w:val="28"/>
          <w:szCs w:val="28"/>
        </w:rPr>
        <w:t xml:space="preserve">the accelerated </w:t>
      </w:r>
      <w:r w:rsidR="003E67C6">
        <w:rPr>
          <w:sz w:val="28"/>
          <w:szCs w:val="28"/>
        </w:rPr>
        <w:t xml:space="preserve">approval the drug was </w:t>
      </w:r>
      <w:r w:rsidR="00594588">
        <w:rPr>
          <w:sz w:val="28"/>
          <w:szCs w:val="28"/>
        </w:rPr>
        <w:t xml:space="preserve">voluntarily </w:t>
      </w:r>
      <w:r w:rsidR="003E67C6">
        <w:rPr>
          <w:sz w:val="28"/>
          <w:szCs w:val="28"/>
        </w:rPr>
        <w:t xml:space="preserve">withdrawn from the US market </w:t>
      </w:r>
      <w:r w:rsidR="00594588">
        <w:rPr>
          <w:sz w:val="28"/>
          <w:szCs w:val="28"/>
        </w:rPr>
        <w:t xml:space="preserve">by the </w:t>
      </w:r>
      <w:r w:rsidR="00BF203C">
        <w:rPr>
          <w:sz w:val="28"/>
          <w:szCs w:val="28"/>
        </w:rPr>
        <w:t xml:space="preserve">US </w:t>
      </w:r>
      <w:r w:rsidR="00594588">
        <w:rPr>
          <w:sz w:val="28"/>
          <w:szCs w:val="28"/>
        </w:rPr>
        <w:t xml:space="preserve">sponsor (Biogen Idec) </w:t>
      </w:r>
      <w:r w:rsidR="003E67C6">
        <w:rPr>
          <w:sz w:val="28"/>
          <w:szCs w:val="28"/>
        </w:rPr>
        <w:t>because of 3 cases of the rare but life threatening Progressive Multifocal Leukoencephalopathy (PML)</w:t>
      </w:r>
      <w:r w:rsidR="00630528">
        <w:rPr>
          <w:sz w:val="28"/>
          <w:szCs w:val="28"/>
        </w:rPr>
        <w:t>, a rare opportunistic viral brain infection,</w:t>
      </w:r>
      <w:r w:rsidR="003E67C6">
        <w:rPr>
          <w:sz w:val="28"/>
          <w:szCs w:val="28"/>
        </w:rPr>
        <w:t xml:space="preserve"> among patients taking Tysabri.  </w:t>
      </w:r>
      <w:r w:rsidR="00EE0F8F">
        <w:rPr>
          <w:sz w:val="28"/>
          <w:szCs w:val="28"/>
        </w:rPr>
        <w:t>FDA began questioning itself-</w:t>
      </w:r>
      <w:r>
        <w:rPr>
          <w:sz w:val="28"/>
          <w:szCs w:val="28"/>
        </w:rPr>
        <w:t>whether it had been wise to grant accelerated approval</w:t>
      </w:r>
      <w:r w:rsidR="007063FF">
        <w:rPr>
          <w:sz w:val="28"/>
          <w:szCs w:val="28"/>
        </w:rPr>
        <w:t>,</w:t>
      </w:r>
      <w:r>
        <w:rPr>
          <w:sz w:val="28"/>
          <w:szCs w:val="28"/>
        </w:rPr>
        <w:t xml:space="preserve"> as </w:t>
      </w:r>
      <w:r w:rsidR="00EE0F8F">
        <w:rPr>
          <w:sz w:val="28"/>
          <w:szCs w:val="28"/>
        </w:rPr>
        <w:t xml:space="preserve">it had been done on the basis of </w:t>
      </w:r>
      <w:r w:rsidR="009946DD">
        <w:rPr>
          <w:sz w:val="28"/>
          <w:szCs w:val="28"/>
        </w:rPr>
        <w:t>one</w:t>
      </w:r>
      <w:r>
        <w:rPr>
          <w:sz w:val="28"/>
          <w:szCs w:val="28"/>
        </w:rPr>
        <w:t xml:space="preserve"> year of clinical trial data rather than the usual two.  </w:t>
      </w:r>
      <w:r w:rsidR="00386B7C">
        <w:rPr>
          <w:sz w:val="28"/>
          <w:szCs w:val="28"/>
        </w:rPr>
        <w:t xml:space="preserve">At the time US FDA did not feel that it had a scientific understanding of the magnitude of the risk to patients </w:t>
      </w:r>
      <w:r w:rsidR="00EE0F8F">
        <w:rPr>
          <w:sz w:val="28"/>
          <w:szCs w:val="28"/>
        </w:rPr>
        <w:t>taking</w:t>
      </w:r>
      <w:r w:rsidR="00386B7C">
        <w:rPr>
          <w:sz w:val="28"/>
          <w:szCs w:val="28"/>
        </w:rPr>
        <w:t xml:space="preserve"> Tysabri.</w:t>
      </w:r>
      <w:r w:rsidR="00EE0F8F">
        <w:rPr>
          <w:sz w:val="28"/>
          <w:szCs w:val="28"/>
        </w:rPr>
        <w:t xml:space="preserve">  In addition FDA wanted to </w:t>
      </w:r>
      <w:r w:rsidR="00386B7C">
        <w:rPr>
          <w:sz w:val="28"/>
          <w:szCs w:val="28"/>
        </w:rPr>
        <w:t>clari</w:t>
      </w:r>
      <w:r w:rsidR="00EE0F8F">
        <w:rPr>
          <w:sz w:val="28"/>
          <w:szCs w:val="28"/>
        </w:rPr>
        <w:t>f</w:t>
      </w:r>
      <w:r w:rsidR="00386B7C">
        <w:rPr>
          <w:sz w:val="28"/>
          <w:szCs w:val="28"/>
        </w:rPr>
        <w:t xml:space="preserve">y whether there were any possible and identifiable risk factors that would help explain why some patients got PML and others did not.  If these risk factors could be scientifically proven it would help FDA make a decision to allow the remarketing of the drug with </w:t>
      </w:r>
      <w:r w:rsidR="00EE0F8F">
        <w:rPr>
          <w:sz w:val="28"/>
          <w:szCs w:val="28"/>
        </w:rPr>
        <w:t>clear</w:t>
      </w:r>
      <w:r w:rsidR="00386B7C">
        <w:rPr>
          <w:sz w:val="28"/>
          <w:szCs w:val="28"/>
        </w:rPr>
        <w:t xml:space="preserve"> warning labels.</w:t>
      </w:r>
    </w:p>
    <w:p w:rsidR="00386B7C" w:rsidRDefault="00386B7C" w:rsidP="00FA7849">
      <w:pPr>
        <w:rPr>
          <w:sz w:val="28"/>
          <w:szCs w:val="28"/>
        </w:rPr>
      </w:pPr>
    </w:p>
    <w:p w:rsidR="00386B7C" w:rsidRDefault="00594588" w:rsidP="00FA7849">
      <w:pPr>
        <w:rPr>
          <w:sz w:val="28"/>
          <w:szCs w:val="28"/>
        </w:rPr>
      </w:pPr>
      <w:r>
        <w:rPr>
          <w:sz w:val="28"/>
          <w:szCs w:val="28"/>
        </w:rPr>
        <w:t xml:space="preserve">By September 2005 the sponsor had done extensive research on the safety of Tysabri and based on this information requested FDA to reauthorize the use of the drug (IOM 2014). </w:t>
      </w:r>
      <w:r w:rsidR="007C3E0A">
        <w:rPr>
          <w:sz w:val="28"/>
          <w:szCs w:val="28"/>
        </w:rPr>
        <w:t xml:space="preserve">FDA took this information into account and began conducting its own review into the drug focusing specifically on how big </w:t>
      </w:r>
      <w:r w:rsidR="00BF203C">
        <w:rPr>
          <w:sz w:val="28"/>
          <w:szCs w:val="28"/>
        </w:rPr>
        <w:t xml:space="preserve">the </w:t>
      </w:r>
      <w:r w:rsidR="007C3E0A">
        <w:rPr>
          <w:sz w:val="28"/>
          <w:szCs w:val="28"/>
        </w:rPr>
        <w:t>risk</w:t>
      </w:r>
      <w:r w:rsidR="00BF203C">
        <w:rPr>
          <w:sz w:val="28"/>
          <w:szCs w:val="28"/>
        </w:rPr>
        <w:t>s</w:t>
      </w:r>
      <w:r w:rsidR="007C3E0A">
        <w:rPr>
          <w:sz w:val="28"/>
          <w:szCs w:val="28"/>
        </w:rPr>
        <w:t xml:space="preserve"> of PML </w:t>
      </w:r>
      <w:r w:rsidR="00BF203C">
        <w:rPr>
          <w:sz w:val="28"/>
          <w:szCs w:val="28"/>
        </w:rPr>
        <w:t xml:space="preserve">actually were </w:t>
      </w:r>
      <w:r w:rsidR="007C3E0A">
        <w:rPr>
          <w:sz w:val="28"/>
          <w:szCs w:val="28"/>
        </w:rPr>
        <w:t xml:space="preserve">to patients taking Tysabri.  Was Tysabri a risk superior product in terms of preventing MS relapses vis-à-vis PML or did the risk-risk tradeoff not really exist?  At the same time as this Review was </w:t>
      </w:r>
      <w:r w:rsidR="004557FC">
        <w:rPr>
          <w:sz w:val="28"/>
          <w:szCs w:val="28"/>
        </w:rPr>
        <w:t>being conducted</w:t>
      </w:r>
      <w:r w:rsidR="007C3E0A">
        <w:rPr>
          <w:sz w:val="28"/>
          <w:szCs w:val="28"/>
        </w:rPr>
        <w:t xml:space="preserve"> </w:t>
      </w:r>
      <w:r w:rsidR="00665778">
        <w:rPr>
          <w:sz w:val="28"/>
          <w:szCs w:val="28"/>
        </w:rPr>
        <w:t>MS patients</w:t>
      </w:r>
      <w:r w:rsidR="007C3E0A">
        <w:rPr>
          <w:sz w:val="28"/>
          <w:szCs w:val="28"/>
        </w:rPr>
        <w:t xml:space="preserve"> themselves</w:t>
      </w:r>
      <w:r w:rsidR="00665778">
        <w:rPr>
          <w:sz w:val="28"/>
          <w:szCs w:val="28"/>
        </w:rPr>
        <w:t xml:space="preserve"> complained about th</w:t>
      </w:r>
      <w:r w:rsidR="004A240A">
        <w:rPr>
          <w:sz w:val="28"/>
          <w:szCs w:val="28"/>
        </w:rPr>
        <w:t xml:space="preserve">e initial </w:t>
      </w:r>
      <w:r w:rsidR="00665778">
        <w:rPr>
          <w:sz w:val="28"/>
          <w:szCs w:val="28"/>
        </w:rPr>
        <w:t xml:space="preserve">decision </w:t>
      </w:r>
      <w:r w:rsidR="004A240A">
        <w:rPr>
          <w:sz w:val="28"/>
          <w:szCs w:val="28"/>
        </w:rPr>
        <w:t xml:space="preserve">to withdraw the drug </w:t>
      </w:r>
      <w:r w:rsidR="00665778">
        <w:rPr>
          <w:sz w:val="28"/>
          <w:szCs w:val="28"/>
        </w:rPr>
        <w:t>in the United States</w:t>
      </w:r>
      <w:r w:rsidR="00D9446B">
        <w:rPr>
          <w:sz w:val="28"/>
          <w:szCs w:val="28"/>
        </w:rPr>
        <w:t xml:space="preserve"> arguing that the regulators were </w:t>
      </w:r>
      <w:r w:rsidR="007C3E0A">
        <w:rPr>
          <w:sz w:val="28"/>
          <w:szCs w:val="28"/>
        </w:rPr>
        <w:t xml:space="preserve">far too risk </w:t>
      </w:r>
      <w:r w:rsidR="00D9446B">
        <w:rPr>
          <w:sz w:val="28"/>
          <w:szCs w:val="28"/>
        </w:rPr>
        <w:t>averse</w:t>
      </w:r>
      <w:r w:rsidR="00665778">
        <w:rPr>
          <w:sz w:val="28"/>
          <w:szCs w:val="28"/>
        </w:rPr>
        <w:t xml:space="preserve">.  They felt the drug was </w:t>
      </w:r>
      <w:r w:rsidR="00D9446B">
        <w:rPr>
          <w:sz w:val="28"/>
          <w:szCs w:val="28"/>
        </w:rPr>
        <w:t xml:space="preserve">highly </w:t>
      </w:r>
      <w:r w:rsidR="00665778">
        <w:rPr>
          <w:sz w:val="28"/>
          <w:szCs w:val="28"/>
        </w:rPr>
        <w:t>effective</w:t>
      </w:r>
      <w:r w:rsidR="00D9446B">
        <w:rPr>
          <w:sz w:val="28"/>
          <w:szCs w:val="28"/>
        </w:rPr>
        <w:t xml:space="preserve">, compared to the other drugs available in its class, </w:t>
      </w:r>
      <w:r w:rsidR="00665778">
        <w:rPr>
          <w:sz w:val="28"/>
          <w:szCs w:val="28"/>
        </w:rPr>
        <w:t>and when a</w:t>
      </w:r>
      <w:r w:rsidR="00D9446B">
        <w:rPr>
          <w:sz w:val="28"/>
          <w:szCs w:val="28"/>
        </w:rPr>
        <w:t xml:space="preserve"> FDA</w:t>
      </w:r>
      <w:r w:rsidR="00665778">
        <w:rPr>
          <w:sz w:val="28"/>
          <w:szCs w:val="28"/>
        </w:rPr>
        <w:t xml:space="preserve"> advisory committee met in March 2006 </w:t>
      </w:r>
      <w:r w:rsidR="00D9446B">
        <w:rPr>
          <w:sz w:val="28"/>
          <w:szCs w:val="28"/>
        </w:rPr>
        <w:t xml:space="preserve">to discuss </w:t>
      </w:r>
      <w:r w:rsidR="007C3E0A">
        <w:rPr>
          <w:sz w:val="28"/>
          <w:szCs w:val="28"/>
        </w:rPr>
        <w:t xml:space="preserve">its Review on </w:t>
      </w:r>
      <w:r w:rsidR="00D9446B">
        <w:rPr>
          <w:sz w:val="28"/>
          <w:szCs w:val="28"/>
        </w:rPr>
        <w:t xml:space="preserve">the future of Tysabri </w:t>
      </w:r>
      <w:r w:rsidR="007C3E0A">
        <w:rPr>
          <w:sz w:val="28"/>
          <w:szCs w:val="28"/>
        </w:rPr>
        <w:t>with other experts</w:t>
      </w:r>
      <w:r w:rsidR="004A240A">
        <w:rPr>
          <w:sz w:val="28"/>
          <w:szCs w:val="28"/>
        </w:rPr>
        <w:t>,</w:t>
      </w:r>
      <w:r w:rsidR="007C3E0A">
        <w:rPr>
          <w:sz w:val="28"/>
          <w:szCs w:val="28"/>
        </w:rPr>
        <w:t xml:space="preserve"> </w:t>
      </w:r>
      <w:r w:rsidR="00665778">
        <w:rPr>
          <w:sz w:val="28"/>
          <w:szCs w:val="28"/>
        </w:rPr>
        <w:t xml:space="preserve">two dozen patients </w:t>
      </w:r>
      <w:r w:rsidR="00D9446B">
        <w:rPr>
          <w:sz w:val="28"/>
          <w:szCs w:val="28"/>
        </w:rPr>
        <w:t xml:space="preserve">testified </w:t>
      </w:r>
      <w:r w:rsidR="00665778">
        <w:rPr>
          <w:sz w:val="28"/>
          <w:szCs w:val="28"/>
        </w:rPr>
        <w:t>that the drug should come back on the market.  Those testimonies</w:t>
      </w:r>
      <w:r w:rsidR="008F3002">
        <w:rPr>
          <w:sz w:val="28"/>
          <w:szCs w:val="28"/>
        </w:rPr>
        <w:t>,</w:t>
      </w:r>
      <w:r w:rsidR="00665778">
        <w:rPr>
          <w:sz w:val="28"/>
          <w:szCs w:val="28"/>
        </w:rPr>
        <w:t xml:space="preserve"> as well as surveys showing that a majority of MS patients would either probably or definitely use the drug should it come back on the market</w:t>
      </w:r>
      <w:r w:rsidR="007063FF">
        <w:rPr>
          <w:sz w:val="28"/>
          <w:szCs w:val="28"/>
        </w:rPr>
        <w:t>,</w:t>
      </w:r>
      <w:r w:rsidR="00665778">
        <w:rPr>
          <w:sz w:val="28"/>
          <w:szCs w:val="28"/>
        </w:rPr>
        <w:t xml:space="preserve"> as it was more effective than similar drugs in the area </w:t>
      </w:r>
      <w:r w:rsidR="00C568FA">
        <w:rPr>
          <w:sz w:val="28"/>
          <w:szCs w:val="28"/>
        </w:rPr>
        <w:t>(Calfee 2006)</w:t>
      </w:r>
      <w:r w:rsidR="008F3002">
        <w:rPr>
          <w:sz w:val="28"/>
          <w:szCs w:val="28"/>
        </w:rPr>
        <w:t>,</w:t>
      </w:r>
      <w:r w:rsidR="00C568FA">
        <w:rPr>
          <w:sz w:val="28"/>
          <w:szCs w:val="28"/>
        </w:rPr>
        <w:t xml:space="preserve"> </w:t>
      </w:r>
      <w:r w:rsidR="00665778">
        <w:rPr>
          <w:sz w:val="28"/>
          <w:szCs w:val="28"/>
        </w:rPr>
        <w:t xml:space="preserve">persuaded the Agency to put Tysabri back on the market </w:t>
      </w:r>
      <w:r>
        <w:rPr>
          <w:sz w:val="28"/>
          <w:szCs w:val="28"/>
        </w:rPr>
        <w:t>in June</w:t>
      </w:r>
      <w:r w:rsidR="00665778">
        <w:rPr>
          <w:sz w:val="28"/>
          <w:szCs w:val="28"/>
        </w:rPr>
        <w:t xml:space="preserve"> 2006</w:t>
      </w:r>
      <w:r w:rsidR="007063FF">
        <w:rPr>
          <w:sz w:val="28"/>
          <w:szCs w:val="28"/>
        </w:rPr>
        <w:t>,</w:t>
      </w:r>
      <w:r w:rsidR="00665778">
        <w:rPr>
          <w:sz w:val="28"/>
          <w:szCs w:val="28"/>
        </w:rPr>
        <w:t xml:space="preserve"> </w:t>
      </w:r>
      <w:r>
        <w:rPr>
          <w:sz w:val="28"/>
          <w:szCs w:val="28"/>
        </w:rPr>
        <w:t xml:space="preserve">albeit with some restrictions </w:t>
      </w:r>
      <w:r w:rsidR="00665778">
        <w:rPr>
          <w:sz w:val="28"/>
          <w:szCs w:val="28"/>
        </w:rPr>
        <w:t>(</w:t>
      </w:r>
      <w:r>
        <w:rPr>
          <w:sz w:val="28"/>
          <w:szCs w:val="28"/>
        </w:rPr>
        <w:t>IOM 2014</w:t>
      </w:r>
      <w:r w:rsidR="00665778">
        <w:rPr>
          <w:sz w:val="28"/>
          <w:szCs w:val="28"/>
        </w:rPr>
        <w:t xml:space="preserve">). </w:t>
      </w:r>
      <w:r w:rsidR="00386B7C">
        <w:rPr>
          <w:sz w:val="28"/>
          <w:szCs w:val="28"/>
        </w:rPr>
        <w:t>As the Deputy Director for Clinical Science and Acting Deputy Director of Office of Drug Evaluation 1, CDER, FDA Dr. Robert Temple noted:</w:t>
      </w:r>
    </w:p>
    <w:p w:rsidR="00386B7C" w:rsidRDefault="00386B7C" w:rsidP="009A2524">
      <w:pPr>
        <w:ind w:left="720"/>
        <w:rPr>
          <w:sz w:val="28"/>
          <w:szCs w:val="28"/>
        </w:rPr>
      </w:pPr>
      <w:r>
        <w:rPr>
          <w:sz w:val="28"/>
          <w:szCs w:val="28"/>
        </w:rPr>
        <w:t xml:space="preserve">“…while patients plainly understood the risk that contracting PML could be fatal, they provided ‘powerful personal testimony’ in favour of reintroducing Tysabri.  </w:t>
      </w:r>
      <w:r w:rsidR="009A2524">
        <w:rPr>
          <w:sz w:val="28"/>
          <w:szCs w:val="28"/>
        </w:rPr>
        <w:t xml:space="preserve">In response, FDA allowed marketing of Tysabri to resume, accompanied by an extensive risk mitigation plan that included requirements for strict labelling and safety information; controlled distribution; and a prospective, observational post marketing study, following at least 5,000 patients for 5 years.” (Temple </w:t>
      </w:r>
      <w:r w:rsidR="008F3002">
        <w:rPr>
          <w:sz w:val="28"/>
          <w:szCs w:val="28"/>
        </w:rPr>
        <w:t xml:space="preserve">in IOM </w:t>
      </w:r>
      <w:r w:rsidR="009A2524">
        <w:rPr>
          <w:sz w:val="28"/>
          <w:szCs w:val="28"/>
        </w:rPr>
        <w:t>2014, p.29)</w:t>
      </w:r>
    </w:p>
    <w:p w:rsidR="00386B7C" w:rsidRDefault="00386B7C" w:rsidP="00FA7849">
      <w:pPr>
        <w:rPr>
          <w:sz w:val="28"/>
          <w:szCs w:val="28"/>
        </w:rPr>
      </w:pPr>
    </w:p>
    <w:p w:rsidR="00C568FA" w:rsidRDefault="00665778" w:rsidP="00FA7849">
      <w:pPr>
        <w:rPr>
          <w:sz w:val="28"/>
          <w:szCs w:val="28"/>
        </w:rPr>
      </w:pPr>
      <w:r>
        <w:rPr>
          <w:sz w:val="28"/>
          <w:szCs w:val="28"/>
        </w:rPr>
        <w:t>In</w:t>
      </w:r>
      <w:r w:rsidR="009A2524">
        <w:rPr>
          <w:sz w:val="28"/>
          <w:szCs w:val="28"/>
        </w:rPr>
        <w:t xml:space="preserve">terestingly, </w:t>
      </w:r>
      <w:r>
        <w:rPr>
          <w:sz w:val="28"/>
          <w:szCs w:val="28"/>
        </w:rPr>
        <w:t xml:space="preserve">surveys carried out six years after the market introduction showed that patients felt that the Agency overstated the risks of </w:t>
      </w:r>
      <w:r w:rsidR="004039F6">
        <w:rPr>
          <w:sz w:val="28"/>
          <w:szCs w:val="28"/>
        </w:rPr>
        <w:t xml:space="preserve">getting </w:t>
      </w:r>
      <w:r>
        <w:rPr>
          <w:sz w:val="28"/>
          <w:szCs w:val="28"/>
        </w:rPr>
        <w:t>PML</w:t>
      </w:r>
      <w:r w:rsidR="004039F6">
        <w:rPr>
          <w:sz w:val="28"/>
          <w:szCs w:val="28"/>
        </w:rPr>
        <w:t xml:space="preserve"> by taking Tysabri</w:t>
      </w:r>
      <w:r>
        <w:rPr>
          <w:sz w:val="28"/>
          <w:szCs w:val="28"/>
        </w:rPr>
        <w:t xml:space="preserve"> compared to the risks of MS relapse </w:t>
      </w:r>
      <w:r w:rsidR="004039F6">
        <w:rPr>
          <w:sz w:val="28"/>
          <w:szCs w:val="28"/>
        </w:rPr>
        <w:t>when not taking the medicine</w:t>
      </w:r>
      <w:r>
        <w:rPr>
          <w:sz w:val="28"/>
          <w:szCs w:val="28"/>
        </w:rPr>
        <w:t xml:space="preserve"> (Miller et al 2012). </w:t>
      </w:r>
      <w:r w:rsidR="004B2065">
        <w:rPr>
          <w:sz w:val="28"/>
          <w:szCs w:val="28"/>
        </w:rPr>
        <w:t xml:space="preserve"> One of the reasons for this was that the patients felt that too much of the discussion surrounding Tysabri was on the risks associated with PML and that there was not enough discussion on the benefits of the drug.  In other words they felt that the benefit-risk communication regarding Tysabri was unbalanced (IOM 2014).</w:t>
      </w:r>
    </w:p>
    <w:p w:rsidR="00C568FA" w:rsidRDefault="00C568FA" w:rsidP="00FA7849">
      <w:pPr>
        <w:rPr>
          <w:sz w:val="28"/>
          <w:szCs w:val="28"/>
        </w:rPr>
      </w:pPr>
    </w:p>
    <w:p w:rsidR="00F531E9" w:rsidRDefault="00AE62D8" w:rsidP="00FA7849">
      <w:pPr>
        <w:rPr>
          <w:sz w:val="28"/>
          <w:szCs w:val="28"/>
        </w:rPr>
      </w:pPr>
      <w:r>
        <w:rPr>
          <w:sz w:val="28"/>
          <w:szCs w:val="28"/>
        </w:rPr>
        <w:t xml:space="preserve">Unlike the FDA, </w:t>
      </w:r>
      <w:r w:rsidR="00C568FA">
        <w:rPr>
          <w:sz w:val="28"/>
          <w:szCs w:val="28"/>
        </w:rPr>
        <w:t>EMA did not put Tysabri on fast track approval in 2004 at the time when FDA did.  After examining the PML data, and noting that in fact Tysabri was in many cases a better MS drug than the other one</w:t>
      </w:r>
      <w:r w:rsidR="00BC03E1">
        <w:rPr>
          <w:sz w:val="28"/>
          <w:szCs w:val="28"/>
        </w:rPr>
        <w:t>s on the market, it decided in S</w:t>
      </w:r>
      <w:r w:rsidR="00C568FA">
        <w:rPr>
          <w:sz w:val="28"/>
          <w:szCs w:val="28"/>
        </w:rPr>
        <w:t>pring 2006 to authorize the approval of the drug</w:t>
      </w:r>
      <w:r w:rsidR="004A240A">
        <w:rPr>
          <w:sz w:val="28"/>
          <w:szCs w:val="28"/>
        </w:rPr>
        <w:t xml:space="preserve"> albeit with some restrictions and warnings that Tysabri can cause PML</w:t>
      </w:r>
      <w:r w:rsidR="00C568FA">
        <w:rPr>
          <w:sz w:val="28"/>
          <w:szCs w:val="28"/>
        </w:rPr>
        <w:t>.  Since the reintroduction in the US and the approval in Europe in 2006 there have</w:t>
      </w:r>
      <w:r w:rsidR="007063FF">
        <w:rPr>
          <w:sz w:val="28"/>
          <w:szCs w:val="28"/>
        </w:rPr>
        <w:t>,</w:t>
      </w:r>
      <w:r w:rsidR="00C568FA">
        <w:rPr>
          <w:sz w:val="28"/>
          <w:szCs w:val="28"/>
        </w:rPr>
        <w:t xml:space="preserve"> </w:t>
      </w:r>
      <w:r w:rsidR="00594588">
        <w:rPr>
          <w:sz w:val="28"/>
          <w:szCs w:val="28"/>
        </w:rPr>
        <w:t>as of September 2013</w:t>
      </w:r>
      <w:r w:rsidR="007063FF">
        <w:rPr>
          <w:sz w:val="28"/>
          <w:szCs w:val="28"/>
        </w:rPr>
        <w:t>,</w:t>
      </w:r>
      <w:r w:rsidR="00594588">
        <w:rPr>
          <w:sz w:val="28"/>
          <w:szCs w:val="28"/>
        </w:rPr>
        <w:t xml:space="preserve"> been some 40</w:t>
      </w:r>
      <w:r w:rsidR="00C568FA">
        <w:rPr>
          <w:sz w:val="28"/>
          <w:szCs w:val="28"/>
        </w:rPr>
        <w:t>1 cases of PML worldwide</w:t>
      </w:r>
      <w:r w:rsidR="007063FF">
        <w:rPr>
          <w:sz w:val="28"/>
          <w:szCs w:val="28"/>
        </w:rPr>
        <w:t xml:space="preserve"> caused by Tysabri</w:t>
      </w:r>
      <w:r w:rsidR="00BF203C">
        <w:rPr>
          <w:sz w:val="28"/>
          <w:szCs w:val="28"/>
        </w:rPr>
        <w:t>.</w:t>
      </w:r>
    </w:p>
    <w:p w:rsidR="004A240A" w:rsidRDefault="004A240A" w:rsidP="00FA7849">
      <w:pPr>
        <w:rPr>
          <w:sz w:val="28"/>
          <w:szCs w:val="28"/>
        </w:rPr>
      </w:pPr>
    </w:p>
    <w:p w:rsidR="008F3002" w:rsidRDefault="004A240A" w:rsidP="00FA7849">
      <w:pPr>
        <w:rPr>
          <w:sz w:val="28"/>
          <w:szCs w:val="28"/>
        </w:rPr>
      </w:pPr>
      <w:r>
        <w:rPr>
          <w:sz w:val="28"/>
          <w:szCs w:val="28"/>
        </w:rPr>
        <w:t xml:space="preserve">Tysabri is an example of how regulators can change their minds </w:t>
      </w:r>
      <w:r w:rsidR="006D796D">
        <w:rPr>
          <w:sz w:val="28"/>
          <w:szCs w:val="28"/>
        </w:rPr>
        <w:t xml:space="preserve">over time as the scientific uncertainty is reduced.  The product was withdrawn in 2004 as a precautionary measure.  The sponsor and the regulators were surprised </w:t>
      </w:r>
      <w:r w:rsidR="004557FC">
        <w:rPr>
          <w:sz w:val="28"/>
          <w:szCs w:val="28"/>
        </w:rPr>
        <w:t>to</w:t>
      </w:r>
      <w:r w:rsidR="006D796D">
        <w:rPr>
          <w:sz w:val="28"/>
          <w:szCs w:val="28"/>
        </w:rPr>
        <w:t xml:space="preserve"> find PML among</w:t>
      </w:r>
      <w:r w:rsidR="004557FC">
        <w:rPr>
          <w:sz w:val="28"/>
          <w:szCs w:val="28"/>
        </w:rPr>
        <w:t>st</w:t>
      </w:r>
      <w:r w:rsidR="006D796D">
        <w:rPr>
          <w:sz w:val="28"/>
          <w:szCs w:val="28"/>
        </w:rPr>
        <w:t xml:space="preserve"> </w:t>
      </w:r>
      <w:r w:rsidR="004557FC">
        <w:rPr>
          <w:sz w:val="28"/>
          <w:szCs w:val="28"/>
        </w:rPr>
        <w:t xml:space="preserve">the </w:t>
      </w:r>
      <w:r w:rsidR="006D796D">
        <w:rPr>
          <w:sz w:val="28"/>
          <w:szCs w:val="28"/>
        </w:rPr>
        <w:t xml:space="preserve">patients taking it as it is such a rare disease.  With time, however, as the regulators began understanding under what conditions the MS patients taking Tysabri </w:t>
      </w:r>
      <w:r w:rsidR="00630528">
        <w:rPr>
          <w:sz w:val="28"/>
          <w:szCs w:val="28"/>
        </w:rPr>
        <w:t>developed</w:t>
      </w:r>
      <w:r w:rsidR="006D796D">
        <w:rPr>
          <w:sz w:val="28"/>
          <w:szCs w:val="28"/>
        </w:rPr>
        <w:t xml:space="preserve"> PML they took the view that in a risk-risk tradeoff sense the reauthorization of Tysabri made sense.  </w:t>
      </w:r>
    </w:p>
    <w:p w:rsidR="008F3002" w:rsidRDefault="008F3002" w:rsidP="00FA7849">
      <w:pPr>
        <w:rPr>
          <w:sz w:val="28"/>
          <w:szCs w:val="28"/>
        </w:rPr>
      </w:pPr>
      <w:r>
        <w:rPr>
          <w:sz w:val="28"/>
          <w:szCs w:val="28"/>
        </w:rPr>
        <w:tab/>
        <w:t>The studies done by the sponsor</w:t>
      </w:r>
      <w:r w:rsidR="00630528">
        <w:rPr>
          <w:sz w:val="28"/>
          <w:szCs w:val="28"/>
        </w:rPr>
        <w:t xml:space="preserve"> </w:t>
      </w:r>
      <w:r>
        <w:rPr>
          <w:sz w:val="28"/>
          <w:szCs w:val="28"/>
        </w:rPr>
        <w:t xml:space="preserve">noted that patients were at </w:t>
      </w:r>
      <w:r w:rsidR="00630528">
        <w:rPr>
          <w:sz w:val="28"/>
          <w:szCs w:val="28"/>
        </w:rPr>
        <w:t xml:space="preserve">increased </w:t>
      </w:r>
      <w:r>
        <w:rPr>
          <w:sz w:val="28"/>
          <w:szCs w:val="28"/>
        </w:rPr>
        <w:t>risk of getting PML if</w:t>
      </w:r>
      <w:r w:rsidR="009946DD">
        <w:rPr>
          <w:sz w:val="28"/>
          <w:szCs w:val="28"/>
        </w:rPr>
        <w:t xml:space="preserve"> patients</w:t>
      </w:r>
      <w:r>
        <w:rPr>
          <w:sz w:val="28"/>
          <w:szCs w:val="28"/>
        </w:rPr>
        <w:t>:</w:t>
      </w:r>
    </w:p>
    <w:p w:rsidR="00630528" w:rsidRDefault="00630528" w:rsidP="008F3002">
      <w:pPr>
        <w:pStyle w:val="ListParagraph"/>
        <w:numPr>
          <w:ilvl w:val="0"/>
          <w:numId w:val="5"/>
        </w:numPr>
        <w:rPr>
          <w:sz w:val="28"/>
          <w:szCs w:val="28"/>
        </w:rPr>
      </w:pPr>
      <w:r>
        <w:rPr>
          <w:sz w:val="28"/>
          <w:szCs w:val="28"/>
        </w:rPr>
        <w:t>Had in the past been infected by the John Cunningham Virus (JCV)</w:t>
      </w:r>
    </w:p>
    <w:p w:rsidR="008F3002" w:rsidRDefault="008F3002" w:rsidP="008F3002">
      <w:pPr>
        <w:pStyle w:val="ListParagraph"/>
        <w:numPr>
          <w:ilvl w:val="0"/>
          <w:numId w:val="5"/>
        </w:numPr>
        <w:rPr>
          <w:sz w:val="28"/>
          <w:szCs w:val="28"/>
        </w:rPr>
      </w:pPr>
      <w:r>
        <w:rPr>
          <w:sz w:val="28"/>
          <w:szCs w:val="28"/>
        </w:rPr>
        <w:t>Had been taking Tysabri for more than two years;</w:t>
      </w:r>
    </w:p>
    <w:p w:rsidR="008F3002" w:rsidRPr="00630528" w:rsidRDefault="008F3002" w:rsidP="00630528">
      <w:pPr>
        <w:pStyle w:val="ListParagraph"/>
        <w:numPr>
          <w:ilvl w:val="0"/>
          <w:numId w:val="5"/>
        </w:numPr>
        <w:rPr>
          <w:sz w:val="28"/>
          <w:szCs w:val="28"/>
        </w:rPr>
      </w:pPr>
      <w:r>
        <w:rPr>
          <w:sz w:val="28"/>
          <w:szCs w:val="28"/>
        </w:rPr>
        <w:t>Had received certain other medicines that could weaken one’s immune system before starting Tysabri;</w:t>
      </w:r>
      <w:r w:rsidRPr="00630528">
        <w:rPr>
          <w:sz w:val="28"/>
          <w:szCs w:val="28"/>
        </w:rPr>
        <w:t xml:space="preserve"> </w:t>
      </w:r>
    </w:p>
    <w:p w:rsidR="008F3002" w:rsidRDefault="008F3002" w:rsidP="008F3002">
      <w:pPr>
        <w:pStyle w:val="ListParagraph"/>
        <w:numPr>
          <w:ilvl w:val="0"/>
          <w:numId w:val="5"/>
        </w:numPr>
        <w:rPr>
          <w:sz w:val="28"/>
          <w:szCs w:val="28"/>
        </w:rPr>
      </w:pPr>
      <w:r>
        <w:rPr>
          <w:sz w:val="28"/>
          <w:szCs w:val="28"/>
        </w:rPr>
        <w:t>Or more importantly had a combination of all three.</w:t>
      </w:r>
    </w:p>
    <w:p w:rsidR="004B2065" w:rsidRDefault="008F3002" w:rsidP="00FA7849">
      <w:pPr>
        <w:rPr>
          <w:sz w:val="28"/>
          <w:szCs w:val="28"/>
        </w:rPr>
      </w:pPr>
      <w:r>
        <w:rPr>
          <w:sz w:val="28"/>
          <w:szCs w:val="28"/>
        </w:rPr>
        <w:t xml:space="preserve">In so doing the regulators, assisted by the sponsors, were able to help minimize the risks of patients getting PML when taking Tysabri. </w:t>
      </w:r>
      <w:r w:rsidR="004B2065">
        <w:rPr>
          <w:sz w:val="28"/>
          <w:szCs w:val="28"/>
        </w:rPr>
        <w:t>Through-out the whole re-authorization process as well as afterwards</w:t>
      </w:r>
      <w:r w:rsidR="007063FF">
        <w:rPr>
          <w:sz w:val="28"/>
          <w:szCs w:val="28"/>
        </w:rPr>
        <w:t>,</w:t>
      </w:r>
      <w:r w:rsidR="004B2065">
        <w:rPr>
          <w:sz w:val="28"/>
          <w:szCs w:val="28"/>
        </w:rPr>
        <w:t xml:space="preserve"> the sponsor worked with regulators, patients and others</w:t>
      </w:r>
      <w:r w:rsidR="004557FC">
        <w:rPr>
          <w:sz w:val="28"/>
          <w:szCs w:val="28"/>
        </w:rPr>
        <w:t>,</w:t>
      </w:r>
      <w:r w:rsidR="004B2065">
        <w:rPr>
          <w:sz w:val="28"/>
          <w:szCs w:val="28"/>
        </w:rPr>
        <w:t xml:space="preserve"> sharing the knowledge they </w:t>
      </w:r>
      <w:r w:rsidR="007063FF">
        <w:rPr>
          <w:sz w:val="28"/>
          <w:szCs w:val="28"/>
        </w:rPr>
        <w:t xml:space="preserve">had </w:t>
      </w:r>
      <w:r w:rsidR="004B2065">
        <w:rPr>
          <w:sz w:val="28"/>
          <w:szCs w:val="28"/>
        </w:rPr>
        <w:t>gained and in so doing decreas</w:t>
      </w:r>
      <w:r w:rsidR="007063FF">
        <w:rPr>
          <w:sz w:val="28"/>
          <w:szCs w:val="28"/>
        </w:rPr>
        <w:t>ed</w:t>
      </w:r>
      <w:r w:rsidR="004B2065">
        <w:rPr>
          <w:sz w:val="28"/>
          <w:szCs w:val="28"/>
        </w:rPr>
        <w:t xml:space="preserve"> the scientific uncertainty around the drug.  As Dr. Carmen Bozic, Senior Vice President, Global Development at Biogen noted:</w:t>
      </w:r>
    </w:p>
    <w:p w:rsidR="004B2065" w:rsidRDefault="004B2065" w:rsidP="004B2065">
      <w:pPr>
        <w:ind w:left="720"/>
        <w:rPr>
          <w:sz w:val="28"/>
          <w:szCs w:val="28"/>
        </w:rPr>
      </w:pPr>
      <w:r>
        <w:rPr>
          <w:sz w:val="28"/>
          <w:szCs w:val="28"/>
        </w:rPr>
        <w:t xml:space="preserve">“Every time we learned something new, we should share it with the regulators, we would share it with prescribers and patients, and we did it through multiple avenues, with the label being the primary approach.” (Bozic in IOM 2014, p.58). </w:t>
      </w:r>
    </w:p>
    <w:p w:rsidR="00877C61" w:rsidRDefault="00877C61" w:rsidP="004B2065">
      <w:pPr>
        <w:ind w:left="720"/>
        <w:rPr>
          <w:sz w:val="28"/>
          <w:szCs w:val="28"/>
        </w:rPr>
      </w:pPr>
    </w:p>
    <w:p w:rsidR="004A240A" w:rsidRDefault="004B2065" w:rsidP="00FA7849">
      <w:pPr>
        <w:rPr>
          <w:sz w:val="28"/>
          <w:szCs w:val="28"/>
        </w:rPr>
      </w:pPr>
      <w:r>
        <w:rPr>
          <w:sz w:val="28"/>
          <w:szCs w:val="28"/>
        </w:rPr>
        <w:t xml:space="preserve"> At the end of the day </w:t>
      </w:r>
      <w:r w:rsidR="006D796D">
        <w:rPr>
          <w:sz w:val="28"/>
          <w:szCs w:val="28"/>
        </w:rPr>
        <w:t>Tysabri was a risk superior product.</w:t>
      </w:r>
    </w:p>
    <w:p w:rsidR="009946DD" w:rsidRPr="00AB5BF0" w:rsidRDefault="009946DD" w:rsidP="009946DD">
      <w:pPr>
        <w:pStyle w:val="ListParagraph"/>
        <w:numPr>
          <w:ilvl w:val="0"/>
          <w:numId w:val="3"/>
        </w:numPr>
        <w:rPr>
          <w:b/>
          <w:sz w:val="28"/>
          <w:szCs w:val="28"/>
        </w:rPr>
      </w:pPr>
      <w:r w:rsidRPr="00AB5BF0">
        <w:rPr>
          <w:b/>
          <w:sz w:val="28"/>
          <w:szCs w:val="28"/>
        </w:rPr>
        <w:t>Conclusions</w:t>
      </w:r>
    </w:p>
    <w:p w:rsidR="00AB5BF0" w:rsidRDefault="009946DD" w:rsidP="009946DD">
      <w:pPr>
        <w:rPr>
          <w:sz w:val="28"/>
          <w:szCs w:val="28"/>
        </w:rPr>
      </w:pPr>
      <w:r>
        <w:rPr>
          <w:sz w:val="28"/>
          <w:szCs w:val="28"/>
        </w:rPr>
        <w:t xml:space="preserve">Risk-risk tradeoffs are all around us.  They are caused by everything from unscientific decision making to the growth of bounded specialization. They are found in a number of regulatory sectors ranging from energy to pharmaceuticals.  </w:t>
      </w:r>
      <w:r w:rsidR="00AB5BF0">
        <w:rPr>
          <w:sz w:val="28"/>
          <w:szCs w:val="28"/>
        </w:rPr>
        <w:t>Some of these</w:t>
      </w:r>
      <w:r>
        <w:rPr>
          <w:sz w:val="28"/>
          <w:szCs w:val="28"/>
        </w:rPr>
        <w:t xml:space="preserve"> risk-risk tradeoffs lead to </w:t>
      </w:r>
      <w:r w:rsidR="00AB5BF0">
        <w:rPr>
          <w:sz w:val="28"/>
          <w:szCs w:val="28"/>
        </w:rPr>
        <w:t>risk inferior and expensive outcomes.  In some cases, however, when all the parties are able and willing to work together in an evidence based fashion one can successfully address risk-risk tradeoffs as was the case with Tysabri.</w:t>
      </w:r>
    </w:p>
    <w:p w:rsidR="00AB5BF0" w:rsidRDefault="00AB5BF0" w:rsidP="009946DD">
      <w:pPr>
        <w:rPr>
          <w:sz w:val="28"/>
          <w:szCs w:val="28"/>
        </w:rPr>
      </w:pPr>
    </w:p>
    <w:p w:rsidR="002F241B" w:rsidRPr="0016105A" w:rsidRDefault="00AB5BF0" w:rsidP="00AB5BF0">
      <w:pPr>
        <w:pStyle w:val="ListParagraph"/>
        <w:numPr>
          <w:ilvl w:val="0"/>
          <w:numId w:val="3"/>
        </w:numPr>
        <w:rPr>
          <w:b/>
          <w:sz w:val="28"/>
          <w:szCs w:val="28"/>
        </w:rPr>
      </w:pPr>
      <w:r>
        <w:rPr>
          <w:b/>
          <w:sz w:val="28"/>
          <w:szCs w:val="28"/>
        </w:rPr>
        <w:t xml:space="preserve"> </w:t>
      </w:r>
      <w:r w:rsidR="002F241B" w:rsidRPr="0016105A">
        <w:rPr>
          <w:b/>
          <w:sz w:val="28"/>
          <w:szCs w:val="28"/>
        </w:rPr>
        <w:t xml:space="preserve">Recommendations </w:t>
      </w:r>
    </w:p>
    <w:p w:rsidR="009772DB" w:rsidRDefault="009772DB" w:rsidP="009772DB">
      <w:pPr>
        <w:rPr>
          <w:sz w:val="28"/>
          <w:szCs w:val="28"/>
        </w:rPr>
      </w:pPr>
      <w:r>
        <w:rPr>
          <w:sz w:val="28"/>
          <w:szCs w:val="28"/>
        </w:rPr>
        <w:t xml:space="preserve">What is needed to </w:t>
      </w:r>
      <w:r w:rsidR="00AB5BF0">
        <w:rPr>
          <w:sz w:val="28"/>
          <w:szCs w:val="28"/>
        </w:rPr>
        <w:t>reduce the number of risk-risk tradeoffs that policy makers take</w:t>
      </w:r>
      <w:r w:rsidR="007063FF">
        <w:rPr>
          <w:sz w:val="28"/>
          <w:szCs w:val="28"/>
        </w:rPr>
        <w:t>,</w:t>
      </w:r>
      <w:r w:rsidR="00AB5BF0">
        <w:rPr>
          <w:sz w:val="28"/>
          <w:szCs w:val="28"/>
        </w:rPr>
        <w:t xml:space="preserve"> and going forward h</w:t>
      </w:r>
      <w:r>
        <w:rPr>
          <w:sz w:val="28"/>
          <w:szCs w:val="28"/>
        </w:rPr>
        <w:t xml:space="preserve">ow can we help ensure that regulators </w:t>
      </w:r>
      <w:r w:rsidR="00AB5BF0">
        <w:rPr>
          <w:sz w:val="28"/>
          <w:szCs w:val="28"/>
        </w:rPr>
        <w:t xml:space="preserve">and policy makers </w:t>
      </w:r>
      <w:r>
        <w:rPr>
          <w:sz w:val="28"/>
          <w:szCs w:val="28"/>
        </w:rPr>
        <w:t xml:space="preserve">are </w:t>
      </w:r>
      <w:r w:rsidR="00863757">
        <w:rPr>
          <w:sz w:val="28"/>
          <w:szCs w:val="28"/>
        </w:rPr>
        <w:t xml:space="preserve">better </w:t>
      </w:r>
      <w:r w:rsidR="00AE62D8">
        <w:rPr>
          <w:sz w:val="28"/>
          <w:szCs w:val="28"/>
        </w:rPr>
        <w:t>equipped</w:t>
      </w:r>
      <w:r>
        <w:rPr>
          <w:sz w:val="28"/>
          <w:szCs w:val="28"/>
        </w:rPr>
        <w:t xml:space="preserve"> to avoid risk-risk tradeoffs?  In this final section of our paper we put forward a number of recommendations. </w:t>
      </w:r>
    </w:p>
    <w:p w:rsidR="00A73AA7" w:rsidRDefault="00A73AA7" w:rsidP="009772DB">
      <w:pPr>
        <w:rPr>
          <w:sz w:val="28"/>
          <w:szCs w:val="28"/>
        </w:rPr>
      </w:pPr>
    </w:p>
    <w:p w:rsidR="00A73AA7" w:rsidRPr="00863757" w:rsidRDefault="00A73AA7" w:rsidP="00AB5BF0">
      <w:pPr>
        <w:pStyle w:val="ListParagraph"/>
        <w:numPr>
          <w:ilvl w:val="1"/>
          <w:numId w:val="6"/>
        </w:numPr>
        <w:rPr>
          <w:b/>
          <w:sz w:val="28"/>
          <w:szCs w:val="28"/>
        </w:rPr>
      </w:pPr>
      <w:r w:rsidRPr="00863757">
        <w:rPr>
          <w:b/>
          <w:sz w:val="28"/>
          <w:szCs w:val="28"/>
        </w:rPr>
        <w:t>Increasing the transparency behind risk management decisions</w:t>
      </w:r>
    </w:p>
    <w:p w:rsidR="00A73AA7" w:rsidRDefault="00A73AA7" w:rsidP="00A73AA7">
      <w:pPr>
        <w:rPr>
          <w:sz w:val="28"/>
          <w:szCs w:val="28"/>
        </w:rPr>
      </w:pPr>
      <w:r>
        <w:rPr>
          <w:sz w:val="28"/>
          <w:szCs w:val="28"/>
        </w:rPr>
        <w:t xml:space="preserve">Over the past fifteen years or so, policy makers, NGOs, journalists and others have been pushing </w:t>
      </w:r>
      <w:r w:rsidR="00877C61">
        <w:rPr>
          <w:sz w:val="28"/>
          <w:szCs w:val="28"/>
        </w:rPr>
        <w:t xml:space="preserve">certain European risk assessment </w:t>
      </w:r>
      <w:r>
        <w:rPr>
          <w:sz w:val="28"/>
          <w:szCs w:val="28"/>
        </w:rPr>
        <w:t>agencies such as the European Food Safety Authority to become more transparent in how they ma</w:t>
      </w:r>
      <w:r w:rsidR="00AE62D8">
        <w:rPr>
          <w:sz w:val="28"/>
          <w:szCs w:val="28"/>
        </w:rPr>
        <w:t>k</w:t>
      </w:r>
      <w:r>
        <w:rPr>
          <w:sz w:val="28"/>
          <w:szCs w:val="28"/>
        </w:rPr>
        <w:t>e their scientific decisions (</w:t>
      </w:r>
      <w:r w:rsidR="00863757">
        <w:rPr>
          <w:sz w:val="28"/>
          <w:szCs w:val="28"/>
        </w:rPr>
        <w:t>Corporate Europe Observatory 20</w:t>
      </w:r>
      <w:r w:rsidR="008F3002">
        <w:rPr>
          <w:sz w:val="28"/>
          <w:szCs w:val="28"/>
        </w:rPr>
        <w:t>11 and 20</w:t>
      </w:r>
      <w:r w:rsidR="00863757">
        <w:rPr>
          <w:sz w:val="28"/>
          <w:szCs w:val="28"/>
        </w:rPr>
        <w:t xml:space="preserve">12; </w:t>
      </w:r>
      <w:r w:rsidR="008F3002">
        <w:rPr>
          <w:sz w:val="28"/>
          <w:szCs w:val="28"/>
        </w:rPr>
        <w:t>Robinson et al 2013</w:t>
      </w:r>
      <w:r w:rsidR="007063FF">
        <w:rPr>
          <w:sz w:val="28"/>
          <w:szCs w:val="28"/>
        </w:rPr>
        <w:t>)</w:t>
      </w:r>
      <w:r>
        <w:rPr>
          <w:sz w:val="28"/>
          <w:szCs w:val="28"/>
        </w:rPr>
        <w:t>.  These ind</w:t>
      </w:r>
      <w:r w:rsidR="00546354">
        <w:rPr>
          <w:sz w:val="28"/>
          <w:szCs w:val="28"/>
        </w:rPr>
        <w:t>i</w:t>
      </w:r>
      <w:r>
        <w:rPr>
          <w:sz w:val="28"/>
          <w:szCs w:val="28"/>
        </w:rPr>
        <w:t xml:space="preserve">viduals are worried that </w:t>
      </w:r>
      <w:r w:rsidR="004557FC">
        <w:rPr>
          <w:sz w:val="28"/>
          <w:szCs w:val="28"/>
        </w:rPr>
        <w:t xml:space="preserve">EFSA and similar bodies </w:t>
      </w:r>
      <w:r>
        <w:rPr>
          <w:sz w:val="28"/>
          <w:szCs w:val="28"/>
        </w:rPr>
        <w:t>have been captured by industry or special interests and therefore the</w:t>
      </w:r>
      <w:r w:rsidR="00863757">
        <w:rPr>
          <w:sz w:val="28"/>
          <w:szCs w:val="28"/>
        </w:rPr>
        <w:t>i</w:t>
      </w:r>
      <w:r>
        <w:rPr>
          <w:sz w:val="28"/>
          <w:szCs w:val="28"/>
        </w:rPr>
        <w:t>r decisions need to be carefully examined and monitored</w:t>
      </w:r>
      <w:r w:rsidR="00BF203C">
        <w:rPr>
          <w:sz w:val="28"/>
          <w:szCs w:val="28"/>
        </w:rPr>
        <w:t xml:space="preserve"> (Corporate European Observatory 2012)</w:t>
      </w:r>
      <w:r>
        <w:rPr>
          <w:sz w:val="28"/>
          <w:szCs w:val="28"/>
        </w:rPr>
        <w:t xml:space="preserve">.  What is interesting to note, however, is that academics, </w:t>
      </w:r>
      <w:r w:rsidR="00BF203C">
        <w:rPr>
          <w:sz w:val="28"/>
          <w:szCs w:val="28"/>
        </w:rPr>
        <w:t xml:space="preserve">NGOs, </w:t>
      </w:r>
      <w:r>
        <w:rPr>
          <w:sz w:val="28"/>
          <w:szCs w:val="28"/>
        </w:rPr>
        <w:t>stakeholders and others do not</w:t>
      </w:r>
      <w:r w:rsidR="00AE62D8">
        <w:rPr>
          <w:sz w:val="28"/>
          <w:szCs w:val="28"/>
        </w:rPr>
        <w:t>,</w:t>
      </w:r>
      <w:r>
        <w:rPr>
          <w:sz w:val="28"/>
          <w:szCs w:val="28"/>
        </w:rPr>
        <w:t xml:space="preserve"> </w:t>
      </w:r>
      <w:r w:rsidR="00863757">
        <w:rPr>
          <w:sz w:val="28"/>
          <w:szCs w:val="28"/>
        </w:rPr>
        <w:t>to the same degree</w:t>
      </w:r>
      <w:r w:rsidR="00AE62D8">
        <w:rPr>
          <w:sz w:val="28"/>
          <w:szCs w:val="28"/>
        </w:rPr>
        <w:t>,</w:t>
      </w:r>
      <w:r w:rsidR="00863757">
        <w:rPr>
          <w:sz w:val="28"/>
          <w:szCs w:val="28"/>
        </w:rPr>
        <w:t xml:space="preserve"> </w:t>
      </w:r>
      <w:r>
        <w:rPr>
          <w:sz w:val="28"/>
          <w:szCs w:val="28"/>
        </w:rPr>
        <w:t xml:space="preserve">ask the risk managers </w:t>
      </w:r>
      <w:r w:rsidR="00863757">
        <w:rPr>
          <w:sz w:val="28"/>
          <w:szCs w:val="28"/>
        </w:rPr>
        <w:t xml:space="preserve">themselves </w:t>
      </w:r>
      <w:r>
        <w:rPr>
          <w:sz w:val="28"/>
          <w:szCs w:val="28"/>
        </w:rPr>
        <w:t>to make their decision making processes transparent.  This needs to be addressed</w:t>
      </w:r>
      <w:r w:rsidR="00863757">
        <w:rPr>
          <w:sz w:val="28"/>
          <w:szCs w:val="28"/>
        </w:rPr>
        <w:t>.</w:t>
      </w:r>
      <w:r>
        <w:rPr>
          <w:sz w:val="28"/>
          <w:szCs w:val="28"/>
        </w:rPr>
        <w:t xml:space="preserve"> </w:t>
      </w:r>
      <w:r w:rsidR="00863757">
        <w:rPr>
          <w:sz w:val="28"/>
          <w:szCs w:val="28"/>
        </w:rPr>
        <w:t xml:space="preserve"> I</w:t>
      </w:r>
      <w:r>
        <w:rPr>
          <w:sz w:val="28"/>
          <w:szCs w:val="28"/>
        </w:rPr>
        <w:t xml:space="preserve">n many cases risk managers make </w:t>
      </w:r>
      <w:r w:rsidR="00B43F69">
        <w:rPr>
          <w:sz w:val="28"/>
          <w:szCs w:val="28"/>
        </w:rPr>
        <w:t>non-evidence based</w:t>
      </w:r>
      <w:r>
        <w:rPr>
          <w:sz w:val="28"/>
          <w:szCs w:val="28"/>
        </w:rPr>
        <w:t xml:space="preserve"> decisions, thereby</w:t>
      </w:r>
      <w:r w:rsidR="00A82B2D">
        <w:rPr>
          <w:sz w:val="28"/>
          <w:szCs w:val="28"/>
        </w:rPr>
        <w:t>,</w:t>
      </w:r>
      <w:r>
        <w:rPr>
          <w:sz w:val="28"/>
          <w:szCs w:val="28"/>
        </w:rPr>
        <w:t xml:space="preserve"> at times</w:t>
      </w:r>
      <w:r w:rsidR="00A82B2D">
        <w:rPr>
          <w:sz w:val="28"/>
          <w:szCs w:val="28"/>
        </w:rPr>
        <w:t>,</w:t>
      </w:r>
      <w:r>
        <w:rPr>
          <w:sz w:val="28"/>
          <w:szCs w:val="28"/>
        </w:rPr>
        <w:t xml:space="preserve"> leading to unnecessary risk-risk tradeoffs, without justifying </w:t>
      </w:r>
      <w:r w:rsidR="00863757">
        <w:rPr>
          <w:sz w:val="28"/>
          <w:szCs w:val="28"/>
        </w:rPr>
        <w:t xml:space="preserve">the reasoning behind </w:t>
      </w:r>
      <w:r>
        <w:rPr>
          <w:sz w:val="28"/>
          <w:szCs w:val="28"/>
        </w:rPr>
        <w:t>their decision making</w:t>
      </w:r>
      <w:r w:rsidR="004557FC">
        <w:rPr>
          <w:sz w:val="28"/>
          <w:szCs w:val="28"/>
        </w:rPr>
        <w:t>,</w:t>
      </w:r>
      <w:r w:rsidR="00546354">
        <w:rPr>
          <w:sz w:val="28"/>
          <w:szCs w:val="28"/>
        </w:rPr>
        <w:t xml:space="preserve"> as discussed in a powerful Head of National Food Agencies report </w:t>
      </w:r>
      <w:r>
        <w:rPr>
          <w:sz w:val="28"/>
          <w:szCs w:val="28"/>
        </w:rPr>
        <w:t>(</w:t>
      </w:r>
      <w:r w:rsidR="00546354">
        <w:rPr>
          <w:sz w:val="28"/>
          <w:szCs w:val="28"/>
        </w:rPr>
        <w:t>HoA 2012</w:t>
      </w:r>
      <w:r>
        <w:rPr>
          <w:sz w:val="28"/>
          <w:szCs w:val="28"/>
        </w:rPr>
        <w:t xml:space="preserve">).  </w:t>
      </w:r>
      <w:r w:rsidR="00546354">
        <w:rPr>
          <w:sz w:val="28"/>
          <w:szCs w:val="28"/>
        </w:rPr>
        <w:t>In other words, w</w:t>
      </w:r>
      <w:r>
        <w:rPr>
          <w:sz w:val="28"/>
          <w:szCs w:val="28"/>
        </w:rPr>
        <w:t>hen risk managers make unscientific decisions</w:t>
      </w:r>
      <w:r w:rsidR="00546354">
        <w:rPr>
          <w:sz w:val="28"/>
          <w:szCs w:val="28"/>
        </w:rPr>
        <w:t xml:space="preserve">, such as ignoring the underlying independent risk assessment, </w:t>
      </w:r>
      <w:r>
        <w:rPr>
          <w:sz w:val="28"/>
          <w:szCs w:val="28"/>
        </w:rPr>
        <w:t xml:space="preserve">they should be asked to explain their reasoning behind that decision.  </w:t>
      </w:r>
      <w:r w:rsidR="00603F78">
        <w:rPr>
          <w:sz w:val="28"/>
          <w:szCs w:val="28"/>
        </w:rPr>
        <w:t>As HoA themselves note:</w:t>
      </w:r>
    </w:p>
    <w:p w:rsidR="00603F78" w:rsidRDefault="00603F78" w:rsidP="00603F78">
      <w:pPr>
        <w:ind w:left="360" w:firstLine="360"/>
        <w:rPr>
          <w:sz w:val="28"/>
          <w:szCs w:val="28"/>
        </w:rPr>
      </w:pPr>
      <w:r>
        <w:rPr>
          <w:sz w:val="28"/>
          <w:szCs w:val="28"/>
        </w:rPr>
        <w:t>“The risk management process should be transparent, consistent and fully documented. Decisions on risk management should be documented so as to facilitate a wider understanding of the risk management process by all interested parties.” (HoA 2012)</w:t>
      </w:r>
    </w:p>
    <w:p w:rsidR="00646414" w:rsidRPr="00A73AA7" w:rsidRDefault="00646414" w:rsidP="00603F78">
      <w:pPr>
        <w:ind w:left="360" w:firstLine="360"/>
        <w:rPr>
          <w:sz w:val="28"/>
          <w:szCs w:val="28"/>
        </w:rPr>
      </w:pPr>
    </w:p>
    <w:p w:rsidR="00DA0EB5" w:rsidRPr="00863757" w:rsidRDefault="00646414" w:rsidP="00AB5BF0">
      <w:pPr>
        <w:pStyle w:val="ListParagraph"/>
        <w:numPr>
          <w:ilvl w:val="1"/>
          <w:numId w:val="6"/>
        </w:numPr>
        <w:rPr>
          <w:b/>
          <w:sz w:val="28"/>
          <w:szCs w:val="28"/>
        </w:rPr>
      </w:pPr>
      <w:r w:rsidRPr="00863757">
        <w:rPr>
          <w:b/>
          <w:sz w:val="28"/>
          <w:szCs w:val="28"/>
        </w:rPr>
        <w:t>Regulators and policy makers need to become better communicators o</w:t>
      </w:r>
      <w:r w:rsidR="002563F9" w:rsidRPr="00863757">
        <w:rPr>
          <w:b/>
          <w:sz w:val="28"/>
          <w:szCs w:val="28"/>
        </w:rPr>
        <w:t>f</w:t>
      </w:r>
      <w:r w:rsidRPr="00863757">
        <w:rPr>
          <w:b/>
          <w:sz w:val="28"/>
          <w:szCs w:val="28"/>
        </w:rPr>
        <w:t xml:space="preserve"> uncertainty</w:t>
      </w:r>
    </w:p>
    <w:p w:rsidR="00646414" w:rsidRDefault="00646414" w:rsidP="00646414">
      <w:pPr>
        <w:rPr>
          <w:sz w:val="28"/>
          <w:szCs w:val="28"/>
        </w:rPr>
      </w:pPr>
      <w:r>
        <w:rPr>
          <w:sz w:val="28"/>
          <w:szCs w:val="28"/>
        </w:rPr>
        <w:t>One of the key tools to help eliminate risk-risk tradeoffs is for regulators and policy makers to become better communicators of uncertainty.  There is a belief in some policy circles that all kinds of scientific uncertainties are bad.  This is not necessarily the case.  As we saw with the Tysabri case, research indicated that patients are willing to tolerate high levels of scientific uncertainty when the benefit to risk ratio is large (Schwartz and Woloshin 20</w:t>
      </w:r>
      <w:r w:rsidR="00E9098A">
        <w:rPr>
          <w:sz w:val="28"/>
          <w:szCs w:val="28"/>
        </w:rPr>
        <w:t>1</w:t>
      </w:r>
      <w:r>
        <w:rPr>
          <w:sz w:val="28"/>
          <w:szCs w:val="28"/>
        </w:rPr>
        <w:t>1).  Furthermore</w:t>
      </w:r>
      <w:r w:rsidR="00863757">
        <w:rPr>
          <w:sz w:val="28"/>
          <w:szCs w:val="28"/>
        </w:rPr>
        <w:t>,</w:t>
      </w:r>
      <w:r w:rsidR="002563F9">
        <w:rPr>
          <w:sz w:val="28"/>
          <w:szCs w:val="28"/>
        </w:rPr>
        <w:t xml:space="preserve"> scientific uncertainty can and should be </w:t>
      </w:r>
      <w:r w:rsidR="0034455B">
        <w:rPr>
          <w:sz w:val="28"/>
          <w:szCs w:val="28"/>
        </w:rPr>
        <w:t xml:space="preserve">better </w:t>
      </w:r>
      <w:r w:rsidR="002563F9">
        <w:rPr>
          <w:sz w:val="28"/>
          <w:szCs w:val="28"/>
        </w:rPr>
        <w:t xml:space="preserve">structured for policy makers, </w:t>
      </w:r>
      <w:r w:rsidR="004557FC">
        <w:rPr>
          <w:sz w:val="28"/>
          <w:szCs w:val="28"/>
        </w:rPr>
        <w:t xml:space="preserve">the </w:t>
      </w:r>
      <w:r w:rsidR="002563F9">
        <w:rPr>
          <w:sz w:val="28"/>
          <w:szCs w:val="28"/>
        </w:rPr>
        <w:t>publics and concerned stakeholders</w:t>
      </w:r>
      <w:r w:rsidR="00B43F69">
        <w:rPr>
          <w:sz w:val="28"/>
          <w:szCs w:val="28"/>
        </w:rPr>
        <w:t xml:space="preserve"> (Fischhoff and Davis 2014)</w:t>
      </w:r>
      <w:r w:rsidR="00BF203C">
        <w:rPr>
          <w:sz w:val="28"/>
          <w:szCs w:val="28"/>
        </w:rPr>
        <w:t>.</w:t>
      </w:r>
      <w:r w:rsidR="002563F9">
        <w:rPr>
          <w:sz w:val="28"/>
          <w:szCs w:val="28"/>
        </w:rPr>
        <w:t xml:space="preserve">  If we are able to s</w:t>
      </w:r>
      <w:r>
        <w:rPr>
          <w:sz w:val="28"/>
          <w:szCs w:val="28"/>
        </w:rPr>
        <w:t xml:space="preserve">implify or categorize scientific uncertainty </w:t>
      </w:r>
      <w:r w:rsidR="002563F9">
        <w:rPr>
          <w:sz w:val="28"/>
          <w:szCs w:val="28"/>
        </w:rPr>
        <w:t xml:space="preserve">this will not only help policy makers to </w:t>
      </w:r>
      <w:r w:rsidR="00BF203C">
        <w:rPr>
          <w:sz w:val="28"/>
          <w:szCs w:val="28"/>
        </w:rPr>
        <w:t xml:space="preserve">get a firm grasp of them but also </w:t>
      </w:r>
      <w:r w:rsidR="002563F9">
        <w:rPr>
          <w:sz w:val="28"/>
          <w:szCs w:val="28"/>
        </w:rPr>
        <w:t xml:space="preserve">lead </w:t>
      </w:r>
      <w:r w:rsidR="004557FC">
        <w:rPr>
          <w:sz w:val="28"/>
          <w:szCs w:val="28"/>
        </w:rPr>
        <w:t xml:space="preserve">the </w:t>
      </w:r>
      <w:r>
        <w:rPr>
          <w:sz w:val="28"/>
          <w:szCs w:val="28"/>
        </w:rPr>
        <w:t>publics</w:t>
      </w:r>
      <w:r w:rsidR="002563F9">
        <w:rPr>
          <w:sz w:val="28"/>
          <w:szCs w:val="28"/>
        </w:rPr>
        <w:t xml:space="preserve"> and </w:t>
      </w:r>
      <w:r>
        <w:rPr>
          <w:sz w:val="28"/>
          <w:szCs w:val="28"/>
        </w:rPr>
        <w:t xml:space="preserve">stakeholders </w:t>
      </w:r>
      <w:r w:rsidR="00BF203C">
        <w:rPr>
          <w:sz w:val="28"/>
          <w:szCs w:val="28"/>
        </w:rPr>
        <w:t xml:space="preserve">to </w:t>
      </w:r>
      <w:r>
        <w:rPr>
          <w:sz w:val="28"/>
          <w:szCs w:val="28"/>
        </w:rPr>
        <w:t xml:space="preserve">better understand where the missing variables are (Fischhoff and </w:t>
      </w:r>
      <w:r w:rsidR="0063449C">
        <w:rPr>
          <w:sz w:val="28"/>
          <w:szCs w:val="28"/>
        </w:rPr>
        <w:t>Davis 2014; IOM 2014</w:t>
      </w:r>
      <w:r>
        <w:rPr>
          <w:sz w:val="28"/>
          <w:szCs w:val="28"/>
        </w:rPr>
        <w:t>)</w:t>
      </w:r>
      <w:r w:rsidR="002563F9">
        <w:rPr>
          <w:sz w:val="28"/>
          <w:szCs w:val="28"/>
        </w:rPr>
        <w:t>.</w:t>
      </w:r>
      <w:r w:rsidR="004571A1">
        <w:rPr>
          <w:sz w:val="28"/>
          <w:szCs w:val="28"/>
        </w:rPr>
        <w:t xml:space="preserve">  As Fischhoff and Davis argue:</w:t>
      </w:r>
    </w:p>
    <w:p w:rsidR="004571A1" w:rsidRDefault="004571A1" w:rsidP="004571A1">
      <w:pPr>
        <w:ind w:left="720"/>
        <w:rPr>
          <w:sz w:val="28"/>
          <w:szCs w:val="28"/>
        </w:rPr>
      </w:pPr>
      <w:r>
        <w:rPr>
          <w:sz w:val="28"/>
          <w:szCs w:val="28"/>
        </w:rPr>
        <w:t xml:space="preserve">“...communicating scientific uncertainty requires both simplifying and complicating normal scientific discourse.  On the one hand, the uncertainties that it addresses must be reduced to their decision-relevant elements.  On the other hand, the uncertainties that scientists fail </w:t>
      </w:r>
      <w:r w:rsidR="00E9098A">
        <w:rPr>
          <w:sz w:val="28"/>
          <w:szCs w:val="28"/>
        </w:rPr>
        <w:t xml:space="preserve">to mention </w:t>
      </w:r>
      <w:r>
        <w:rPr>
          <w:sz w:val="28"/>
          <w:szCs w:val="28"/>
        </w:rPr>
        <w:t>must be uncovered.  Which uncertainties to subtract and add depends on the decisions that the communications are meant to serve.” (Fischhoff and Davis 2014, p. 13664)</w:t>
      </w:r>
    </w:p>
    <w:p w:rsidR="004571A1" w:rsidRDefault="00D14A44" w:rsidP="00646414">
      <w:pPr>
        <w:rPr>
          <w:sz w:val="28"/>
          <w:szCs w:val="28"/>
        </w:rPr>
      </w:pPr>
      <w:r>
        <w:rPr>
          <w:sz w:val="28"/>
          <w:szCs w:val="28"/>
        </w:rPr>
        <w:t xml:space="preserve">Developing </w:t>
      </w:r>
      <w:r w:rsidR="008F3002">
        <w:rPr>
          <w:sz w:val="28"/>
          <w:szCs w:val="28"/>
        </w:rPr>
        <w:t xml:space="preserve">so called </w:t>
      </w:r>
      <w:r>
        <w:rPr>
          <w:sz w:val="28"/>
          <w:szCs w:val="28"/>
        </w:rPr>
        <w:t>mental model procedures</w:t>
      </w:r>
      <w:r w:rsidR="00944128">
        <w:rPr>
          <w:sz w:val="28"/>
          <w:szCs w:val="28"/>
        </w:rPr>
        <w:t>, an evidence based risk communication tool,</w:t>
      </w:r>
      <w:r w:rsidR="00FB44BC">
        <w:rPr>
          <w:sz w:val="28"/>
          <w:szCs w:val="28"/>
        </w:rPr>
        <w:t xml:space="preserve"> and </w:t>
      </w:r>
      <w:r w:rsidR="008F3002">
        <w:rPr>
          <w:sz w:val="28"/>
          <w:szCs w:val="28"/>
        </w:rPr>
        <w:t xml:space="preserve">using </w:t>
      </w:r>
      <w:r w:rsidR="00FB44BC">
        <w:rPr>
          <w:sz w:val="28"/>
          <w:szCs w:val="28"/>
        </w:rPr>
        <w:t xml:space="preserve">other decision science methodologies will assist </w:t>
      </w:r>
      <w:r>
        <w:rPr>
          <w:sz w:val="28"/>
          <w:szCs w:val="28"/>
        </w:rPr>
        <w:t xml:space="preserve">regulators </w:t>
      </w:r>
      <w:r w:rsidR="00FB44BC">
        <w:rPr>
          <w:sz w:val="28"/>
          <w:szCs w:val="28"/>
        </w:rPr>
        <w:t xml:space="preserve">to </w:t>
      </w:r>
      <w:r>
        <w:rPr>
          <w:sz w:val="28"/>
          <w:szCs w:val="28"/>
        </w:rPr>
        <w:t>categorize uncertainty (Casman et al 2000; Fischhoff et al 2006).</w:t>
      </w:r>
      <w:r w:rsidR="00BF65C9">
        <w:rPr>
          <w:sz w:val="28"/>
          <w:szCs w:val="28"/>
        </w:rPr>
        <w:t xml:space="preserve">  As Fischhoff and Davis note:</w:t>
      </w:r>
    </w:p>
    <w:p w:rsidR="00BF65C9" w:rsidRDefault="00BF65C9" w:rsidP="00BF65C9">
      <w:pPr>
        <w:ind w:left="720"/>
        <w:rPr>
          <w:sz w:val="28"/>
          <w:szCs w:val="28"/>
        </w:rPr>
      </w:pPr>
      <w:r>
        <w:rPr>
          <w:sz w:val="28"/>
          <w:szCs w:val="28"/>
        </w:rPr>
        <w:t>“Communicating uncertainty requires identifying the facts relevant to recipients’ decisions, characterizing the relevant uncertainties, assessing their magnitude, drafting possible messages, and evaluating their success.” (Fischhoff and Davis 2014, p.13670)</w:t>
      </w:r>
    </w:p>
    <w:p w:rsidR="00D14A44" w:rsidRDefault="00BF65C9" w:rsidP="00646414">
      <w:pPr>
        <w:rPr>
          <w:sz w:val="28"/>
          <w:szCs w:val="28"/>
        </w:rPr>
      </w:pPr>
      <w:r>
        <w:rPr>
          <w:sz w:val="28"/>
          <w:szCs w:val="28"/>
        </w:rPr>
        <w:t>Mental models, done properly, addresses these issues (Morgan et al 200</w:t>
      </w:r>
      <w:r w:rsidR="008F3002">
        <w:rPr>
          <w:sz w:val="28"/>
          <w:szCs w:val="28"/>
        </w:rPr>
        <w:t>1</w:t>
      </w:r>
      <w:r>
        <w:rPr>
          <w:sz w:val="28"/>
          <w:szCs w:val="28"/>
        </w:rPr>
        <w:t>).</w:t>
      </w:r>
    </w:p>
    <w:p w:rsidR="008F3002" w:rsidRDefault="008F3002" w:rsidP="00646414">
      <w:pPr>
        <w:rPr>
          <w:sz w:val="28"/>
          <w:szCs w:val="28"/>
        </w:rPr>
      </w:pPr>
    </w:p>
    <w:p w:rsidR="0063449C" w:rsidRPr="00863757" w:rsidRDefault="00944128" w:rsidP="00AB5BF0">
      <w:pPr>
        <w:pStyle w:val="ListParagraph"/>
        <w:numPr>
          <w:ilvl w:val="1"/>
          <w:numId w:val="6"/>
        </w:numPr>
        <w:rPr>
          <w:b/>
          <w:sz w:val="28"/>
          <w:szCs w:val="28"/>
        </w:rPr>
      </w:pPr>
      <w:r>
        <w:rPr>
          <w:b/>
          <w:sz w:val="28"/>
          <w:szCs w:val="28"/>
        </w:rPr>
        <w:t xml:space="preserve"> The importance of evide</w:t>
      </w:r>
      <w:r w:rsidR="004557FC">
        <w:rPr>
          <w:b/>
          <w:sz w:val="28"/>
          <w:szCs w:val="28"/>
        </w:rPr>
        <w:t>nce based policy making on the Member S</w:t>
      </w:r>
      <w:r>
        <w:rPr>
          <w:b/>
          <w:sz w:val="28"/>
          <w:szCs w:val="28"/>
        </w:rPr>
        <w:t>tate level</w:t>
      </w:r>
    </w:p>
    <w:p w:rsidR="00BA4D7F" w:rsidRDefault="004557FC" w:rsidP="00863757">
      <w:pPr>
        <w:rPr>
          <w:sz w:val="28"/>
          <w:szCs w:val="28"/>
        </w:rPr>
      </w:pPr>
      <w:r>
        <w:rPr>
          <w:sz w:val="28"/>
          <w:szCs w:val="28"/>
        </w:rPr>
        <w:t>Member S</w:t>
      </w:r>
      <w:r w:rsidR="00863757">
        <w:rPr>
          <w:sz w:val="28"/>
          <w:szCs w:val="28"/>
        </w:rPr>
        <w:t xml:space="preserve">tate regulators need to better understand </w:t>
      </w:r>
      <w:r w:rsidR="00944128">
        <w:rPr>
          <w:sz w:val="28"/>
          <w:szCs w:val="28"/>
        </w:rPr>
        <w:t>possible European consequences of pushing for ideological</w:t>
      </w:r>
      <w:r>
        <w:rPr>
          <w:sz w:val="28"/>
          <w:szCs w:val="28"/>
        </w:rPr>
        <w:t>ly</w:t>
      </w:r>
      <w:r w:rsidR="00944128">
        <w:rPr>
          <w:sz w:val="28"/>
          <w:szCs w:val="28"/>
        </w:rPr>
        <w:t xml:space="preserve"> based </w:t>
      </w:r>
      <w:r w:rsidR="00863757">
        <w:rPr>
          <w:sz w:val="28"/>
          <w:szCs w:val="28"/>
        </w:rPr>
        <w:t>regulatory decisions</w:t>
      </w:r>
      <w:r w:rsidR="00944128">
        <w:rPr>
          <w:sz w:val="28"/>
          <w:szCs w:val="28"/>
        </w:rPr>
        <w:t xml:space="preserve"> in their home markets</w:t>
      </w:r>
      <w:r w:rsidR="00863757">
        <w:rPr>
          <w:sz w:val="28"/>
          <w:szCs w:val="28"/>
        </w:rPr>
        <w:t xml:space="preserve">. </w:t>
      </w:r>
      <w:r w:rsidR="004C4959">
        <w:rPr>
          <w:sz w:val="28"/>
          <w:szCs w:val="28"/>
        </w:rPr>
        <w:t>T</w:t>
      </w:r>
      <w:r w:rsidR="00863757">
        <w:rPr>
          <w:sz w:val="28"/>
          <w:szCs w:val="28"/>
        </w:rPr>
        <w:t>aking un-</w:t>
      </w:r>
      <w:r w:rsidR="004C4959">
        <w:rPr>
          <w:sz w:val="28"/>
          <w:szCs w:val="28"/>
        </w:rPr>
        <w:t>scientific regulatory decisions</w:t>
      </w:r>
      <w:r w:rsidR="00863757">
        <w:rPr>
          <w:sz w:val="28"/>
          <w:szCs w:val="28"/>
        </w:rPr>
        <w:t>, be it arguing for the phase-out of all human made chemicals in Sweden or lobbying for the phase out of nuclear power in parts of Europe</w:t>
      </w:r>
      <w:r w:rsidR="00E9098A">
        <w:rPr>
          <w:sz w:val="28"/>
          <w:szCs w:val="28"/>
        </w:rPr>
        <w:t>,</w:t>
      </w:r>
      <w:r w:rsidR="00863757">
        <w:rPr>
          <w:sz w:val="28"/>
          <w:szCs w:val="28"/>
        </w:rPr>
        <w:t xml:space="preserve"> which is of concern to Austria, will enable the regulator and or politician </w:t>
      </w:r>
      <w:r w:rsidR="004C4959">
        <w:rPr>
          <w:sz w:val="28"/>
          <w:szCs w:val="28"/>
        </w:rPr>
        <w:t xml:space="preserve">in that country </w:t>
      </w:r>
      <w:r w:rsidR="00863757">
        <w:rPr>
          <w:sz w:val="28"/>
          <w:szCs w:val="28"/>
        </w:rPr>
        <w:t xml:space="preserve">to win </w:t>
      </w:r>
      <w:r w:rsidR="004C4959">
        <w:rPr>
          <w:sz w:val="28"/>
          <w:szCs w:val="28"/>
        </w:rPr>
        <w:t>“</w:t>
      </w:r>
      <w:r w:rsidR="00863757">
        <w:rPr>
          <w:sz w:val="28"/>
          <w:szCs w:val="28"/>
        </w:rPr>
        <w:t>green brownie</w:t>
      </w:r>
      <w:r w:rsidR="004C4959">
        <w:rPr>
          <w:sz w:val="28"/>
          <w:szCs w:val="28"/>
        </w:rPr>
        <w:t>”</w:t>
      </w:r>
      <w:r w:rsidR="00863757">
        <w:rPr>
          <w:sz w:val="28"/>
          <w:szCs w:val="28"/>
        </w:rPr>
        <w:t xml:space="preserve"> points in the home market but </w:t>
      </w:r>
      <w:r w:rsidR="004C4959">
        <w:rPr>
          <w:sz w:val="28"/>
          <w:szCs w:val="28"/>
        </w:rPr>
        <w:t>it could</w:t>
      </w:r>
      <w:r w:rsidR="00863757">
        <w:rPr>
          <w:sz w:val="28"/>
          <w:szCs w:val="28"/>
        </w:rPr>
        <w:t xml:space="preserve"> have significant economic consequences in other parts of Europe (Lofstedt 2011).  What needs to happen is two-fold: Firstly, </w:t>
      </w:r>
      <w:r w:rsidR="008F3002">
        <w:rPr>
          <w:sz w:val="28"/>
          <w:szCs w:val="28"/>
        </w:rPr>
        <w:t xml:space="preserve">national </w:t>
      </w:r>
      <w:r w:rsidR="00863757">
        <w:rPr>
          <w:sz w:val="28"/>
          <w:szCs w:val="28"/>
        </w:rPr>
        <w:t>poli</w:t>
      </w:r>
      <w:r w:rsidR="001A7E02">
        <w:rPr>
          <w:sz w:val="28"/>
          <w:szCs w:val="28"/>
        </w:rPr>
        <w:t>cy makers</w:t>
      </w:r>
      <w:r w:rsidR="00863757">
        <w:rPr>
          <w:sz w:val="28"/>
          <w:szCs w:val="28"/>
        </w:rPr>
        <w:t xml:space="preserve"> should help push regulator</w:t>
      </w:r>
      <w:r w:rsidR="001A7E02">
        <w:rPr>
          <w:sz w:val="28"/>
          <w:szCs w:val="28"/>
        </w:rPr>
        <w:t>y agencies</w:t>
      </w:r>
      <w:r w:rsidR="00863757">
        <w:rPr>
          <w:sz w:val="28"/>
          <w:szCs w:val="28"/>
        </w:rPr>
        <w:t xml:space="preserve"> within the member states to work together to identify what risks should be prioritized </w:t>
      </w:r>
      <w:r w:rsidR="0034455B">
        <w:rPr>
          <w:sz w:val="28"/>
          <w:szCs w:val="28"/>
        </w:rPr>
        <w:t xml:space="preserve">based on scientific evidence </w:t>
      </w:r>
      <w:r w:rsidR="00863757">
        <w:rPr>
          <w:sz w:val="28"/>
          <w:szCs w:val="28"/>
        </w:rPr>
        <w:t xml:space="preserve">and why.  It makes little sense, for example, for the Swedish Food Agency and the Swedish Chemical Agency to use different definitions of the precautionary principle as well as different risk analysis methodologies.  This ensures that regulators are looking at the wrong regulatory issues, </w:t>
      </w:r>
      <w:r w:rsidR="001A7E02">
        <w:rPr>
          <w:sz w:val="28"/>
          <w:szCs w:val="28"/>
        </w:rPr>
        <w:t xml:space="preserve">such as the </w:t>
      </w:r>
      <w:r w:rsidR="004C4959">
        <w:rPr>
          <w:sz w:val="28"/>
          <w:szCs w:val="28"/>
        </w:rPr>
        <w:t xml:space="preserve">then </w:t>
      </w:r>
      <w:r w:rsidR="001A7E02">
        <w:rPr>
          <w:sz w:val="28"/>
          <w:szCs w:val="28"/>
        </w:rPr>
        <w:t xml:space="preserve">Swedish Environment Minister’s decision to </w:t>
      </w:r>
      <w:r w:rsidR="00863757">
        <w:rPr>
          <w:sz w:val="28"/>
          <w:szCs w:val="28"/>
        </w:rPr>
        <w:t>su</w:t>
      </w:r>
      <w:r w:rsidR="001A7E02">
        <w:rPr>
          <w:sz w:val="28"/>
          <w:szCs w:val="28"/>
        </w:rPr>
        <w:t>e</w:t>
      </w:r>
      <w:r w:rsidR="00863757">
        <w:rPr>
          <w:sz w:val="28"/>
          <w:szCs w:val="28"/>
        </w:rPr>
        <w:t xml:space="preserve"> the European Commission for </w:t>
      </w:r>
      <w:r>
        <w:rPr>
          <w:sz w:val="28"/>
          <w:szCs w:val="28"/>
        </w:rPr>
        <w:t xml:space="preserve">the </w:t>
      </w:r>
      <w:r w:rsidR="004C4959">
        <w:rPr>
          <w:sz w:val="28"/>
          <w:szCs w:val="28"/>
        </w:rPr>
        <w:t xml:space="preserve">delay </w:t>
      </w:r>
      <w:r>
        <w:rPr>
          <w:sz w:val="28"/>
          <w:szCs w:val="28"/>
        </w:rPr>
        <w:t xml:space="preserve">in bringing forward </w:t>
      </w:r>
      <w:r w:rsidR="004C4959">
        <w:rPr>
          <w:sz w:val="28"/>
          <w:szCs w:val="28"/>
        </w:rPr>
        <w:t xml:space="preserve">the criteria </w:t>
      </w:r>
      <w:r>
        <w:rPr>
          <w:sz w:val="28"/>
          <w:szCs w:val="28"/>
        </w:rPr>
        <w:t xml:space="preserve">to regulate </w:t>
      </w:r>
      <w:r w:rsidR="004C4959">
        <w:rPr>
          <w:sz w:val="28"/>
          <w:szCs w:val="28"/>
        </w:rPr>
        <w:t>endocrine-disrupt</w:t>
      </w:r>
      <w:r>
        <w:rPr>
          <w:sz w:val="28"/>
          <w:szCs w:val="28"/>
        </w:rPr>
        <w:t>ors in specific EU legislation</w:t>
      </w:r>
      <w:r w:rsidR="00863757">
        <w:rPr>
          <w:sz w:val="28"/>
          <w:szCs w:val="28"/>
        </w:rPr>
        <w:t xml:space="preserve">, rather than attempting to reduce radon levels in schools or warning children and women of child bearing age of the dangers associated with consuming fatty fish from the Baltic Sea (Lofstedt 2014).  Secondly, the European Commission should be encouraged to bring together the </w:t>
      </w:r>
      <w:r>
        <w:rPr>
          <w:sz w:val="28"/>
          <w:szCs w:val="28"/>
        </w:rPr>
        <w:t>Member S</w:t>
      </w:r>
      <w:r w:rsidR="00863757">
        <w:rPr>
          <w:sz w:val="28"/>
          <w:szCs w:val="28"/>
        </w:rPr>
        <w:t>tate regulators on an annual basis for a</w:t>
      </w:r>
      <w:r w:rsidR="001A7E02">
        <w:rPr>
          <w:sz w:val="28"/>
          <w:szCs w:val="28"/>
        </w:rPr>
        <w:t>n</w:t>
      </w:r>
      <w:r w:rsidR="00863757">
        <w:rPr>
          <w:sz w:val="28"/>
          <w:szCs w:val="28"/>
        </w:rPr>
        <w:t xml:space="preserve"> evidence based policy making summit, where the p</w:t>
      </w:r>
      <w:r>
        <w:rPr>
          <w:sz w:val="28"/>
          <w:szCs w:val="28"/>
        </w:rPr>
        <w:t>urpose would be to help Member S</w:t>
      </w:r>
      <w:r w:rsidR="00863757">
        <w:rPr>
          <w:sz w:val="28"/>
          <w:szCs w:val="28"/>
        </w:rPr>
        <w:t xml:space="preserve">tate regulators understand the </w:t>
      </w:r>
      <w:r w:rsidR="001A7E02">
        <w:rPr>
          <w:sz w:val="28"/>
          <w:szCs w:val="28"/>
        </w:rPr>
        <w:t xml:space="preserve">broader economic </w:t>
      </w:r>
      <w:r w:rsidR="00863757">
        <w:rPr>
          <w:sz w:val="28"/>
          <w:szCs w:val="28"/>
        </w:rPr>
        <w:t xml:space="preserve">consequences of their domestic actions.  This summit should be arranged by the Secretariat General and held in Brussels.  </w:t>
      </w:r>
    </w:p>
    <w:p w:rsidR="00863757" w:rsidRPr="00863757" w:rsidRDefault="00863757" w:rsidP="00863757">
      <w:pPr>
        <w:rPr>
          <w:sz w:val="28"/>
          <w:szCs w:val="28"/>
        </w:rPr>
      </w:pPr>
    </w:p>
    <w:p w:rsidR="00D14A44" w:rsidRPr="001A7E02" w:rsidRDefault="00D14A44" w:rsidP="00AB5BF0">
      <w:pPr>
        <w:pStyle w:val="ListParagraph"/>
        <w:numPr>
          <w:ilvl w:val="1"/>
          <w:numId w:val="6"/>
        </w:numPr>
        <w:rPr>
          <w:b/>
          <w:sz w:val="28"/>
          <w:szCs w:val="28"/>
        </w:rPr>
      </w:pPr>
      <w:r w:rsidRPr="001A7E02">
        <w:rPr>
          <w:b/>
          <w:sz w:val="28"/>
          <w:szCs w:val="28"/>
        </w:rPr>
        <w:t>Avoiding path dependencies and sunk cost biases</w:t>
      </w:r>
    </w:p>
    <w:p w:rsidR="00D14A44" w:rsidRPr="00D14A44" w:rsidRDefault="00D14A44" w:rsidP="00D14A44">
      <w:pPr>
        <w:rPr>
          <w:sz w:val="28"/>
          <w:szCs w:val="28"/>
        </w:rPr>
      </w:pPr>
      <w:r>
        <w:rPr>
          <w:sz w:val="28"/>
          <w:szCs w:val="28"/>
        </w:rPr>
        <w:t xml:space="preserve">One reason why risk-risk tradeoffs occur is because </w:t>
      </w:r>
      <w:r w:rsidR="001A7E02">
        <w:rPr>
          <w:sz w:val="28"/>
          <w:szCs w:val="28"/>
        </w:rPr>
        <w:t>in many cases</w:t>
      </w:r>
      <w:r w:rsidR="00A72ECE">
        <w:rPr>
          <w:sz w:val="28"/>
          <w:szCs w:val="28"/>
        </w:rPr>
        <w:t xml:space="preserve"> political parties, pressure groups or </w:t>
      </w:r>
      <w:r w:rsidR="001A7E02">
        <w:rPr>
          <w:sz w:val="28"/>
          <w:szCs w:val="28"/>
        </w:rPr>
        <w:t xml:space="preserve">regulatory agencies </w:t>
      </w:r>
      <w:r>
        <w:rPr>
          <w:sz w:val="28"/>
          <w:szCs w:val="28"/>
        </w:rPr>
        <w:t xml:space="preserve">are set in their </w:t>
      </w:r>
      <w:r w:rsidR="001A7E02">
        <w:rPr>
          <w:sz w:val="28"/>
          <w:szCs w:val="28"/>
        </w:rPr>
        <w:t xml:space="preserve">own </w:t>
      </w:r>
      <w:r>
        <w:rPr>
          <w:sz w:val="28"/>
          <w:szCs w:val="28"/>
        </w:rPr>
        <w:t xml:space="preserve">ways.  </w:t>
      </w:r>
      <w:r w:rsidR="00A72ECE">
        <w:rPr>
          <w:sz w:val="28"/>
          <w:szCs w:val="28"/>
        </w:rPr>
        <w:t xml:space="preserve">They have taken stances on certain (usually emotive issues) and have gained </w:t>
      </w:r>
      <w:r w:rsidR="00E9098A">
        <w:rPr>
          <w:sz w:val="28"/>
          <w:szCs w:val="28"/>
        </w:rPr>
        <w:t xml:space="preserve">a </w:t>
      </w:r>
      <w:r w:rsidR="00A72ECE">
        <w:rPr>
          <w:sz w:val="28"/>
          <w:szCs w:val="28"/>
        </w:rPr>
        <w:t xml:space="preserve">reputation for doing so.  When this occurs it is difficult to change to a new policy trajectory.  </w:t>
      </w:r>
      <w:r>
        <w:rPr>
          <w:sz w:val="28"/>
          <w:szCs w:val="28"/>
        </w:rPr>
        <w:t xml:space="preserve">If a political party has in the past </w:t>
      </w:r>
      <w:r w:rsidR="00B97578">
        <w:rPr>
          <w:sz w:val="28"/>
          <w:szCs w:val="28"/>
        </w:rPr>
        <w:t>won</w:t>
      </w:r>
      <w:r>
        <w:rPr>
          <w:sz w:val="28"/>
          <w:szCs w:val="28"/>
        </w:rPr>
        <w:t xml:space="preserve"> elections </w:t>
      </w:r>
      <w:r w:rsidR="00863757">
        <w:rPr>
          <w:sz w:val="28"/>
          <w:szCs w:val="28"/>
        </w:rPr>
        <w:t>for being anti-nuclear power</w:t>
      </w:r>
      <w:r w:rsidR="00A72ECE">
        <w:rPr>
          <w:sz w:val="28"/>
          <w:szCs w:val="28"/>
        </w:rPr>
        <w:t>, for example,</w:t>
      </w:r>
      <w:r w:rsidR="00863757">
        <w:rPr>
          <w:sz w:val="28"/>
          <w:szCs w:val="28"/>
        </w:rPr>
        <w:t xml:space="preserve"> </w:t>
      </w:r>
      <w:r>
        <w:rPr>
          <w:sz w:val="28"/>
          <w:szCs w:val="28"/>
        </w:rPr>
        <w:t>it is difficult to expect th</w:t>
      </w:r>
      <w:r w:rsidR="00A72ECE">
        <w:rPr>
          <w:sz w:val="28"/>
          <w:szCs w:val="28"/>
        </w:rPr>
        <w:t>at</w:t>
      </w:r>
      <w:r>
        <w:rPr>
          <w:sz w:val="28"/>
          <w:szCs w:val="28"/>
        </w:rPr>
        <w:t xml:space="preserve"> political party to become pro nuclear power </w:t>
      </w:r>
      <w:r w:rsidR="00B97578">
        <w:rPr>
          <w:sz w:val="28"/>
          <w:szCs w:val="28"/>
        </w:rPr>
        <w:t>even though</w:t>
      </w:r>
      <w:r>
        <w:rPr>
          <w:sz w:val="28"/>
          <w:szCs w:val="28"/>
        </w:rPr>
        <w:t xml:space="preserve"> the science may be </w:t>
      </w:r>
      <w:r w:rsidR="00A82B2D">
        <w:rPr>
          <w:sz w:val="28"/>
          <w:szCs w:val="28"/>
        </w:rPr>
        <w:t>supporting such a switch</w:t>
      </w:r>
      <w:r w:rsidR="00B97578">
        <w:rPr>
          <w:sz w:val="28"/>
          <w:szCs w:val="28"/>
        </w:rPr>
        <w:t>.  Similarly, anti-</w:t>
      </w:r>
      <w:r>
        <w:rPr>
          <w:sz w:val="28"/>
          <w:szCs w:val="28"/>
        </w:rPr>
        <w:t>nuclear campaign groups will unlikely become pro nuclear as they have place</w:t>
      </w:r>
      <w:r w:rsidR="008F3002">
        <w:rPr>
          <w:sz w:val="28"/>
          <w:szCs w:val="28"/>
        </w:rPr>
        <w:t>d</w:t>
      </w:r>
      <w:r>
        <w:rPr>
          <w:sz w:val="28"/>
          <w:szCs w:val="28"/>
        </w:rPr>
        <w:t xml:space="preserve"> so much time an</w:t>
      </w:r>
      <w:r w:rsidR="001C4573">
        <w:rPr>
          <w:sz w:val="28"/>
          <w:szCs w:val="28"/>
        </w:rPr>
        <w:t>d effort (sunk cost) being anti-</w:t>
      </w:r>
      <w:r>
        <w:rPr>
          <w:sz w:val="28"/>
          <w:szCs w:val="28"/>
        </w:rPr>
        <w:t xml:space="preserve">nuclear. In other words, history matters </w:t>
      </w:r>
      <w:r w:rsidR="00DD7332">
        <w:rPr>
          <w:sz w:val="28"/>
          <w:szCs w:val="28"/>
        </w:rPr>
        <w:t xml:space="preserve">as developed policy trajectories are difficult to reverse </w:t>
      </w:r>
      <w:r>
        <w:rPr>
          <w:sz w:val="28"/>
          <w:szCs w:val="28"/>
        </w:rPr>
        <w:t>(</w:t>
      </w:r>
      <w:r w:rsidR="00DD7332">
        <w:rPr>
          <w:sz w:val="28"/>
          <w:szCs w:val="28"/>
        </w:rPr>
        <w:t xml:space="preserve">Hacker 2002; </w:t>
      </w:r>
      <w:r>
        <w:rPr>
          <w:sz w:val="28"/>
          <w:szCs w:val="28"/>
        </w:rPr>
        <w:t xml:space="preserve">Kahneman 2011; </w:t>
      </w:r>
      <w:r w:rsidR="001C4573">
        <w:rPr>
          <w:sz w:val="28"/>
          <w:szCs w:val="28"/>
        </w:rPr>
        <w:t xml:space="preserve">Pierson 2004; </w:t>
      </w:r>
      <w:r>
        <w:rPr>
          <w:sz w:val="28"/>
          <w:szCs w:val="28"/>
        </w:rPr>
        <w:t>Tversky and Kahneman 1974)</w:t>
      </w:r>
      <w:r w:rsidR="001C4573">
        <w:rPr>
          <w:sz w:val="28"/>
          <w:szCs w:val="28"/>
        </w:rPr>
        <w:t>.  A case in point is the Barseback example. The politicians achieved a very expensive, risk inferior outcome based on the Social Democrats working with the Center Party.  The Social Democrats knew that in order to get an agreement with the Center Party it had to show an</w:t>
      </w:r>
      <w:r w:rsidR="00DD7332">
        <w:rPr>
          <w:sz w:val="28"/>
          <w:szCs w:val="28"/>
        </w:rPr>
        <w:t xml:space="preserve"> </w:t>
      </w:r>
      <w:r w:rsidR="001C4573">
        <w:rPr>
          <w:sz w:val="28"/>
          <w:szCs w:val="28"/>
        </w:rPr>
        <w:t>abi</w:t>
      </w:r>
      <w:r w:rsidR="00863757">
        <w:rPr>
          <w:sz w:val="28"/>
          <w:szCs w:val="28"/>
        </w:rPr>
        <w:t xml:space="preserve">lity to phase-out nuclear </w:t>
      </w:r>
      <w:r w:rsidR="001C4573">
        <w:rPr>
          <w:sz w:val="28"/>
          <w:szCs w:val="28"/>
        </w:rPr>
        <w:t xml:space="preserve">reactors even though it made </w:t>
      </w:r>
      <w:r w:rsidR="00863757">
        <w:rPr>
          <w:sz w:val="28"/>
          <w:szCs w:val="28"/>
        </w:rPr>
        <w:t xml:space="preserve">little </w:t>
      </w:r>
      <w:r w:rsidR="001C4573">
        <w:rPr>
          <w:sz w:val="28"/>
          <w:szCs w:val="28"/>
        </w:rPr>
        <w:t xml:space="preserve">economic </w:t>
      </w:r>
      <w:r w:rsidR="00863757">
        <w:rPr>
          <w:sz w:val="28"/>
          <w:szCs w:val="28"/>
        </w:rPr>
        <w:t>or</w:t>
      </w:r>
      <w:r w:rsidR="001C4573">
        <w:rPr>
          <w:sz w:val="28"/>
          <w:szCs w:val="28"/>
        </w:rPr>
        <w:t xml:space="preserve"> environmental sense. Going forward regulators and policy makers need to first recognize path dependency and sunk cost bias when negotiating with other parties and secondly, ensure that such un-scientific reasons are quickly taken out of the negotiations.  When that is not possible </w:t>
      </w:r>
      <w:r w:rsidR="00A82B2D">
        <w:rPr>
          <w:sz w:val="28"/>
          <w:szCs w:val="28"/>
        </w:rPr>
        <w:t xml:space="preserve">the negotiating party needs to </w:t>
      </w:r>
      <w:r w:rsidR="001C4573">
        <w:rPr>
          <w:sz w:val="28"/>
          <w:szCs w:val="28"/>
        </w:rPr>
        <w:t>find other bodies to work with—e</w:t>
      </w:r>
      <w:r w:rsidR="00A82B2D">
        <w:rPr>
          <w:sz w:val="28"/>
          <w:szCs w:val="28"/>
        </w:rPr>
        <w:t>.</w:t>
      </w:r>
      <w:r w:rsidR="001C4573">
        <w:rPr>
          <w:sz w:val="28"/>
          <w:szCs w:val="28"/>
        </w:rPr>
        <w:t>g</w:t>
      </w:r>
      <w:r w:rsidR="00A82B2D">
        <w:rPr>
          <w:sz w:val="28"/>
          <w:szCs w:val="28"/>
        </w:rPr>
        <w:t>.</w:t>
      </w:r>
      <w:r w:rsidR="001C4573">
        <w:rPr>
          <w:sz w:val="28"/>
          <w:szCs w:val="28"/>
        </w:rPr>
        <w:t xml:space="preserve"> in the case of Barseback the Social Democrats should never have con</w:t>
      </w:r>
      <w:r w:rsidR="00DD7332">
        <w:rPr>
          <w:sz w:val="28"/>
          <w:szCs w:val="28"/>
        </w:rPr>
        <w:t xml:space="preserve">templated </w:t>
      </w:r>
      <w:r w:rsidR="001C4573">
        <w:rPr>
          <w:sz w:val="28"/>
          <w:szCs w:val="28"/>
        </w:rPr>
        <w:t>open</w:t>
      </w:r>
      <w:r w:rsidR="00DD7332">
        <w:rPr>
          <w:sz w:val="28"/>
          <w:szCs w:val="28"/>
        </w:rPr>
        <w:t>ing</w:t>
      </w:r>
      <w:r w:rsidR="001C4573">
        <w:rPr>
          <w:sz w:val="28"/>
          <w:szCs w:val="28"/>
        </w:rPr>
        <w:t xml:space="preserve"> negotiations with the predictable anti-nu</w:t>
      </w:r>
      <w:r w:rsidR="00DD7332">
        <w:rPr>
          <w:sz w:val="28"/>
          <w:szCs w:val="28"/>
        </w:rPr>
        <w:t>clear Center Party</w:t>
      </w:r>
      <w:r w:rsidR="001C4573">
        <w:rPr>
          <w:sz w:val="28"/>
          <w:szCs w:val="28"/>
        </w:rPr>
        <w:t>.</w:t>
      </w:r>
    </w:p>
    <w:p w:rsidR="00D14A44" w:rsidRPr="00D14A44" w:rsidRDefault="00D14A44" w:rsidP="00D14A44">
      <w:pPr>
        <w:ind w:left="720"/>
        <w:rPr>
          <w:sz w:val="28"/>
          <w:szCs w:val="28"/>
        </w:rPr>
      </w:pPr>
    </w:p>
    <w:p w:rsidR="002F241B" w:rsidRPr="00863757" w:rsidRDefault="002F241B" w:rsidP="00AB5BF0">
      <w:pPr>
        <w:pStyle w:val="ListParagraph"/>
        <w:numPr>
          <w:ilvl w:val="0"/>
          <w:numId w:val="6"/>
        </w:numPr>
        <w:rPr>
          <w:b/>
          <w:sz w:val="28"/>
          <w:szCs w:val="28"/>
        </w:rPr>
      </w:pPr>
      <w:r w:rsidRPr="00863757">
        <w:rPr>
          <w:b/>
          <w:sz w:val="28"/>
          <w:szCs w:val="28"/>
        </w:rPr>
        <w:t>Acknowledgements</w:t>
      </w:r>
      <w:r w:rsidR="009772DB" w:rsidRPr="00863757">
        <w:rPr>
          <w:b/>
          <w:sz w:val="28"/>
          <w:szCs w:val="28"/>
        </w:rPr>
        <w:t xml:space="preserve"> </w:t>
      </w:r>
    </w:p>
    <w:p w:rsidR="00606758" w:rsidRDefault="001A435A" w:rsidP="00606758">
      <w:pPr>
        <w:rPr>
          <w:sz w:val="28"/>
          <w:szCs w:val="28"/>
        </w:rPr>
      </w:pPr>
      <w:r>
        <w:rPr>
          <w:sz w:val="28"/>
          <w:szCs w:val="28"/>
        </w:rPr>
        <w:t>We are</w:t>
      </w:r>
      <w:r w:rsidR="00603F78">
        <w:rPr>
          <w:sz w:val="28"/>
          <w:szCs w:val="28"/>
        </w:rPr>
        <w:t xml:space="preserve"> indebted to the following individuals who have either provided </w:t>
      </w:r>
      <w:r w:rsidR="008F3002">
        <w:rPr>
          <w:sz w:val="28"/>
          <w:szCs w:val="28"/>
        </w:rPr>
        <w:t>us</w:t>
      </w:r>
      <w:r w:rsidR="00603F78">
        <w:rPr>
          <w:sz w:val="28"/>
          <w:szCs w:val="28"/>
        </w:rPr>
        <w:t xml:space="preserve"> with information or commented on earlier versions of this article: </w:t>
      </w:r>
      <w:r w:rsidR="0016105A">
        <w:rPr>
          <w:sz w:val="28"/>
          <w:szCs w:val="28"/>
        </w:rPr>
        <w:t>Asa Boholm, Baruch Fischhoff, John Graham</w:t>
      </w:r>
      <w:r w:rsidR="00DD7332">
        <w:rPr>
          <w:sz w:val="28"/>
          <w:szCs w:val="28"/>
        </w:rPr>
        <w:t>, Jess O’Flynn,</w:t>
      </w:r>
      <w:r w:rsidR="0016105A">
        <w:rPr>
          <w:sz w:val="28"/>
          <w:szCs w:val="28"/>
        </w:rPr>
        <w:t xml:space="preserve"> </w:t>
      </w:r>
      <w:r w:rsidR="00AB5BF0">
        <w:rPr>
          <w:sz w:val="28"/>
          <w:szCs w:val="28"/>
        </w:rPr>
        <w:t xml:space="preserve">Jamie Wardman </w:t>
      </w:r>
      <w:r w:rsidR="0016105A">
        <w:rPr>
          <w:sz w:val="28"/>
          <w:szCs w:val="28"/>
        </w:rPr>
        <w:t xml:space="preserve">and Jonathan Wiener.  </w:t>
      </w:r>
      <w:r w:rsidR="00603F78">
        <w:rPr>
          <w:sz w:val="28"/>
          <w:szCs w:val="28"/>
        </w:rPr>
        <w:t>The article is based on research that has in part been funded by the European Crop Protection Associati</w:t>
      </w:r>
      <w:r w:rsidR="004557FC">
        <w:rPr>
          <w:sz w:val="28"/>
          <w:szCs w:val="28"/>
        </w:rPr>
        <w:t>on, Food Drink Europe, Plastics-</w:t>
      </w:r>
      <w:r w:rsidR="00603F78">
        <w:rPr>
          <w:sz w:val="28"/>
          <w:szCs w:val="28"/>
        </w:rPr>
        <w:t xml:space="preserve">Europe, </w:t>
      </w:r>
      <w:r w:rsidR="00863757">
        <w:rPr>
          <w:sz w:val="28"/>
          <w:szCs w:val="28"/>
        </w:rPr>
        <w:t xml:space="preserve">the Royal Netherlands Academy of Arts and Sciences, </w:t>
      </w:r>
      <w:r w:rsidR="00603F78">
        <w:rPr>
          <w:sz w:val="28"/>
          <w:szCs w:val="28"/>
        </w:rPr>
        <w:t xml:space="preserve">the Swedish Research Foundation FORMAS, </w:t>
      </w:r>
      <w:r w:rsidR="0016105A">
        <w:rPr>
          <w:sz w:val="28"/>
          <w:szCs w:val="28"/>
        </w:rPr>
        <w:t xml:space="preserve">and </w:t>
      </w:r>
      <w:r w:rsidR="00603F78">
        <w:rPr>
          <w:sz w:val="28"/>
          <w:szCs w:val="28"/>
        </w:rPr>
        <w:t xml:space="preserve">the UK Department of Work and Pensions.   </w:t>
      </w:r>
    </w:p>
    <w:p w:rsidR="00606758" w:rsidRDefault="00606758" w:rsidP="00606758">
      <w:pPr>
        <w:rPr>
          <w:sz w:val="28"/>
          <w:szCs w:val="28"/>
        </w:rPr>
      </w:pPr>
    </w:p>
    <w:p w:rsidR="00606758" w:rsidRPr="00606758" w:rsidRDefault="00606758" w:rsidP="00606758">
      <w:pPr>
        <w:rPr>
          <w:sz w:val="28"/>
          <w:szCs w:val="28"/>
        </w:rPr>
      </w:pPr>
    </w:p>
    <w:p w:rsidR="00606758" w:rsidRDefault="00606758" w:rsidP="00AB5BF0">
      <w:pPr>
        <w:pStyle w:val="ListParagraph"/>
        <w:numPr>
          <w:ilvl w:val="0"/>
          <w:numId w:val="6"/>
        </w:numPr>
        <w:rPr>
          <w:b/>
          <w:sz w:val="28"/>
          <w:szCs w:val="28"/>
        </w:rPr>
      </w:pPr>
      <w:r w:rsidRPr="00863757">
        <w:rPr>
          <w:b/>
          <w:sz w:val="28"/>
          <w:szCs w:val="28"/>
        </w:rPr>
        <w:t>References</w:t>
      </w:r>
      <w:r w:rsidR="004B52AA">
        <w:rPr>
          <w:b/>
          <w:sz w:val="28"/>
          <w:szCs w:val="28"/>
        </w:rPr>
        <w:t xml:space="preserve"> </w:t>
      </w:r>
    </w:p>
    <w:p w:rsidR="008F3002" w:rsidRPr="00863757" w:rsidRDefault="008F3002" w:rsidP="008F3002">
      <w:pPr>
        <w:pStyle w:val="ListParagraph"/>
        <w:ind w:left="375"/>
        <w:rPr>
          <w:b/>
          <w:sz w:val="28"/>
          <w:szCs w:val="28"/>
        </w:rPr>
      </w:pPr>
    </w:p>
    <w:p w:rsidR="009F5A45" w:rsidRDefault="009F5A45" w:rsidP="009F5A45">
      <w:pPr>
        <w:ind w:left="360"/>
        <w:rPr>
          <w:sz w:val="28"/>
          <w:szCs w:val="28"/>
        </w:rPr>
      </w:pPr>
      <w:r>
        <w:rPr>
          <w:sz w:val="28"/>
          <w:szCs w:val="28"/>
        </w:rPr>
        <w:t>Adler, J.  1992.  Clean fuels, dirty air.  In M.Grieve and F.Smith eds., Environmental Politics: Public costs, private awards.  New York: Praeger.</w:t>
      </w:r>
    </w:p>
    <w:p w:rsidR="00E9098A" w:rsidRDefault="00E9098A" w:rsidP="009F5A45">
      <w:pPr>
        <w:ind w:left="360"/>
        <w:rPr>
          <w:sz w:val="28"/>
          <w:szCs w:val="28"/>
        </w:rPr>
      </w:pPr>
    </w:p>
    <w:p w:rsidR="00E9098A" w:rsidRDefault="00E9098A" w:rsidP="009F5A45">
      <w:pPr>
        <w:ind w:left="360"/>
        <w:rPr>
          <w:sz w:val="28"/>
          <w:szCs w:val="28"/>
        </w:rPr>
      </w:pPr>
      <w:r>
        <w:rPr>
          <w:sz w:val="28"/>
          <w:szCs w:val="28"/>
        </w:rPr>
        <w:t>Agriculture and Horticulture Development Board (AHDB). 2015.  Neonicotinoid pesticide reduction.  20</w:t>
      </w:r>
      <w:r w:rsidRPr="00E9098A">
        <w:rPr>
          <w:sz w:val="28"/>
          <w:szCs w:val="28"/>
          <w:vertAlign w:val="superscript"/>
        </w:rPr>
        <w:t>th</w:t>
      </w:r>
      <w:r>
        <w:rPr>
          <w:sz w:val="28"/>
          <w:szCs w:val="28"/>
        </w:rPr>
        <w:t xml:space="preserve"> April.  (Available on: cereals.ahdb.org.uk/neonics)</w:t>
      </w:r>
    </w:p>
    <w:p w:rsidR="00E9098A" w:rsidRDefault="00E9098A" w:rsidP="009F5A45">
      <w:pPr>
        <w:ind w:left="360"/>
        <w:rPr>
          <w:sz w:val="28"/>
          <w:szCs w:val="28"/>
        </w:rPr>
      </w:pPr>
    </w:p>
    <w:p w:rsidR="00E9098A" w:rsidRDefault="00E9098A" w:rsidP="009F5A45">
      <w:pPr>
        <w:ind w:left="360"/>
        <w:rPr>
          <w:sz w:val="28"/>
          <w:szCs w:val="28"/>
        </w:rPr>
      </w:pPr>
      <w:r>
        <w:rPr>
          <w:sz w:val="28"/>
          <w:szCs w:val="28"/>
        </w:rPr>
        <w:t>Agrimoney.  2014.  German farmers warn over insect damage to rapeseed.  Agrimoney, 2</w:t>
      </w:r>
      <w:r w:rsidRPr="00E9098A">
        <w:rPr>
          <w:sz w:val="28"/>
          <w:szCs w:val="28"/>
          <w:vertAlign w:val="superscript"/>
        </w:rPr>
        <w:t>nd</w:t>
      </w:r>
      <w:r>
        <w:rPr>
          <w:sz w:val="28"/>
          <w:szCs w:val="28"/>
        </w:rPr>
        <w:t xml:space="preserve"> October.</w:t>
      </w:r>
    </w:p>
    <w:p w:rsidR="00863757" w:rsidRDefault="00863757" w:rsidP="009F5A45">
      <w:pPr>
        <w:ind w:left="360"/>
        <w:rPr>
          <w:sz w:val="28"/>
          <w:szCs w:val="28"/>
        </w:rPr>
      </w:pPr>
    </w:p>
    <w:p w:rsidR="00863757" w:rsidRDefault="00863757" w:rsidP="009F5A45">
      <w:pPr>
        <w:ind w:left="360"/>
        <w:rPr>
          <w:sz w:val="28"/>
          <w:szCs w:val="28"/>
        </w:rPr>
      </w:pPr>
      <w:r>
        <w:rPr>
          <w:sz w:val="28"/>
          <w:szCs w:val="28"/>
        </w:rPr>
        <w:t>Alemanno, A.  2014.  What role-if any-for a Chief Scientist in the European Union system for scientific advice?  European Journal of Risk Regulation, Vol.5, p. 286-292</w:t>
      </w:r>
    </w:p>
    <w:p w:rsidR="009F1C6C" w:rsidRDefault="009F1C6C" w:rsidP="009F5A45">
      <w:pPr>
        <w:ind w:left="360"/>
        <w:rPr>
          <w:sz w:val="28"/>
          <w:szCs w:val="28"/>
        </w:rPr>
      </w:pPr>
    </w:p>
    <w:p w:rsidR="009F1C6C" w:rsidRDefault="009F1C6C" w:rsidP="009F5A45">
      <w:pPr>
        <w:ind w:left="360"/>
        <w:rPr>
          <w:sz w:val="28"/>
          <w:szCs w:val="28"/>
        </w:rPr>
      </w:pPr>
      <w:r>
        <w:rPr>
          <w:sz w:val="28"/>
          <w:szCs w:val="28"/>
        </w:rPr>
        <w:t>Anshelm, J.  2000.  Mellan Fralsning och Domedag: Om karnkraftens politiska idehistoria I Sverige 1945-1999.  Stockholm: Brutus Ostlings Bokforlag Symposion.</w:t>
      </w:r>
    </w:p>
    <w:p w:rsidR="009F5A45" w:rsidRDefault="009F5A45" w:rsidP="009F5A45">
      <w:pPr>
        <w:ind w:left="360"/>
        <w:rPr>
          <w:sz w:val="28"/>
          <w:szCs w:val="28"/>
        </w:rPr>
      </w:pPr>
    </w:p>
    <w:p w:rsidR="00901295" w:rsidRDefault="00901295" w:rsidP="009F5A45">
      <w:pPr>
        <w:ind w:left="360"/>
        <w:rPr>
          <w:sz w:val="28"/>
          <w:szCs w:val="28"/>
        </w:rPr>
      </w:pPr>
      <w:r>
        <w:rPr>
          <w:sz w:val="28"/>
          <w:szCs w:val="28"/>
        </w:rPr>
        <w:t>Arnardottir, H.  2013.  Regulatory Benefit-Risk Assessment.  Different perspectives.  Groningen: University Medical Center.</w:t>
      </w:r>
    </w:p>
    <w:p w:rsidR="00A82B2D" w:rsidRDefault="00A82B2D" w:rsidP="009F5A45">
      <w:pPr>
        <w:ind w:left="360"/>
        <w:rPr>
          <w:sz w:val="28"/>
          <w:szCs w:val="28"/>
        </w:rPr>
      </w:pPr>
    </w:p>
    <w:p w:rsidR="00DB7A19" w:rsidRDefault="00DB7A19" w:rsidP="00DB7A19">
      <w:pPr>
        <w:ind w:left="360"/>
        <w:rPr>
          <w:sz w:val="28"/>
          <w:szCs w:val="28"/>
        </w:rPr>
      </w:pPr>
      <w:r>
        <w:rPr>
          <w:sz w:val="28"/>
          <w:szCs w:val="28"/>
        </w:rPr>
        <w:t>Arnott, J et al.  2012.  Enhancing communication about pediatric medicines: Lessons from a qualitative study of parents’ experiences of their child’s suspected adverse drug reaction.  PLoS ONE 7, e46022.</w:t>
      </w:r>
    </w:p>
    <w:p w:rsidR="00DB7A19" w:rsidRDefault="00DB7A19" w:rsidP="009F5A45">
      <w:pPr>
        <w:ind w:left="360"/>
        <w:rPr>
          <w:sz w:val="28"/>
          <w:szCs w:val="28"/>
        </w:rPr>
      </w:pPr>
    </w:p>
    <w:p w:rsidR="00A82B2D" w:rsidRDefault="00A82B2D" w:rsidP="009F5A45">
      <w:pPr>
        <w:ind w:left="360"/>
        <w:rPr>
          <w:sz w:val="28"/>
          <w:szCs w:val="28"/>
        </w:rPr>
      </w:pPr>
      <w:r>
        <w:rPr>
          <w:sz w:val="28"/>
          <w:szCs w:val="28"/>
        </w:rPr>
        <w:t>BBC News.  2001.  U-turn over tonsil operations.  15</w:t>
      </w:r>
      <w:r w:rsidRPr="00A82B2D">
        <w:rPr>
          <w:sz w:val="28"/>
          <w:szCs w:val="28"/>
          <w:vertAlign w:val="superscript"/>
        </w:rPr>
        <w:t>th</w:t>
      </w:r>
      <w:r>
        <w:rPr>
          <w:sz w:val="28"/>
          <w:szCs w:val="28"/>
        </w:rPr>
        <w:t xml:space="preserve"> December.</w:t>
      </w:r>
    </w:p>
    <w:p w:rsidR="00A82B2D" w:rsidRDefault="00A82B2D" w:rsidP="009F5A45">
      <w:pPr>
        <w:ind w:left="360"/>
        <w:rPr>
          <w:sz w:val="28"/>
          <w:szCs w:val="28"/>
        </w:rPr>
      </w:pPr>
    </w:p>
    <w:p w:rsidR="00A82B2D" w:rsidRDefault="00A82B2D" w:rsidP="009F5A45">
      <w:pPr>
        <w:ind w:left="360"/>
        <w:rPr>
          <w:sz w:val="28"/>
          <w:szCs w:val="28"/>
        </w:rPr>
      </w:pPr>
      <w:r>
        <w:rPr>
          <w:sz w:val="28"/>
          <w:szCs w:val="28"/>
        </w:rPr>
        <w:t>Bilbrey, J.  2014.  BPA-free plastic containers may be just as hazardous.  Scientific American, 11</w:t>
      </w:r>
      <w:r w:rsidRPr="00A82B2D">
        <w:rPr>
          <w:sz w:val="28"/>
          <w:szCs w:val="28"/>
          <w:vertAlign w:val="superscript"/>
        </w:rPr>
        <w:t>th</w:t>
      </w:r>
      <w:r>
        <w:rPr>
          <w:sz w:val="28"/>
          <w:szCs w:val="28"/>
        </w:rPr>
        <w:t xml:space="preserve"> August.</w:t>
      </w:r>
    </w:p>
    <w:p w:rsidR="00E9098A" w:rsidRDefault="00E9098A" w:rsidP="009F5A45">
      <w:pPr>
        <w:ind w:left="360"/>
        <w:rPr>
          <w:sz w:val="28"/>
          <w:szCs w:val="28"/>
        </w:rPr>
      </w:pPr>
    </w:p>
    <w:p w:rsidR="00E9098A" w:rsidRDefault="00E9098A" w:rsidP="009F5A45">
      <w:pPr>
        <w:ind w:left="360"/>
        <w:rPr>
          <w:sz w:val="28"/>
          <w:szCs w:val="28"/>
        </w:rPr>
      </w:pPr>
      <w:r>
        <w:rPr>
          <w:sz w:val="28"/>
          <w:szCs w:val="28"/>
        </w:rPr>
        <w:t>Booker, C.  2014.  Greens used EU cash to push for damaging pesticide ban.  The Daily Telegraph. 6</w:t>
      </w:r>
      <w:r w:rsidRPr="00E9098A">
        <w:rPr>
          <w:sz w:val="28"/>
          <w:szCs w:val="28"/>
          <w:vertAlign w:val="superscript"/>
        </w:rPr>
        <w:t>th</w:t>
      </w:r>
      <w:r>
        <w:rPr>
          <w:sz w:val="28"/>
          <w:szCs w:val="28"/>
        </w:rPr>
        <w:t xml:space="preserve"> December.</w:t>
      </w:r>
    </w:p>
    <w:p w:rsidR="00BA4D7F" w:rsidRDefault="00BA4D7F" w:rsidP="009F5A45">
      <w:pPr>
        <w:ind w:left="360"/>
        <w:rPr>
          <w:sz w:val="28"/>
          <w:szCs w:val="28"/>
        </w:rPr>
      </w:pPr>
    </w:p>
    <w:p w:rsidR="00BA4D7F" w:rsidRDefault="00BA4D7F" w:rsidP="009F5A45">
      <w:pPr>
        <w:ind w:left="360"/>
        <w:rPr>
          <w:sz w:val="28"/>
          <w:szCs w:val="28"/>
        </w:rPr>
      </w:pPr>
      <w:r>
        <w:rPr>
          <w:sz w:val="28"/>
          <w:szCs w:val="28"/>
        </w:rPr>
        <w:t>Boyd, I.  2013.  Making science count in government.  eLife, DOI: 10.7554/eLife.01061</w:t>
      </w:r>
    </w:p>
    <w:p w:rsidR="00901295" w:rsidRPr="009F5A45" w:rsidRDefault="00901295" w:rsidP="009F5A45">
      <w:pPr>
        <w:ind w:left="360"/>
        <w:rPr>
          <w:sz w:val="28"/>
          <w:szCs w:val="28"/>
        </w:rPr>
      </w:pPr>
    </w:p>
    <w:p w:rsidR="00606758" w:rsidRDefault="00B75DEC" w:rsidP="00606758">
      <w:pPr>
        <w:ind w:left="360"/>
        <w:rPr>
          <w:sz w:val="28"/>
          <w:szCs w:val="28"/>
        </w:rPr>
      </w:pPr>
      <w:r>
        <w:rPr>
          <w:sz w:val="28"/>
          <w:szCs w:val="28"/>
        </w:rPr>
        <w:t>Buck, T.  2007.  Standard bearer: How the European Union exports its laws.  Financial times, 10</w:t>
      </w:r>
      <w:r w:rsidRPr="00B75DEC">
        <w:rPr>
          <w:sz w:val="28"/>
          <w:szCs w:val="28"/>
          <w:vertAlign w:val="superscript"/>
        </w:rPr>
        <w:t>th</w:t>
      </w:r>
      <w:r>
        <w:rPr>
          <w:sz w:val="28"/>
          <w:szCs w:val="28"/>
        </w:rPr>
        <w:t xml:space="preserve"> July, p.12.</w:t>
      </w:r>
    </w:p>
    <w:p w:rsidR="00901295" w:rsidRDefault="00901295" w:rsidP="00606758">
      <w:pPr>
        <w:ind w:left="360"/>
        <w:rPr>
          <w:sz w:val="28"/>
          <w:szCs w:val="28"/>
        </w:rPr>
      </w:pPr>
    </w:p>
    <w:p w:rsidR="00901295" w:rsidRDefault="00901295" w:rsidP="00606758">
      <w:pPr>
        <w:ind w:left="360"/>
        <w:rPr>
          <w:sz w:val="28"/>
          <w:szCs w:val="28"/>
        </w:rPr>
      </w:pPr>
      <w:r>
        <w:rPr>
          <w:sz w:val="28"/>
          <w:szCs w:val="28"/>
        </w:rPr>
        <w:t>Calfee, J.  2006.  A Representative Survey of MS patients on Attitudes Towards the Benefits and Risks of Drug Therapy.  Washington DC: AEI Brookings Joint Centre for Regulatory Studies.</w:t>
      </w:r>
    </w:p>
    <w:p w:rsidR="00DB7A19" w:rsidRDefault="00DB7A19" w:rsidP="00606758">
      <w:pPr>
        <w:ind w:left="360"/>
        <w:rPr>
          <w:sz w:val="28"/>
          <w:szCs w:val="28"/>
        </w:rPr>
      </w:pPr>
    </w:p>
    <w:p w:rsidR="00DB7A19" w:rsidRDefault="00DB7A19" w:rsidP="00DB7A19">
      <w:pPr>
        <w:ind w:left="360"/>
        <w:rPr>
          <w:sz w:val="28"/>
          <w:szCs w:val="28"/>
        </w:rPr>
      </w:pPr>
      <w:r>
        <w:rPr>
          <w:sz w:val="28"/>
          <w:szCs w:val="28"/>
        </w:rPr>
        <w:t>Carpenter, D.  2010.  Reputation and Power: Organisational Image and pharmaceutical regulation at the FDA.  Princeton: Princeton University Press.</w:t>
      </w:r>
    </w:p>
    <w:p w:rsidR="00E9098A" w:rsidRDefault="00E9098A" w:rsidP="00DB7A19">
      <w:pPr>
        <w:ind w:left="360"/>
        <w:rPr>
          <w:sz w:val="28"/>
          <w:szCs w:val="28"/>
        </w:rPr>
      </w:pPr>
    </w:p>
    <w:p w:rsidR="00E9098A" w:rsidRDefault="00E9098A" w:rsidP="00DB7A19">
      <w:pPr>
        <w:ind w:left="360"/>
        <w:rPr>
          <w:sz w:val="28"/>
          <w:szCs w:val="28"/>
        </w:rPr>
      </w:pPr>
      <w:r>
        <w:rPr>
          <w:sz w:val="28"/>
          <w:szCs w:val="28"/>
        </w:rPr>
        <w:t>Carreck, N.  2015.  Cited in: Doubts raised over neonic ban as bee scientists clash.  Farmers Wee</w:t>
      </w:r>
      <w:r w:rsidR="0080253D">
        <w:rPr>
          <w:sz w:val="28"/>
          <w:szCs w:val="28"/>
        </w:rPr>
        <w:t>kly, 20</w:t>
      </w:r>
      <w:r w:rsidR="0080253D" w:rsidRPr="0080253D">
        <w:rPr>
          <w:sz w:val="28"/>
          <w:szCs w:val="28"/>
          <w:vertAlign w:val="superscript"/>
        </w:rPr>
        <w:t>th</w:t>
      </w:r>
      <w:r w:rsidR="0080253D">
        <w:rPr>
          <w:sz w:val="28"/>
          <w:szCs w:val="28"/>
        </w:rPr>
        <w:t xml:space="preserve"> January.</w:t>
      </w:r>
    </w:p>
    <w:p w:rsidR="00DB7A19" w:rsidRDefault="00DB7A19" w:rsidP="00DB7A19">
      <w:pPr>
        <w:rPr>
          <w:sz w:val="28"/>
          <w:szCs w:val="28"/>
        </w:rPr>
      </w:pPr>
    </w:p>
    <w:p w:rsidR="00BA4D7F" w:rsidRDefault="00BA4D7F" w:rsidP="00606758">
      <w:pPr>
        <w:ind w:left="360"/>
        <w:rPr>
          <w:sz w:val="28"/>
          <w:szCs w:val="28"/>
        </w:rPr>
      </w:pPr>
      <w:r>
        <w:rPr>
          <w:sz w:val="28"/>
          <w:szCs w:val="28"/>
        </w:rPr>
        <w:t xml:space="preserve">Casman, E., B.Fischhoff, C.Palmgren, M.Small, and F. Wu. 2000.  An integrated risk model </w:t>
      </w:r>
      <w:r w:rsidR="00DA6ECE">
        <w:rPr>
          <w:sz w:val="28"/>
          <w:szCs w:val="28"/>
        </w:rPr>
        <w:t>of a drinking-water borne cryptosporidiosis outbreak.  Risk Analysis, Vol. 20, p. 495-511.</w:t>
      </w:r>
    </w:p>
    <w:p w:rsidR="00863757" w:rsidRDefault="00863757" w:rsidP="00606758">
      <w:pPr>
        <w:ind w:left="360"/>
        <w:rPr>
          <w:sz w:val="28"/>
          <w:szCs w:val="28"/>
        </w:rPr>
      </w:pPr>
    </w:p>
    <w:p w:rsidR="00DB7A19" w:rsidRDefault="00DB7A19" w:rsidP="00DB7A19">
      <w:pPr>
        <w:ind w:left="360"/>
        <w:rPr>
          <w:sz w:val="28"/>
          <w:szCs w:val="28"/>
        </w:rPr>
      </w:pPr>
      <w:r>
        <w:rPr>
          <w:sz w:val="28"/>
          <w:szCs w:val="28"/>
        </w:rPr>
        <w:t>Corporate Europe Observatory.  2011.  An open letter from CEO to the European Food Safety Authority.  Brussels: CEO.</w:t>
      </w:r>
    </w:p>
    <w:p w:rsidR="00DB7A19" w:rsidRDefault="00DB7A19" w:rsidP="00DB7A19">
      <w:pPr>
        <w:rPr>
          <w:sz w:val="28"/>
          <w:szCs w:val="28"/>
        </w:rPr>
      </w:pPr>
    </w:p>
    <w:p w:rsidR="00863757" w:rsidRDefault="00863757" w:rsidP="00606758">
      <w:pPr>
        <w:ind w:left="360"/>
        <w:rPr>
          <w:sz w:val="28"/>
          <w:szCs w:val="28"/>
        </w:rPr>
      </w:pPr>
      <w:r>
        <w:rPr>
          <w:sz w:val="28"/>
          <w:szCs w:val="28"/>
        </w:rPr>
        <w:t>Corporate European Observatory.  2012.  Conflicts on the Menu.  Brussels: Corporate European Observatory.</w:t>
      </w:r>
    </w:p>
    <w:p w:rsidR="00DA0EB5" w:rsidRDefault="00DA0EB5" w:rsidP="00606758">
      <w:pPr>
        <w:ind w:left="360"/>
        <w:rPr>
          <w:sz w:val="28"/>
          <w:szCs w:val="28"/>
        </w:rPr>
      </w:pPr>
    </w:p>
    <w:p w:rsidR="00DB7A19" w:rsidRDefault="00DB7A19" w:rsidP="00DB7A19">
      <w:pPr>
        <w:ind w:left="360"/>
        <w:rPr>
          <w:sz w:val="28"/>
          <w:szCs w:val="28"/>
        </w:rPr>
      </w:pPr>
      <w:r>
        <w:rPr>
          <w:sz w:val="28"/>
          <w:szCs w:val="28"/>
        </w:rPr>
        <w:t>Corrosion Proof Fittings v US Environmental Protection Agency (EPA) 947 F.2d 1201 (5</w:t>
      </w:r>
      <w:r w:rsidRPr="00782B48">
        <w:rPr>
          <w:sz w:val="28"/>
          <w:szCs w:val="28"/>
          <w:vertAlign w:val="superscript"/>
        </w:rPr>
        <w:t>th</w:t>
      </w:r>
      <w:r>
        <w:rPr>
          <w:sz w:val="28"/>
          <w:szCs w:val="28"/>
        </w:rPr>
        <w:t xml:space="preserve"> Cir 1991).</w:t>
      </w:r>
    </w:p>
    <w:p w:rsidR="00DB7A19" w:rsidRDefault="00DB7A19" w:rsidP="00DB7A19">
      <w:pPr>
        <w:ind w:left="360"/>
        <w:rPr>
          <w:sz w:val="28"/>
          <w:szCs w:val="28"/>
        </w:rPr>
      </w:pPr>
    </w:p>
    <w:p w:rsidR="00DA0EB5" w:rsidRDefault="00DA0EB5" w:rsidP="00606758">
      <w:pPr>
        <w:ind w:left="360"/>
        <w:rPr>
          <w:sz w:val="28"/>
          <w:szCs w:val="28"/>
        </w:rPr>
      </w:pPr>
      <w:r>
        <w:rPr>
          <w:sz w:val="28"/>
          <w:szCs w:val="28"/>
        </w:rPr>
        <w:t>COWI.  2000.  Evaluering af 1997s Energipolitiske Program 1998-1999.  Copenhagen: COWI.</w:t>
      </w:r>
    </w:p>
    <w:p w:rsidR="0080253D" w:rsidRDefault="0080253D" w:rsidP="00606758">
      <w:pPr>
        <w:ind w:left="360"/>
        <w:rPr>
          <w:sz w:val="28"/>
          <w:szCs w:val="28"/>
        </w:rPr>
      </w:pPr>
    </w:p>
    <w:p w:rsidR="0080253D" w:rsidRDefault="0080253D" w:rsidP="00606758">
      <w:pPr>
        <w:ind w:left="360"/>
        <w:rPr>
          <w:sz w:val="28"/>
          <w:szCs w:val="28"/>
        </w:rPr>
      </w:pPr>
      <w:r>
        <w:rPr>
          <w:sz w:val="28"/>
          <w:szCs w:val="28"/>
        </w:rPr>
        <w:t>Creswell, J.  2011.  A meta-analysis of experiments testing the effects of a neonicotinoid insecticide (imidacloprid) on honey bees.  Ecotoxicology, Vol. 20, p.149-167.</w:t>
      </w:r>
    </w:p>
    <w:p w:rsidR="00B75DEC" w:rsidRDefault="00B75DEC" w:rsidP="00606758">
      <w:pPr>
        <w:ind w:left="360"/>
        <w:rPr>
          <w:sz w:val="28"/>
          <w:szCs w:val="28"/>
        </w:rPr>
      </w:pPr>
    </w:p>
    <w:p w:rsidR="00606758" w:rsidRDefault="00606758" w:rsidP="00606758">
      <w:pPr>
        <w:ind w:left="360"/>
        <w:rPr>
          <w:sz w:val="28"/>
          <w:szCs w:val="28"/>
        </w:rPr>
      </w:pPr>
      <w:r>
        <w:rPr>
          <w:sz w:val="28"/>
          <w:szCs w:val="28"/>
        </w:rPr>
        <w:t>Daley, H.  1993.  The perils of free trade. Scientific American, November.</w:t>
      </w:r>
    </w:p>
    <w:p w:rsidR="0034455B" w:rsidRDefault="0034455B" w:rsidP="00606758">
      <w:pPr>
        <w:ind w:left="360"/>
        <w:rPr>
          <w:sz w:val="28"/>
          <w:szCs w:val="28"/>
        </w:rPr>
      </w:pPr>
    </w:p>
    <w:p w:rsidR="0080253D" w:rsidRDefault="0080253D" w:rsidP="00606758">
      <w:pPr>
        <w:ind w:left="360"/>
        <w:rPr>
          <w:sz w:val="28"/>
          <w:szCs w:val="28"/>
        </w:rPr>
      </w:pPr>
      <w:r>
        <w:rPr>
          <w:sz w:val="28"/>
          <w:szCs w:val="28"/>
        </w:rPr>
        <w:t>Decourtye, A. et al.  2004.  Imidacloprid impairs memoryand brain metabolism in the honey bee (Apis mellifera).  Pesticide Biochemistry amd Physiology, Vol. 78, p. 83-92.</w:t>
      </w:r>
    </w:p>
    <w:p w:rsidR="0080253D" w:rsidRDefault="0080253D" w:rsidP="00606758">
      <w:pPr>
        <w:ind w:left="360"/>
        <w:rPr>
          <w:sz w:val="28"/>
          <w:szCs w:val="28"/>
        </w:rPr>
      </w:pPr>
    </w:p>
    <w:p w:rsidR="0034455B" w:rsidRDefault="0034455B" w:rsidP="00606758">
      <w:pPr>
        <w:ind w:left="360"/>
        <w:rPr>
          <w:sz w:val="28"/>
          <w:szCs w:val="28"/>
        </w:rPr>
      </w:pPr>
      <w:r>
        <w:rPr>
          <w:sz w:val="28"/>
          <w:szCs w:val="28"/>
        </w:rPr>
        <w:t>Dudley, S.  2012.  Prepared statement of Susan Dudley.  Hearing on Review of Mercury Pollution’s Impacts to Public Health and the Environment.  Before the Committee on Environment and Public Works Subcommittee on Clean Air and Nuclear Safety, United States Senate.  17</w:t>
      </w:r>
      <w:r w:rsidRPr="0034455B">
        <w:rPr>
          <w:sz w:val="28"/>
          <w:szCs w:val="28"/>
          <w:vertAlign w:val="superscript"/>
        </w:rPr>
        <w:t>th</w:t>
      </w:r>
      <w:r>
        <w:rPr>
          <w:sz w:val="28"/>
          <w:szCs w:val="28"/>
        </w:rPr>
        <w:t xml:space="preserve"> April.</w:t>
      </w:r>
    </w:p>
    <w:p w:rsidR="00606758" w:rsidRDefault="00606758" w:rsidP="00606758">
      <w:pPr>
        <w:ind w:left="360"/>
        <w:rPr>
          <w:sz w:val="28"/>
          <w:szCs w:val="28"/>
        </w:rPr>
      </w:pPr>
    </w:p>
    <w:p w:rsidR="00B75DEC" w:rsidRDefault="00B75DEC" w:rsidP="00606758">
      <w:pPr>
        <w:ind w:left="360"/>
        <w:rPr>
          <w:sz w:val="28"/>
          <w:szCs w:val="28"/>
        </w:rPr>
      </w:pPr>
      <w:r>
        <w:rPr>
          <w:sz w:val="28"/>
          <w:szCs w:val="28"/>
        </w:rPr>
        <w:t>Economist.  2007.  Brussels rules ok.  22</w:t>
      </w:r>
      <w:r w:rsidRPr="00B75DEC">
        <w:rPr>
          <w:sz w:val="28"/>
          <w:szCs w:val="28"/>
          <w:vertAlign w:val="superscript"/>
        </w:rPr>
        <w:t>nd</w:t>
      </w:r>
      <w:r>
        <w:rPr>
          <w:sz w:val="28"/>
          <w:szCs w:val="28"/>
        </w:rPr>
        <w:t xml:space="preserve"> September, p.52.</w:t>
      </w:r>
    </w:p>
    <w:p w:rsidR="00DB7A19" w:rsidRDefault="00DB7A19" w:rsidP="00606758">
      <w:pPr>
        <w:ind w:left="360"/>
        <w:rPr>
          <w:sz w:val="28"/>
          <w:szCs w:val="28"/>
        </w:rPr>
      </w:pPr>
    </w:p>
    <w:p w:rsidR="00DB7A19" w:rsidRDefault="00DB7A19" w:rsidP="00DB7A19">
      <w:pPr>
        <w:ind w:left="360"/>
        <w:rPr>
          <w:sz w:val="28"/>
          <w:szCs w:val="28"/>
        </w:rPr>
      </w:pPr>
      <w:r>
        <w:rPr>
          <w:sz w:val="28"/>
          <w:szCs w:val="28"/>
        </w:rPr>
        <w:t>Eichler, H-G., B.Bloechl-Daum, D.Brasseur, A. Breckenridge et al.  2013.  The risks of risk aversion in drug regulation.  Nature Drug Reviews, Vol.12, p. 907-916.</w:t>
      </w:r>
    </w:p>
    <w:p w:rsidR="0080253D" w:rsidRDefault="0080253D" w:rsidP="00DB7A19">
      <w:pPr>
        <w:ind w:left="360"/>
        <w:rPr>
          <w:sz w:val="28"/>
          <w:szCs w:val="28"/>
        </w:rPr>
      </w:pPr>
    </w:p>
    <w:p w:rsidR="0080253D" w:rsidRDefault="0080253D" w:rsidP="00DB7A19">
      <w:pPr>
        <w:ind w:left="360"/>
        <w:rPr>
          <w:sz w:val="28"/>
          <w:szCs w:val="28"/>
        </w:rPr>
      </w:pPr>
      <w:r>
        <w:rPr>
          <w:sz w:val="28"/>
          <w:szCs w:val="28"/>
        </w:rPr>
        <w:t>European Academies Science Advisory Council (EASAC). 2015.  Ecosystem services, agriculture and neonicotinoids.  EASAC Policy Report 26, April.</w:t>
      </w:r>
    </w:p>
    <w:p w:rsidR="0080253D" w:rsidRDefault="0080253D" w:rsidP="00DB7A19">
      <w:pPr>
        <w:ind w:left="360"/>
        <w:rPr>
          <w:sz w:val="28"/>
          <w:szCs w:val="28"/>
        </w:rPr>
      </w:pPr>
    </w:p>
    <w:p w:rsidR="0080253D" w:rsidRDefault="0080253D" w:rsidP="00DB7A19">
      <w:pPr>
        <w:ind w:left="360"/>
        <w:rPr>
          <w:sz w:val="28"/>
          <w:szCs w:val="28"/>
        </w:rPr>
      </w:pPr>
      <w:r>
        <w:rPr>
          <w:sz w:val="28"/>
          <w:szCs w:val="28"/>
        </w:rPr>
        <w:t>European Food Safety Authority.  2012.  Assessment of the scientific information from the Italian project ‘APENET’ investigating effects on honeybees of coated maize seeds with some neonicotinoids and fipronil.  EFSA Jorunal 10. P.2792.</w:t>
      </w:r>
    </w:p>
    <w:p w:rsidR="0080253D" w:rsidRDefault="0080253D" w:rsidP="00DB7A19">
      <w:pPr>
        <w:ind w:left="360"/>
        <w:rPr>
          <w:sz w:val="28"/>
          <w:szCs w:val="28"/>
        </w:rPr>
      </w:pPr>
    </w:p>
    <w:p w:rsidR="0080253D" w:rsidRDefault="0080253D" w:rsidP="00DB7A19">
      <w:pPr>
        <w:ind w:left="360"/>
        <w:rPr>
          <w:sz w:val="28"/>
          <w:szCs w:val="28"/>
        </w:rPr>
      </w:pPr>
      <w:r>
        <w:rPr>
          <w:sz w:val="28"/>
          <w:szCs w:val="28"/>
        </w:rPr>
        <w:t>European Food Safety Authority. 2013a.  EFSA identifies risks to bees form neonicotinoids.  Press release 16</w:t>
      </w:r>
      <w:r w:rsidRPr="0080253D">
        <w:rPr>
          <w:sz w:val="28"/>
          <w:szCs w:val="28"/>
          <w:vertAlign w:val="superscript"/>
        </w:rPr>
        <w:t>th</w:t>
      </w:r>
      <w:r>
        <w:rPr>
          <w:sz w:val="28"/>
          <w:szCs w:val="28"/>
        </w:rPr>
        <w:t xml:space="preserve"> January.</w:t>
      </w:r>
    </w:p>
    <w:p w:rsidR="00DB7A19" w:rsidRDefault="00DB7A19" w:rsidP="00DB7A19">
      <w:pPr>
        <w:ind w:left="360"/>
        <w:rPr>
          <w:sz w:val="28"/>
          <w:szCs w:val="28"/>
        </w:rPr>
      </w:pPr>
    </w:p>
    <w:p w:rsidR="0080253D" w:rsidRDefault="0080253D" w:rsidP="00DB7A19">
      <w:pPr>
        <w:ind w:left="360"/>
        <w:rPr>
          <w:sz w:val="28"/>
          <w:szCs w:val="28"/>
        </w:rPr>
      </w:pPr>
      <w:r>
        <w:rPr>
          <w:sz w:val="28"/>
          <w:szCs w:val="28"/>
        </w:rPr>
        <w:t>European Food Safety Authority 2013b.  Conclusion on the peer review of the pesticide risk assessment for bees for the active substance clothianidin.  EFSA Journal 11, p. 3066.</w:t>
      </w:r>
    </w:p>
    <w:p w:rsidR="0080253D" w:rsidRDefault="0080253D" w:rsidP="00DB7A19">
      <w:pPr>
        <w:ind w:left="360"/>
        <w:rPr>
          <w:sz w:val="28"/>
          <w:szCs w:val="28"/>
        </w:rPr>
      </w:pPr>
    </w:p>
    <w:p w:rsidR="0080253D" w:rsidRDefault="0080253D" w:rsidP="00DB7A19">
      <w:pPr>
        <w:ind w:left="360"/>
        <w:rPr>
          <w:sz w:val="28"/>
          <w:szCs w:val="28"/>
        </w:rPr>
      </w:pPr>
      <w:r>
        <w:rPr>
          <w:sz w:val="28"/>
          <w:szCs w:val="28"/>
        </w:rPr>
        <w:t>European Food Safety Authority 2013c.  Guidance on the risk assessment of plant protection products on bees.  EFSA Journal 11, p.3295.</w:t>
      </w:r>
    </w:p>
    <w:p w:rsidR="00C01F28" w:rsidRDefault="00C01F28" w:rsidP="00DB7A19">
      <w:pPr>
        <w:ind w:left="360"/>
        <w:rPr>
          <w:sz w:val="28"/>
          <w:szCs w:val="28"/>
        </w:rPr>
      </w:pPr>
    </w:p>
    <w:p w:rsidR="00C01F28" w:rsidRDefault="00C01F28" w:rsidP="00DB7A19">
      <w:pPr>
        <w:ind w:left="360"/>
        <w:rPr>
          <w:sz w:val="28"/>
          <w:szCs w:val="28"/>
        </w:rPr>
      </w:pPr>
      <w:r>
        <w:rPr>
          <w:sz w:val="28"/>
          <w:szCs w:val="28"/>
        </w:rPr>
        <w:t xml:space="preserve">European Union 2010.  EU Report Honeybee Health.  Brussels: DG SANCO.  </w:t>
      </w:r>
    </w:p>
    <w:p w:rsidR="0080253D" w:rsidRDefault="0080253D" w:rsidP="00DB7A19">
      <w:pPr>
        <w:ind w:left="360"/>
        <w:rPr>
          <w:sz w:val="28"/>
          <w:szCs w:val="28"/>
        </w:rPr>
      </w:pPr>
    </w:p>
    <w:p w:rsidR="00C01F28" w:rsidRDefault="00C01F28" w:rsidP="00DB7A19">
      <w:pPr>
        <w:ind w:left="360"/>
        <w:rPr>
          <w:sz w:val="28"/>
          <w:szCs w:val="28"/>
        </w:rPr>
      </w:pPr>
      <w:r>
        <w:rPr>
          <w:sz w:val="28"/>
          <w:szCs w:val="28"/>
        </w:rPr>
        <w:t>Fairbrother, A et al.  2014.  Risks of neonicotinoid insecticides to honeybees.  Environmental Toxicilogy and Chemistry, Vol. 33, p. 719-731.</w:t>
      </w:r>
    </w:p>
    <w:p w:rsidR="00C01F28" w:rsidRDefault="00C01F28" w:rsidP="00DB7A19">
      <w:pPr>
        <w:ind w:left="360"/>
        <w:rPr>
          <w:sz w:val="28"/>
          <w:szCs w:val="28"/>
        </w:rPr>
      </w:pPr>
    </w:p>
    <w:p w:rsidR="00DB7A19" w:rsidRDefault="00DB7A19" w:rsidP="00DB7A19">
      <w:pPr>
        <w:ind w:left="360"/>
        <w:rPr>
          <w:sz w:val="28"/>
          <w:szCs w:val="28"/>
        </w:rPr>
      </w:pPr>
      <w:r>
        <w:rPr>
          <w:sz w:val="28"/>
          <w:szCs w:val="28"/>
        </w:rPr>
        <w:t>Falkner, R. 2008.  Business Power and Conflict in International Environmental Politics.    Basingstoke: Palgrave/Macmillan.</w:t>
      </w:r>
    </w:p>
    <w:p w:rsidR="00DB7A19" w:rsidRDefault="00DB7A19" w:rsidP="00DB7A19">
      <w:pPr>
        <w:rPr>
          <w:sz w:val="28"/>
          <w:szCs w:val="28"/>
        </w:rPr>
      </w:pPr>
    </w:p>
    <w:p w:rsidR="00DB7A19" w:rsidRDefault="00DB7A19" w:rsidP="00DB7A19">
      <w:pPr>
        <w:ind w:left="360"/>
        <w:rPr>
          <w:sz w:val="28"/>
          <w:szCs w:val="28"/>
        </w:rPr>
      </w:pPr>
      <w:r>
        <w:rPr>
          <w:sz w:val="28"/>
          <w:szCs w:val="28"/>
        </w:rPr>
        <w:t>FAO/WHO.  2010.  Joint FAO/WHO Expert meeting to review toxicological and health aspects of Bisphenol-A.  1-5 November, Ottawa, Canada.  Geneva: WHO.</w:t>
      </w:r>
    </w:p>
    <w:p w:rsidR="00863757" w:rsidRDefault="00863757" w:rsidP="00606758">
      <w:pPr>
        <w:ind w:left="360"/>
        <w:rPr>
          <w:sz w:val="28"/>
          <w:szCs w:val="28"/>
        </w:rPr>
      </w:pPr>
    </w:p>
    <w:p w:rsidR="00863757" w:rsidRDefault="00863757" w:rsidP="00606758">
      <w:pPr>
        <w:ind w:left="360"/>
        <w:rPr>
          <w:sz w:val="28"/>
          <w:szCs w:val="28"/>
        </w:rPr>
      </w:pPr>
      <w:r>
        <w:rPr>
          <w:sz w:val="28"/>
          <w:szCs w:val="28"/>
        </w:rPr>
        <w:t>Fischhoff, B.  2013.  The science of science communication.  Proceedings of the National Academy of Sciences, Vol110, suppl.3, 14033-14039.</w:t>
      </w:r>
    </w:p>
    <w:p w:rsidR="00863757" w:rsidRDefault="00863757" w:rsidP="00606758">
      <w:pPr>
        <w:ind w:left="360"/>
        <w:rPr>
          <w:sz w:val="28"/>
          <w:szCs w:val="28"/>
        </w:rPr>
      </w:pPr>
    </w:p>
    <w:p w:rsidR="00863757" w:rsidRDefault="00863757" w:rsidP="00606758">
      <w:pPr>
        <w:ind w:left="360"/>
        <w:rPr>
          <w:sz w:val="28"/>
          <w:szCs w:val="28"/>
        </w:rPr>
      </w:pPr>
      <w:r>
        <w:rPr>
          <w:sz w:val="28"/>
          <w:szCs w:val="28"/>
        </w:rPr>
        <w:t>Fischhoff, B., W. Bruine de Bruin, U.Guvenc, D. Caruso and L.Brilliant.  2006.  Analyzing disaster risks and plans: An avian flu example.  Journal of Risk and Uncertainty, Vol.33, p.133-151.</w:t>
      </w:r>
    </w:p>
    <w:p w:rsidR="00863757" w:rsidRDefault="00863757" w:rsidP="00606758">
      <w:pPr>
        <w:ind w:left="360"/>
        <w:rPr>
          <w:sz w:val="28"/>
          <w:szCs w:val="28"/>
        </w:rPr>
      </w:pPr>
    </w:p>
    <w:p w:rsidR="00863757" w:rsidRDefault="00863757" w:rsidP="00606758">
      <w:pPr>
        <w:ind w:left="360"/>
        <w:rPr>
          <w:sz w:val="28"/>
          <w:szCs w:val="28"/>
        </w:rPr>
      </w:pPr>
      <w:r>
        <w:rPr>
          <w:sz w:val="28"/>
          <w:szCs w:val="28"/>
        </w:rPr>
        <w:t>Fischhoff, B. and A. Davis.  2014.  Communicating scientific uncertainty.  Proceedings of the National Academy of Sciences, Vol. 111, suppl.4, p. 13664-13671.</w:t>
      </w:r>
    </w:p>
    <w:p w:rsidR="00DB7A19" w:rsidRDefault="00DB7A19" w:rsidP="00606758">
      <w:pPr>
        <w:ind w:left="360"/>
        <w:rPr>
          <w:sz w:val="28"/>
          <w:szCs w:val="28"/>
        </w:rPr>
      </w:pPr>
    </w:p>
    <w:p w:rsidR="00DB7A19" w:rsidRDefault="00DB7A19" w:rsidP="00DB7A19">
      <w:pPr>
        <w:ind w:left="360"/>
        <w:rPr>
          <w:sz w:val="28"/>
          <w:szCs w:val="28"/>
        </w:rPr>
      </w:pPr>
      <w:r>
        <w:rPr>
          <w:sz w:val="28"/>
          <w:szCs w:val="28"/>
        </w:rPr>
        <w:t>Gayer, T., J.Hamilton and K.Viscusi.  2000.  Private values of risk tradeoffs at Superfund sites: Housing market evidence on learning about risk.  The Review of Economics and Statistics, Vol. 82, p. 439-451.</w:t>
      </w:r>
    </w:p>
    <w:p w:rsidR="00C01F28" w:rsidRDefault="00C01F28" w:rsidP="00DB7A19">
      <w:pPr>
        <w:ind w:left="360"/>
        <w:rPr>
          <w:sz w:val="28"/>
          <w:szCs w:val="28"/>
        </w:rPr>
      </w:pPr>
    </w:p>
    <w:p w:rsidR="00C01F28" w:rsidRDefault="00C01F28" w:rsidP="00DB7A19">
      <w:pPr>
        <w:ind w:left="360"/>
        <w:rPr>
          <w:sz w:val="28"/>
          <w:szCs w:val="28"/>
        </w:rPr>
      </w:pPr>
      <w:r>
        <w:rPr>
          <w:sz w:val="28"/>
          <w:szCs w:val="28"/>
        </w:rPr>
        <w:t>Girolami, V. et al 2012.  Fatal powering of bees in flight with particulates of neonicotinoids seed coating and humidity implication.  Journal of Applied Entomology, Vol.136, p. 17-26.</w:t>
      </w:r>
    </w:p>
    <w:p w:rsidR="00C01F28" w:rsidRDefault="00C01F28" w:rsidP="00DB7A19">
      <w:pPr>
        <w:ind w:left="360"/>
        <w:rPr>
          <w:sz w:val="28"/>
          <w:szCs w:val="28"/>
        </w:rPr>
      </w:pPr>
    </w:p>
    <w:p w:rsidR="00C01F28" w:rsidRDefault="00C01F28" w:rsidP="00DB7A19">
      <w:pPr>
        <w:ind w:left="360"/>
        <w:rPr>
          <w:sz w:val="28"/>
          <w:szCs w:val="28"/>
        </w:rPr>
      </w:pPr>
      <w:r>
        <w:rPr>
          <w:sz w:val="28"/>
          <w:szCs w:val="28"/>
        </w:rPr>
        <w:t>Godfrey, H et al.  2015.  A restatement of recent advances in the natural science evidence base concerning neonicotinoid insecticides and insect pollinators.  Proceedings of the Royal Society B, Vol. 282, p. 1821.</w:t>
      </w:r>
    </w:p>
    <w:p w:rsidR="00FA7849" w:rsidRDefault="00FA7849" w:rsidP="00606758">
      <w:pPr>
        <w:ind w:left="360"/>
        <w:rPr>
          <w:sz w:val="28"/>
          <w:szCs w:val="28"/>
        </w:rPr>
      </w:pPr>
    </w:p>
    <w:p w:rsidR="00FA7849" w:rsidRDefault="00FA7849" w:rsidP="00606758">
      <w:pPr>
        <w:ind w:left="360"/>
        <w:rPr>
          <w:sz w:val="28"/>
          <w:szCs w:val="28"/>
        </w:rPr>
      </w:pPr>
      <w:r>
        <w:rPr>
          <w:sz w:val="28"/>
          <w:szCs w:val="28"/>
        </w:rPr>
        <w:t>Graham, JD and S.Hsia.  2002.  Europe’s precautionary principle: promise and pitfalls.  Journal of Risk Research, Vol.5, p. 371-390.</w:t>
      </w:r>
    </w:p>
    <w:p w:rsidR="009F5A45" w:rsidRDefault="009F5A45" w:rsidP="00606758">
      <w:pPr>
        <w:ind w:left="360"/>
        <w:rPr>
          <w:sz w:val="28"/>
          <w:szCs w:val="28"/>
        </w:rPr>
      </w:pPr>
    </w:p>
    <w:p w:rsidR="00606758" w:rsidRDefault="00606758" w:rsidP="00606758">
      <w:pPr>
        <w:ind w:left="360"/>
        <w:rPr>
          <w:sz w:val="28"/>
          <w:szCs w:val="28"/>
        </w:rPr>
      </w:pPr>
      <w:r w:rsidRPr="00606758">
        <w:rPr>
          <w:sz w:val="28"/>
          <w:szCs w:val="28"/>
        </w:rPr>
        <w:t>Graham, JD and J.Wiener.  1995.  Risk vs Risk:Tradeoffs in protecting health and the environment.  Cambridge, MA: Harvard University Press.</w:t>
      </w:r>
    </w:p>
    <w:p w:rsidR="000A1587" w:rsidRDefault="000A1587" w:rsidP="00606758">
      <w:pPr>
        <w:ind w:left="360"/>
        <w:rPr>
          <w:sz w:val="28"/>
          <w:szCs w:val="28"/>
        </w:rPr>
      </w:pPr>
    </w:p>
    <w:p w:rsidR="000A1587" w:rsidRDefault="000A1587" w:rsidP="00606758">
      <w:pPr>
        <w:ind w:left="360"/>
        <w:rPr>
          <w:sz w:val="28"/>
          <w:szCs w:val="28"/>
        </w:rPr>
      </w:pPr>
      <w:r>
        <w:rPr>
          <w:sz w:val="28"/>
          <w:szCs w:val="28"/>
        </w:rPr>
        <w:t>Graham, JD and J.Wiener.  2008a.  The precautionary principle and risk-risk tradeoffs: A comment.  Journal of Risk Research, Vol.11, p. 465-474.</w:t>
      </w:r>
    </w:p>
    <w:p w:rsidR="000A1587" w:rsidRDefault="000A1587" w:rsidP="00606758">
      <w:pPr>
        <w:ind w:left="360"/>
        <w:rPr>
          <w:sz w:val="28"/>
          <w:szCs w:val="28"/>
        </w:rPr>
      </w:pPr>
    </w:p>
    <w:p w:rsidR="000A1587" w:rsidRDefault="000A1587" w:rsidP="00606758">
      <w:pPr>
        <w:ind w:left="360"/>
        <w:rPr>
          <w:sz w:val="28"/>
          <w:szCs w:val="28"/>
        </w:rPr>
      </w:pPr>
      <w:r>
        <w:rPr>
          <w:sz w:val="28"/>
          <w:szCs w:val="28"/>
        </w:rPr>
        <w:t>Graham, JD and J.Wiener.  2008b.  Empirical evidence for risk-risk tradeoffs: A rejoinder to Hansen and Tickner.  Journal of Risk Research, Vol. 11, p. 485-490.</w:t>
      </w:r>
    </w:p>
    <w:p w:rsidR="00606758" w:rsidRDefault="00606758" w:rsidP="00606758">
      <w:pPr>
        <w:ind w:left="360"/>
        <w:rPr>
          <w:sz w:val="28"/>
          <w:szCs w:val="28"/>
        </w:rPr>
      </w:pPr>
    </w:p>
    <w:p w:rsidR="00606758" w:rsidRDefault="00606758" w:rsidP="00606758">
      <w:pPr>
        <w:ind w:left="360"/>
        <w:rPr>
          <w:sz w:val="28"/>
          <w:szCs w:val="28"/>
        </w:rPr>
      </w:pPr>
      <w:r>
        <w:rPr>
          <w:sz w:val="28"/>
          <w:szCs w:val="28"/>
        </w:rPr>
        <w:t>Haas, P., R.Keohane and M.Levy eds.  1993.  Institutions for the Earth: Sources of effective international environmental protection.  Cambridge, MA: MIT Press.</w:t>
      </w:r>
    </w:p>
    <w:p w:rsidR="00A72ECE" w:rsidRDefault="00A72ECE" w:rsidP="00606758">
      <w:pPr>
        <w:ind w:left="360"/>
        <w:rPr>
          <w:sz w:val="28"/>
          <w:szCs w:val="28"/>
        </w:rPr>
      </w:pPr>
    </w:p>
    <w:p w:rsidR="00A72ECE" w:rsidRDefault="00A72ECE" w:rsidP="00606758">
      <w:pPr>
        <w:ind w:left="360"/>
        <w:rPr>
          <w:sz w:val="28"/>
          <w:szCs w:val="28"/>
        </w:rPr>
      </w:pPr>
      <w:r>
        <w:rPr>
          <w:sz w:val="28"/>
          <w:szCs w:val="28"/>
        </w:rPr>
        <w:t>Hacker, J.  2002.  The Divided Welfare State: The Battle over Public and Private Social Benefits in the United States.  Cambridge: Cambridge University Press.</w:t>
      </w:r>
    </w:p>
    <w:p w:rsidR="00C01F28" w:rsidRDefault="00C01F28" w:rsidP="00606758">
      <w:pPr>
        <w:ind w:left="360"/>
        <w:rPr>
          <w:sz w:val="28"/>
          <w:szCs w:val="28"/>
        </w:rPr>
      </w:pPr>
    </w:p>
    <w:p w:rsidR="00C01F28" w:rsidRDefault="00C01F28" w:rsidP="00606758">
      <w:pPr>
        <w:ind w:left="360"/>
        <w:rPr>
          <w:sz w:val="28"/>
          <w:szCs w:val="28"/>
        </w:rPr>
      </w:pPr>
      <w:r>
        <w:rPr>
          <w:sz w:val="28"/>
          <w:szCs w:val="28"/>
        </w:rPr>
        <w:t>Hallman, C. et al.  2014.  Declines in insectivorous birds are associated with high neonicotinoid concentrations.  Natyure, Vol. 511, p. 341-343.</w:t>
      </w:r>
    </w:p>
    <w:p w:rsidR="00564AB1" w:rsidRDefault="00564AB1" w:rsidP="00606758">
      <w:pPr>
        <w:ind w:left="360"/>
        <w:rPr>
          <w:sz w:val="28"/>
          <w:szCs w:val="28"/>
        </w:rPr>
      </w:pPr>
    </w:p>
    <w:p w:rsidR="00564AB1" w:rsidRDefault="00564AB1" w:rsidP="00606758">
      <w:pPr>
        <w:ind w:left="360"/>
        <w:rPr>
          <w:sz w:val="28"/>
          <w:szCs w:val="28"/>
        </w:rPr>
      </w:pPr>
      <w:r>
        <w:rPr>
          <w:sz w:val="28"/>
          <w:szCs w:val="28"/>
        </w:rPr>
        <w:t>Hansen, S, M.von Krauss and J.Tickner.  2008.  The precautionary principle and risk-risk tradeoffs.  Journal of Risk Research, Vol.11, p. 423-464.</w:t>
      </w:r>
    </w:p>
    <w:p w:rsidR="00564AB1" w:rsidRDefault="00564AB1" w:rsidP="00606758">
      <w:pPr>
        <w:ind w:left="360"/>
        <w:rPr>
          <w:sz w:val="28"/>
          <w:szCs w:val="28"/>
        </w:rPr>
      </w:pPr>
    </w:p>
    <w:p w:rsidR="00564AB1" w:rsidRDefault="00564AB1" w:rsidP="00606758">
      <w:pPr>
        <w:ind w:left="360"/>
        <w:rPr>
          <w:sz w:val="28"/>
          <w:szCs w:val="28"/>
        </w:rPr>
      </w:pPr>
      <w:r>
        <w:rPr>
          <w:sz w:val="28"/>
          <w:szCs w:val="28"/>
        </w:rPr>
        <w:t>Hansen, S. and J.Tickner.  2008.  Putting risk-risk tradeoffs in perspective: A response to Graham and Wiener.  Journal of Risk Research, Vol. 11, p. 475-483.</w:t>
      </w:r>
    </w:p>
    <w:p w:rsidR="00603F78" w:rsidRDefault="00603F78" w:rsidP="00606758">
      <w:pPr>
        <w:ind w:left="360"/>
        <w:rPr>
          <w:sz w:val="28"/>
          <w:szCs w:val="28"/>
        </w:rPr>
      </w:pPr>
    </w:p>
    <w:p w:rsidR="00603F78" w:rsidRDefault="00603F78" w:rsidP="00606758">
      <w:pPr>
        <w:ind w:left="360"/>
        <w:rPr>
          <w:sz w:val="28"/>
          <w:szCs w:val="28"/>
        </w:rPr>
      </w:pPr>
      <w:r>
        <w:rPr>
          <w:sz w:val="28"/>
          <w:szCs w:val="28"/>
        </w:rPr>
        <w:t>Heads of National Food Agencies.  2012.  Heads of National Food Agencies Working Group on Transparent Use of Risk Assessment in Decision Making: Final report.  London: Heads of European Food Agencies.</w:t>
      </w:r>
    </w:p>
    <w:p w:rsidR="00DB7A19" w:rsidRDefault="00DB7A19" w:rsidP="00606758">
      <w:pPr>
        <w:ind w:left="360"/>
        <w:rPr>
          <w:sz w:val="28"/>
          <w:szCs w:val="28"/>
        </w:rPr>
      </w:pPr>
    </w:p>
    <w:p w:rsidR="00DB7A19" w:rsidRDefault="00DB7A19" w:rsidP="00DB7A19">
      <w:pPr>
        <w:ind w:left="360"/>
        <w:rPr>
          <w:sz w:val="28"/>
          <w:szCs w:val="28"/>
        </w:rPr>
      </w:pPr>
      <w:r>
        <w:rPr>
          <w:sz w:val="28"/>
          <w:szCs w:val="28"/>
        </w:rPr>
        <w:t>Hrudey, S.E. 2009.  Chlorination disinfection by-products, public health risk tradeoffs and me.  Water Research, Vol.43, p. 2057-2092.</w:t>
      </w:r>
    </w:p>
    <w:p w:rsidR="003B17A9" w:rsidRDefault="003B17A9" w:rsidP="00606758">
      <w:pPr>
        <w:ind w:left="360"/>
        <w:rPr>
          <w:sz w:val="28"/>
          <w:szCs w:val="28"/>
        </w:rPr>
      </w:pPr>
    </w:p>
    <w:p w:rsidR="003B17A9" w:rsidRDefault="003B17A9" w:rsidP="00606758">
      <w:pPr>
        <w:ind w:left="360"/>
        <w:rPr>
          <w:sz w:val="28"/>
          <w:szCs w:val="28"/>
        </w:rPr>
      </w:pPr>
      <w:r>
        <w:rPr>
          <w:sz w:val="28"/>
          <w:szCs w:val="28"/>
        </w:rPr>
        <w:t>Institute of Medicine. 2014.  Characterizing and Communicating Uncertainty in the Assessment of Benefits and Risks of Pharmaceutical Products: Workshop summary.  Washington DC: National Academies Press.</w:t>
      </w:r>
    </w:p>
    <w:p w:rsidR="00DB7A19" w:rsidRDefault="00DB7A19" w:rsidP="00606758">
      <w:pPr>
        <w:ind w:left="360"/>
        <w:rPr>
          <w:sz w:val="28"/>
          <w:szCs w:val="28"/>
        </w:rPr>
      </w:pPr>
    </w:p>
    <w:p w:rsidR="00DB7A19" w:rsidRDefault="00DB7A19" w:rsidP="00DB7A19">
      <w:pPr>
        <w:ind w:left="360"/>
        <w:rPr>
          <w:sz w:val="28"/>
          <w:szCs w:val="28"/>
        </w:rPr>
      </w:pPr>
      <w:r>
        <w:rPr>
          <w:sz w:val="28"/>
          <w:szCs w:val="28"/>
        </w:rPr>
        <w:t>Johnson, F.R et al.  2010.  Are gastroenterologists less tolerant of treatment risks than patients? Benefit-risk preferences in Crohn’s disease management. Journal of Management Care Pharmaceuticals, Vol.16, p.616-628.</w:t>
      </w:r>
    </w:p>
    <w:p w:rsidR="00DB7A19" w:rsidRDefault="00DB7A19" w:rsidP="00DB7A19">
      <w:pPr>
        <w:rPr>
          <w:sz w:val="28"/>
          <w:szCs w:val="28"/>
        </w:rPr>
      </w:pPr>
    </w:p>
    <w:p w:rsidR="00863757" w:rsidRDefault="00863757" w:rsidP="00606758">
      <w:pPr>
        <w:ind w:left="360"/>
        <w:rPr>
          <w:sz w:val="28"/>
          <w:szCs w:val="28"/>
        </w:rPr>
      </w:pPr>
    </w:p>
    <w:p w:rsidR="00863757" w:rsidRDefault="00863757" w:rsidP="00606758">
      <w:pPr>
        <w:ind w:left="360"/>
        <w:rPr>
          <w:sz w:val="28"/>
          <w:szCs w:val="28"/>
        </w:rPr>
      </w:pPr>
      <w:r>
        <w:rPr>
          <w:sz w:val="28"/>
          <w:szCs w:val="28"/>
        </w:rPr>
        <w:t>Kahneman, D.  2011.  Thinking Fast and Slow.  New York: Farrar Giroux and Strauss.</w:t>
      </w:r>
    </w:p>
    <w:p w:rsidR="00DB7A19" w:rsidRDefault="00DB7A19" w:rsidP="00606758">
      <w:pPr>
        <w:ind w:left="360"/>
        <w:rPr>
          <w:sz w:val="28"/>
          <w:szCs w:val="28"/>
        </w:rPr>
      </w:pPr>
    </w:p>
    <w:p w:rsidR="00DB7A19" w:rsidRDefault="00DB7A19" w:rsidP="00DB7A19">
      <w:pPr>
        <w:ind w:left="360"/>
        <w:rPr>
          <w:sz w:val="28"/>
          <w:szCs w:val="28"/>
        </w:rPr>
      </w:pPr>
      <w:r>
        <w:rPr>
          <w:sz w:val="28"/>
          <w:szCs w:val="28"/>
        </w:rPr>
        <w:t>Kasperson, R., O.Renn, P.Slovic et al.  1988.  The social amplification of risk: A conceptual framework.  Risk Analysis, Vol.8, p.178-187.</w:t>
      </w:r>
    </w:p>
    <w:p w:rsidR="00D258D8" w:rsidRDefault="00D258D8" w:rsidP="00606758">
      <w:pPr>
        <w:ind w:left="360"/>
        <w:rPr>
          <w:sz w:val="28"/>
          <w:szCs w:val="28"/>
        </w:rPr>
      </w:pPr>
    </w:p>
    <w:p w:rsidR="00D258D8" w:rsidRDefault="00D258D8" w:rsidP="00606758">
      <w:pPr>
        <w:ind w:left="360"/>
        <w:rPr>
          <w:sz w:val="28"/>
          <w:szCs w:val="28"/>
        </w:rPr>
      </w:pPr>
      <w:r>
        <w:rPr>
          <w:sz w:val="28"/>
          <w:szCs w:val="28"/>
        </w:rPr>
        <w:t>Keeney, R. and D. von Winterfeldt.  1986.  Why indirect health risks of regulations should be examined.  Interfaces, Vol. 16, p. 13-27.</w:t>
      </w:r>
    </w:p>
    <w:p w:rsidR="00DA0EB5" w:rsidRDefault="00DA0EB5" w:rsidP="00606758">
      <w:pPr>
        <w:ind w:left="360"/>
        <w:rPr>
          <w:sz w:val="28"/>
          <w:szCs w:val="28"/>
        </w:rPr>
      </w:pPr>
    </w:p>
    <w:p w:rsidR="00DA0EB5" w:rsidRDefault="00DA0EB5" w:rsidP="00606758">
      <w:pPr>
        <w:ind w:left="360"/>
        <w:rPr>
          <w:sz w:val="28"/>
          <w:szCs w:val="28"/>
        </w:rPr>
      </w:pPr>
      <w:r>
        <w:rPr>
          <w:sz w:val="28"/>
          <w:szCs w:val="28"/>
        </w:rPr>
        <w:t>KM Miljoteknik.  2000.  Utvadering av 1997 ars Energipolitiska Program.  Helsingborg, Sweden: KM Miljoteknik.</w:t>
      </w:r>
    </w:p>
    <w:p w:rsidR="00D1048B" w:rsidRDefault="00D1048B" w:rsidP="00606758">
      <w:pPr>
        <w:ind w:left="360"/>
        <w:rPr>
          <w:sz w:val="28"/>
          <w:szCs w:val="28"/>
        </w:rPr>
      </w:pPr>
    </w:p>
    <w:p w:rsidR="00D1048B" w:rsidRDefault="00D1048B" w:rsidP="00606758">
      <w:pPr>
        <w:ind w:left="360"/>
        <w:rPr>
          <w:sz w:val="28"/>
          <w:szCs w:val="28"/>
        </w:rPr>
      </w:pPr>
      <w:r>
        <w:rPr>
          <w:sz w:val="28"/>
          <w:szCs w:val="28"/>
        </w:rPr>
        <w:t>Krier, J. and M. Brownstein.  1992.  On integrated pollution control.  Environmental Law, vol.22, p.119-138.</w:t>
      </w:r>
    </w:p>
    <w:p w:rsidR="00DB7A19" w:rsidRDefault="00DB7A19" w:rsidP="00606758">
      <w:pPr>
        <w:ind w:left="360"/>
        <w:rPr>
          <w:sz w:val="28"/>
          <w:szCs w:val="28"/>
        </w:rPr>
      </w:pPr>
    </w:p>
    <w:p w:rsidR="00DB7A19" w:rsidRDefault="00DB7A19" w:rsidP="00DB7A19">
      <w:pPr>
        <w:ind w:left="360"/>
        <w:rPr>
          <w:sz w:val="28"/>
          <w:szCs w:val="28"/>
        </w:rPr>
      </w:pPr>
      <w:r>
        <w:rPr>
          <w:sz w:val="28"/>
          <w:szCs w:val="28"/>
        </w:rPr>
        <w:t>Krupnick, A. and M.Cropper.  1992.  The effect of information on health risk valuations.  Journal of Risk and Uncertainty, Vol.5, p. 29-48.</w:t>
      </w:r>
    </w:p>
    <w:p w:rsidR="00DB7A19" w:rsidRDefault="00DB7A19" w:rsidP="00DB7A19">
      <w:pPr>
        <w:rPr>
          <w:sz w:val="28"/>
          <w:szCs w:val="28"/>
        </w:rPr>
      </w:pPr>
    </w:p>
    <w:p w:rsidR="009F5A45" w:rsidRDefault="009F5A45" w:rsidP="00606758">
      <w:pPr>
        <w:ind w:left="360"/>
        <w:rPr>
          <w:sz w:val="28"/>
          <w:szCs w:val="28"/>
        </w:rPr>
      </w:pPr>
      <w:r>
        <w:rPr>
          <w:sz w:val="28"/>
          <w:szCs w:val="28"/>
        </w:rPr>
        <w:t>Lave, L.  1981.  The Strategy of Social Regulation: Decision frameworks for policy.  Washington DC: Brookings.</w:t>
      </w:r>
    </w:p>
    <w:p w:rsidR="00606758" w:rsidRDefault="00606758" w:rsidP="00606758">
      <w:pPr>
        <w:ind w:left="360"/>
        <w:rPr>
          <w:sz w:val="28"/>
          <w:szCs w:val="28"/>
        </w:rPr>
      </w:pPr>
    </w:p>
    <w:p w:rsidR="00606758" w:rsidRDefault="00606758" w:rsidP="00606758">
      <w:pPr>
        <w:ind w:left="360"/>
        <w:rPr>
          <w:sz w:val="28"/>
          <w:szCs w:val="28"/>
        </w:rPr>
      </w:pPr>
      <w:r>
        <w:rPr>
          <w:sz w:val="28"/>
          <w:szCs w:val="28"/>
        </w:rPr>
        <w:t>Lave, L. and E.Males.  1989.  At risk: The framework for regulation toxic substances.  Environmental Science and Technology, Vol. 23, p.386-391.</w:t>
      </w:r>
    </w:p>
    <w:p w:rsidR="00DB7A19" w:rsidRDefault="00DB7A19" w:rsidP="00606758">
      <w:pPr>
        <w:ind w:left="360"/>
        <w:rPr>
          <w:sz w:val="28"/>
          <w:szCs w:val="28"/>
        </w:rPr>
      </w:pPr>
    </w:p>
    <w:p w:rsidR="00DB7A19" w:rsidRDefault="00DB7A19" w:rsidP="00DB7A19">
      <w:pPr>
        <w:ind w:left="360"/>
        <w:rPr>
          <w:sz w:val="28"/>
          <w:szCs w:val="28"/>
        </w:rPr>
      </w:pPr>
      <w:r>
        <w:rPr>
          <w:sz w:val="28"/>
          <w:szCs w:val="28"/>
        </w:rPr>
        <w:t>Lernert, L., D.Markowit and T.Blaschke.  1993.  Primum non nocere? Valuing of the risk of drug toxicity in therapeutic decision making.  Clinical Pharmacology Therapeutics, Vol.53, p.285-291.</w:t>
      </w:r>
    </w:p>
    <w:p w:rsidR="00DB7A19" w:rsidRDefault="00DB7A19" w:rsidP="00DB7A19">
      <w:pPr>
        <w:rPr>
          <w:sz w:val="28"/>
          <w:szCs w:val="28"/>
        </w:rPr>
      </w:pPr>
    </w:p>
    <w:p w:rsidR="00DB7A19" w:rsidRDefault="00DB7A19" w:rsidP="00DB7A19">
      <w:pPr>
        <w:ind w:left="360"/>
        <w:rPr>
          <w:sz w:val="28"/>
          <w:szCs w:val="28"/>
        </w:rPr>
      </w:pPr>
      <w:r>
        <w:rPr>
          <w:sz w:val="28"/>
          <w:szCs w:val="28"/>
        </w:rPr>
        <w:t>Lofstedt, R.E. 1993.  The Dilemma of Swedish Energy Policy.  Aldershot: Avebury Press.</w:t>
      </w:r>
    </w:p>
    <w:p w:rsidR="00DA0EB5" w:rsidRDefault="00DA0EB5" w:rsidP="00606758">
      <w:pPr>
        <w:ind w:left="360"/>
        <w:rPr>
          <w:sz w:val="28"/>
          <w:szCs w:val="28"/>
        </w:rPr>
      </w:pPr>
    </w:p>
    <w:p w:rsidR="00DA0EB5" w:rsidRDefault="00DA0EB5" w:rsidP="00606758">
      <w:pPr>
        <w:ind w:left="360"/>
        <w:rPr>
          <w:sz w:val="28"/>
          <w:szCs w:val="28"/>
        </w:rPr>
      </w:pPr>
      <w:r>
        <w:rPr>
          <w:sz w:val="28"/>
          <w:szCs w:val="28"/>
        </w:rPr>
        <w:t>Lofstedt, RE.  1996.  Risk communication: The Barseback nuclear power case.  Energy Policy, Vol. 24, p. 689-696.</w:t>
      </w:r>
    </w:p>
    <w:p w:rsidR="00DA0EB5" w:rsidRDefault="00DA0EB5" w:rsidP="00606758">
      <w:pPr>
        <w:ind w:left="360"/>
        <w:rPr>
          <w:sz w:val="28"/>
          <w:szCs w:val="28"/>
        </w:rPr>
      </w:pPr>
    </w:p>
    <w:p w:rsidR="00DA0EB5" w:rsidRDefault="00DA0EB5" w:rsidP="00606758">
      <w:pPr>
        <w:ind w:left="360"/>
        <w:rPr>
          <w:sz w:val="28"/>
          <w:szCs w:val="28"/>
        </w:rPr>
      </w:pPr>
      <w:r>
        <w:rPr>
          <w:sz w:val="28"/>
          <w:szCs w:val="28"/>
        </w:rPr>
        <w:t>Lofstedt, RE.  2001.  Playing politics with energy policy: The phase-out of nuclear power in Sweden.  Environment, Vol.43, n.4, p. 20-33.</w:t>
      </w:r>
    </w:p>
    <w:p w:rsidR="00606758" w:rsidRDefault="00606758" w:rsidP="00606758">
      <w:pPr>
        <w:ind w:left="360"/>
        <w:rPr>
          <w:sz w:val="28"/>
          <w:szCs w:val="28"/>
        </w:rPr>
      </w:pPr>
    </w:p>
    <w:p w:rsidR="00606758" w:rsidRDefault="00606758" w:rsidP="00606758">
      <w:pPr>
        <w:ind w:left="360"/>
        <w:rPr>
          <w:sz w:val="28"/>
          <w:szCs w:val="28"/>
        </w:rPr>
      </w:pPr>
      <w:r>
        <w:rPr>
          <w:sz w:val="28"/>
          <w:szCs w:val="28"/>
        </w:rPr>
        <w:t>Lofstedt, R.E. 2005.  Risk Management in Post Trust Societies.  Basingstoke: Palgrave/MacMillan.</w:t>
      </w:r>
    </w:p>
    <w:p w:rsidR="00DB7A19" w:rsidRDefault="00DB7A19" w:rsidP="00606758">
      <w:pPr>
        <w:ind w:left="360"/>
        <w:rPr>
          <w:sz w:val="28"/>
          <w:szCs w:val="28"/>
        </w:rPr>
      </w:pPr>
    </w:p>
    <w:p w:rsidR="00DB7A19" w:rsidRDefault="00DB7A19" w:rsidP="00DB7A19">
      <w:pPr>
        <w:ind w:left="360"/>
        <w:rPr>
          <w:sz w:val="28"/>
          <w:szCs w:val="28"/>
        </w:rPr>
      </w:pPr>
      <w:r>
        <w:rPr>
          <w:sz w:val="28"/>
          <w:szCs w:val="28"/>
        </w:rPr>
        <w:t>Lofstedt, R.E.  2013.  The informal European Parliamentary Working Group on Risk-History, remit and future plans: Personal view.  Risk Analysis, Vol.33, p.1182-1187.</w:t>
      </w:r>
    </w:p>
    <w:p w:rsidR="00FA32EA" w:rsidRDefault="00FA32EA" w:rsidP="00606758">
      <w:pPr>
        <w:ind w:left="360"/>
        <w:rPr>
          <w:sz w:val="28"/>
          <w:szCs w:val="28"/>
        </w:rPr>
      </w:pPr>
    </w:p>
    <w:p w:rsidR="00FA32EA" w:rsidRDefault="00FA32EA" w:rsidP="00606758">
      <w:pPr>
        <w:ind w:left="360"/>
        <w:rPr>
          <w:sz w:val="28"/>
          <w:szCs w:val="28"/>
        </w:rPr>
      </w:pPr>
      <w:r>
        <w:rPr>
          <w:sz w:val="28"/>
          <w:szCs w:val="28"/>
        </w:rPr>
        <w:t>Lofstedt, R.E. 2014.  Chemical control policy in Sweden, What is next?  European Journal of Risk Regulation, Vol. 5, p. 351-358.</w:t>
      </w:r>
    </w:p>
    <w:p w:rsidR="00606758" w:rsidRDefault="00606758" w:rsidP="00606758">
      <w:pPr>
        <w:ind w:left="360"/>
        <w:rPr>
          <w:sz w:val="28"/>
          <w:szCs w:val="28"/>
        </w:rPr>
      </w:pPr>
    </w:p>
    <w:p w:rsidR="00606758" w:rsidRDefault="00606758" w:rsidP="00606758">
      <w:pPr>
        <w:ind w:left="360"/>
        <w:rPr>
          <w:sz w:val="28"/>
          <w:szCs w:val="28"/>
        </w:rPr>
      </w:pPr>
      <w:r>
        <w:rPr>
          <w:sz w:val="28"/>
          <w:szCs w:val="28"/>
        </w:rPr>
        <w:t>Majone, G.  1996.  Regulating Europe.  London: Routledge.</w:t>
      </w:r>
    </w:p>
    <w:p w:rsidR="00606758" w:rsidRDefault="00606758" w:rsidP="00606758">
      <w:pPr>
        <w:ind w:left="360"/>
        <w:rPr>
          <w:sz w:val="28"/>
          <w:szCs w:val="28"/>
        </w:rPr>
      </w:pPr>
    </w:p>
    <w:p w:rsidR="00606758" w:rsidRDefault="00606758" w:rsidP="00606758">
      <w:pPr>
        <w:ind w:left="360"/>
        <w:rPr>
          <w:sz w:val="28"/>
          <w:szCs w:val="28"/>
        </w:rPr>
      </w:pPr>
      <w:r>
        <w:rPr>
          <w:sz w:val="28"/>
          <w:szCs w:val="28"/>
        </w:rPr>
        <w:t>Marchant, G.E. and K. Mossman.  2004.  Arbitrary and Capricious: The precautionary principle in the European Union courts.  Washington DC: American Enterprise Institute.</w:t>
      </w:r>
    </w:p>
    <w:p w:rsidR="00AD2767" w:rsidRDefault="00AD2767" w:rsidP="00606758">
      <w:pPr>
        <w:ind w:left="360"/>
        <w:rPr>
          <w:sz w:val="28"/>
          <w:szCs w:val="28"/>
        </w:rPr>
      </w:pPr>
    </w:p>
    <w:p w:rsidR="00AD2767" w:rsidRDefault="00AD2767" w:rsidP="00606758">
      <w:pPr>
        <w:ind w:left="360"/>
        <w:rPr>
          <w:sz w:val="28"/>
          <w:szCs w:val="28"/>
        </w:rPr>
      </w:pPr>
      <w:r>
        <w:rPr>
          <w:sz w:val="28"/>
          <w:szCs w:val="28"/>
        </w:rPr>
        <w:t>Mendelson, N. and J.Wiener.  2014.  Responding to agency avoidance of OIRA.  Harvard Journal of Law and Policy, Vol. 37, p. 447-521.</w:t>
      </w:r>
    </w:p>
    <w:p w:rsidR="00C01F28" w:rsidRDefault="00C01F28" w:rsidP="00606758">
      <w:pPr>
        <w:ind w:left="360"/>
        <w:rPr>
          <w:sz w:val="28"/>
          <w:szCs w:val="28"/>
        </w:rPr>
      </w:pPr>
    </w:p>
    <w:p w:rsidR="00C01F28" w:rsidRDefault="00C01F28" w:rsidP="00606758">
      <w:pPr>
        <w:ind w:left="360"/>
        <w:rPr>
          <w:sz w:val="28"/>
          <w:szCs w:val="28"/>
        </w:rPr>
      </w:pPr>
      <w:r>
        <w:rPr>
          <w:sz w:val="28"/>
          <w:szCs w:val="28"/>
        </w:rPr>
        <w:t xml:space="preserve">Miller, H.  2015.  The science of things that aren’t so should not drive public policy.  Forbes, </w:t>
      </w:r>
      <w:r w:rsidR="00706C7B">
        <w:rPr>
          <w:sz w:val="28"/>
          <w:szCs w:val="28"/>
        </w:rPr>
        <w:t>28</w:t>
      </w:r>
      <w:r w:rsidR="00706C7B" w:rsidRPr="00706C7B">
        <w:rPr>
          <w:sz w:val="28"/>
          <w:szCs w:val="28"/>
          <w:vertAlign w:val="superscript"/>
        </w:rPr>
        <w:t>th</w:t>
      </w:r>
      <w:r w:rsidR="00706C7B">
        <w:rPr>
          <w:sz w:val="28"/>
          <w:szCs w:val="28"/>
        </w:rPr>
        <w:t xml:space="preserve"> January.</w:t>
      </w:r>
    </w:p>
    <w:p w:rsidR="00901295" w:rsidRDefault="00901295" w:rsidP="00606758">
      <w:pPr>
        <w:ind w:left="360"/>
        <w:rPr>
          <w:sz w:val="28"/>
          <w:szCs w:val="28"/>
        </w:rPr>
      </w:pPr>
    </w:p>
    <w:p w:rsidR="00901295" w:rsidRDefault="00901295" w:rsidP="00606758">
      <w:pPr>
        <w:ind w:left="360"/>
        <w:rPr>
          <w:sz w:val="28"/>
          <w:szCs w:val="28"/>
        </w:rPr>
      </w:pPr>
      <w:r>
        <w:rPr>
          <w:sz w:val="28"/>
          <w:szCs w:val="28"/>
        </w:rPr>
        <w:t>Miller, C., M.Karpiski and M.Jezewski.  2012.  Relapsing-remitting multiple sclerosis patients’ experience with natalizumab.  International Journal of MS Care, Vol.14, p. 39-44.</w:t>
      </w:r>
    </w:p>
    <w:p w:rsidR="00FF3AD7" w:rsidRDefault="00FF3AD7" w:rsidP="00606758">
      <w:pPr>
        <w:ind w:left="360"/>
        <w:rPr>
          <w:sz w:val="28"/>
          <w:szCs w:val="28"/>
        </w:rPr>
      </w:pPr>
    </w:p>
    <w:p w:rsidR="00DB7A19" w:rsidRDefault="00DB7A19" w:rsidP="00DB7A19">
      <w:pPr>
        <w:ind w:left="360"/>
        <w:rPr>
          <w:sz w:val="28"/>
          <w:szCs w:val="28"/>
        </w:rPr>
      </w:pPr>
      <w:r>
        <w:rPr>
          <w:sz w:val="28"/>
          <w:szCs w:val="28"/>
        </w:rPr>
        <w:t>Morgan, G., B.Fischhoff, A.Bostrom and C.Atman.  2001.  Risk Communication: A mental models approach.  Cambridge: Cambridge University Press.</w:t>
      </w:r>
    </w:p>
    <w:p w:rsidR="00706C7B" w:rsidRDefault="00706C7B" w:rsidP="00DB7A19">
      <w:pPr>
        <w:ind w:left="360"/>
        <w:rPr>
          <w:sz w:val="28"/>
          <w:szCs w:val="28"/>
        </w:rPr>
      </w:pPr>
    </w:p>
    <w:p w:rsidR="00706C7B" w:rsidRDefault="00706C7B" w:rsidP="00DB7A19">
      <w:pPr>
        <w:ind w:left="360"/>
        <w:rPr>
          <w:sz w:val="28"/>
          <w:szCs w:val="28"/>
        </w:rPr>
      </w:pPr>
      <w:r>
        <w:rPr>
          <w:sz w:val="28"/>
          <w:szCs w:val="28"/>
        </w:rPr>
        <w:t>Neumann, P. and N. Carreck.  2010.  Honey bee colony losses.  Journal of Agricultural Research, Vol. 49, p.1-6.</w:t>
      </w:r>
    </w:p>
    <w:p w:rsidR="00DB7A19" w:rsidRDefault="00DB7A19" w:rsidP="00DB7A19">
      <w:pPr>
        <w:rPr>
          <w:sz w:val="28"/>
          <w:szCs w:val="28"/>
        </w:rPr>
      </w:pPr>
    </w:p>
    <w:p w:rsidR="00DB7A19" w:rsidRPr="001654BB" w:rsidRDefault="00DB7A19" w:rsidP="00DB7A19">
      <w:pPr>
        <w:ind w:left="360"/>
        <w:rPr>
          <w:sz w:val="28"/>
          <w:szCs w:val="28"/>
        </w:rPr>
      </w:pPr>
      <w:r>
        <w:rPr>
          <w:sz w:val="28"/>
          <w:szCs w:val="28"/>
        </w:rPr>
        <w:t>OMB 2003.  Informing Regulatory Decisions.  Report to Congress on the costs and benefits of Federal regulations and unfunded mandates on state, local and trail entities.  62. Washington DC: OMB.</w:t>
      </w:r>
    </w:p>
    <w:p w:rsidR="00DB7A19" w:rsidRDefault="00DB7A19" w:rsidP="00DB7A19">
      <w:pPr>
        <w:rPr>
          <w:sz w:val="28"/>
          <w:szCs w:val="28"/>
        </w:rPr>
      </w:pPr>
    </w:p>
    <w:p w:rsidR="00DB7A19" w:rsidRDefault="00DB7A19" w:rsidP="00DB7A19">
      <w:pPr>
        <w:ind w:left="360"/>
        <w:rPr>
          <w:sz w:val="28"/>
          <w:szCs w:val="28"/>
        </w:rPr>
      </w:pPr>
      <w:r>
        <w:rPr>
          <w:sz w:val="28"/>
          <w:szCs w:val="28"/>
        </w:rPr>
        <w:t>Persson, G. and O.Johansson.  1997.  Vi fortsatter att ta ansvar for Sverige.  Dagens Nyheter, 5</w:t>
      </w:r>
      <w:r w:rsidRPr="003424FF">
        <w:rPr>
          <w:sz w:val="28"/>
          <w:szCs w:val="28"/>
          <w:vertAlign w:val="superscript"/>
        </w:rPr>
        <w:t>th</w:t>
      </w:r>
      <w:r>
        <w:rPr>
          <w:sz w:val="28"/>
          <w:szCs w:val="28"/>
        </w:rPr>
        <w:t xml:space="preserve"> February, p. A4.</w:t>
      </w:r>
    </w:p>
    <w:p w:rsidR="00BC03E1" w:rsidRDefault="00BC03E1" w:rsidP="00DB7A19">
      <w:pPr>
        <w:ind w:left="360"/>
        <w:rPr>
          <w:sz w:val="28"/>
          <w:szCs w:val="28"/>
        </w:rPr>
      </w:pPr>
    </w:p>
    <w:p w:rsidR="00BC03E1" w:rsidRPr="00BC03E1" w:rsidRDefault="00BC03E1" w:rsidP="00DB7A19">
      <w:pPr>
        <w:ind w:left="360"/>
        <w:rPr>
          <w:sz w:val="28"/>
          <w:szCs w:val="28"/>
        </w:rPr>
      </w:pPr>
      <w:r>
        <w:rPr>
          <w:sz w:val="28"/>
          <w:szCs w:val="28"/>
        </w:rPr>
        <w:t xml:space="preserve">Pettis, J., D.Van Engeldorp, J.Johnson and G.Dively.  2012.  Pesticide exposure in honey bees results in increased levels of the gut pathogen </w:t>
      </w:r>
      <w:r>
        <w:rPr>
          <w:i/>
          <w:sz w:val="28"/>
          <w:szCs w:val="28"/>
        </w:rPr>
        <w:t>Nosema</w:t>
      </w:r>
      <w:r>
        <w:rPr>
          <w:sz w:val="28"/>
          <w:szCs w:val="28"/>
        </w:rPr>
        <w:t>.  Naturwissenchaften, Vol.99, p. 153-158.</w:t>
      </w:r>
    </w:p>
    <w:p w:rsidR="00DB7A19" w:rsidRDefault="00DB7A19" w:rsidP="00DB7A19">
      <w:pPr>
        <w:rPr>
          <w:sz w:val="28"/>
          <w:szCs w:val="28"/>
        </w:rPr>
      </w:pPr>
    </w:p>
    <w:p w:rsidR="00DB7A19" w:rsidRDefault="00DB7A19" w:rsidP="00DB7A19">
      <w:pPr>
        <w:ind w:left="360"/>
        <w:rPr>
          <w:sz w:val="28"/>
          <w:szCs w:val="28"/>
        </w:rPr>
      </w:pPr>
      <w:r>
        <w:rPr>
          <w:sz w:val="28"/>
          <w:szCs w:val="28"/>
        </w:rPr>
        <w:t>Pidgeon, N., R.Kasperson and P.Slovic.  2003.  The social amplification of risk.  Cambridge: Cambridge University Press.</w:t>
      </w:r>
    </w:p>
    <w:p w:rsidR="00DB7A19" w:rsidRDefault="00DB7A19" w:rsidP="00606758">
      <w:pPr>
        <w:ind w:left="360"/>
        <w:rPr>
          <w:sz w:val="28"/>
          <w:szCs w:val="28"/>
        </w:rPr>
      </w:pPr>
    </w:p>
    <w:p w:rsidR="00FF3AD7" w:rsidRDefault="00FF3AD7" w:rsidP="00606758">
      <w:pPr>
        <w:ind w:left="360"/>
        <w:rPr>
          <w:sz w:val="28"/>
          <w:szCs w:val="28"/>
        </w:rPr>
      </w:pPr>
      <w:r>
        <w:rPr>
          <w:sz w:val="28"/>
          <w:szCs w:val="28"/>
        </w:rPr>
        <w:t>Pidgeon, N. et al 2008.  Climate change or nuclear power? Now thanks! A quantitative study of public perceptions and risk framing in Britain.  Global Environmental Change, XXXX</w:t>
      </w:r>
    </w:p>
    <w:p w:rsidR="00863757" w:rsidRDefault="00863757" w:rsidP="00606758">
      <w:pPr>
        <w:ind w:left="360"/>
        <w:rPr>
          <w:sz w:val="28"/>
          <w:szCs w:val="28"/>
        </w:rPr>
      </w:pPr>
    </w:p>
    <w:p w:rsidR="00863757" w:rsidRDefault="00863757" w:rsidP="00606758">
      <w:pPr>
        <w:ind w:left="360"/>
        <w:rPr>
          <w:sz w:val="28"/>
          <w:szCs w:val="28"/>
        </w:rPr>
      </w:pPr>
      <w:r>
        <w:rPr>
          <w:sz w:val="28"/>
          <w:szCs w:val="28"/>
        </w:rPr>
        <w:t>Pierson, P.  2004.  Politics in Time: History, institutions and social analysis.  Princeton: Princeton University Press.</w:t>
      </w:r>
    </w:p>
    <w:p w:rsidR="00FD04D9" w:rsidRDefault="00FD04D9" w:rsidP="00606758">
      <w:pPr>
        <w:ind w:left="360"/>
        <w:rPr>
          <w:sz w:val="28"/>
          <w:szCs w:val="28"/>
        </w:rPr>
      </w:pPr>
    </w:p>
    <w:p w:rsidR="00FD04D9" w:rsidRDefault="00FD04D9" w:rsidP="00606758">
      <w:pPr>
        <w:ind w:left="360"/>
        <w:rPr>
          <w:sz w:val="28"/>
          <w:szCs w:val="28"/>
        </w:rPr>
      </w:pPr>
      <w:r>
        <w:rPr>
          <w:sz w:val="28"/>
          <w:szCs w:val="28"/>
        </w:rPr>
        <w:t>Revetz, R. and M.Livermore. 2008.  Retaking Rationality: How cost-benefit analysis can better protect the environment and our health.  New York: Oxford University Press.</w:t>
      </w:r>
    </w:p>
    <w:p w:rsidR="00DB7A19" w:rsidRDefault="00DB7A19" w:rsidP="00606758">
      <w:pPr>
        <w:ind w:left="360"/>
        <w:rPr>
          <w:sz w:val="28"/>
          <w:szCs w:val="28"/>
        </w:rPr>
      </w:pPr>
    </w:p>
    <w:p w:rsidR="00DB7A19" w:rsidRDefault="00DB7A19" w:rsidP="00DB7A19">
      <w:pPr>
        <w:ind w:left="360"/>
        <w:rPr>
          <w:sz w:val="28"/>
          <w:szCs w:val="28"/>
        </w:rPr>
      </w:pPr>
      <w:r>
        <w:rPr>
          <w:sz w:val="28"/>
          <w:szCs w:val="28"/>
        </w:rPr>
        <w:t>Robinson, C., N.Holland, D.Leloup and H.Muilerman.  2013.  Conflicts of interest at the European Food Safety Authority erode public confidence.  Journal of Epidemiology Community Health doi:10.1136/jech-2012-202185.</w:t>
      </w:r>
    </w:p>
    <w:p w:rsidR="00BC03E1" w:rsidRDefault="00BC03E1" w:rsidP="00DB7A19">
      <w:pPr>
        <w:ind w:left="360"/>
        <w:rPr>
          <w:sz w:val="28"/>
          <w:szCs w:val="28"/>
        </w:rPr>
      </w:pPr>
    </w:p>
    <w:p w:rsidR="00BC03E1" w:rsidRDefault="00BC03E1" w:rsidP="00DB7A19">
      <w:pPr>
        <w:ind w:left="360"/>
        <w:rPr>
          <w:sz w:val="28"/>
          <w:szCs w:val="28"/>
        </w:rPr>
      </w:pPr>
      <w:r>
        <w:rPr>
          <w:sz w:val="28"/>
          <w:szCs w:val="28"/>
        </w:rPr>
        <w:t>Rodgers, P.  2014.  Beegate: Science scandal or smear campaign? Forbes, 4</w:t>
      </w:r>
      <w:r w:rsidRPr="00BC03E1">
        <w:rPr>
          <w:sz w:val="28"/>
          <w:szCs w:val="28"/>
          <w:vertAlign w:val="superscript"/>
        </w:rPr>
        <w:t>th</w:t>
      </w:r>
      <w:r>
        <w:rPr>
          <w:sz w:val="28"/>
          <w:szCs w:val="28"/>
        </w:rPr>
        <w:t xml:space="preserve"> December.  </w:t>
      </w:r>
    </w:p>
    <w:p w:rsidR="00E53EA3" w:rsidRDefault="00E53EA3" w:rsidP="00DB7A19">
      <w:pPr>
        <w:ind w:left="360"/>
        <w:rPr>
          <w:sz w:val="28"/>
          <w:szCs w:val="28"/>
        </w:rPr>
      </w:pPr>
    </w:p>
    <w:p w:rsidR="00E53EA3" w:rsidRDefault="00E53EA3" w:rsidP="00DB7A19">
      <w:pPr>
        <w:ind w:left="360"/>
        <w:rPr>
          <w:sz w:val="28"/>
          <w:szCs w:val="28"/>
        </w:rPr>
      </w:pPr>
      <w:r>
        <w:rPr>
          <w:sz w:val="28"/>
          <w:szCs w:val="28"/>
        </w:rPr>
        <w:t>Rundlof, M., G.Andresson, R.Bommarco et al.  2015.  Seed coating with a neonictotinoid insecticide negatively affects wild bees.  Nature Research Letter, published online 22</w:t>
      </w:r>
      <w:r w:rsidRPr="00E53EA3">
        <w:rPr>
          <w:sz w:val="28"/>
          <w:szCs w:val="28"/>
          <w:vertAlign w:val="superscript"/>
        </w:rPr>
        <w:t>nd</w:t>
      </w:r>
      <w:r>
        <w:rPr>
          <w:sz w:val="28"/>
          <w:szCs w:val="28"/>
        </w:rPr>
        <w:t xml:space="preserve"> April.</w:t>
      </w:r>
    </w:p>
    <w:p w:rsidR="00DB7A19" w:rsidRDefault="00DB7A19" w:rsidP="00DB7A19">
      <w:pPr>
        <w:rPr>
          <w:sz w:val="28"/>
          <w:szCs w:val="28"/>
        </w:rPr>
      </w:pPr>
    </w:p>
    <w:p w:rsidR="00927C9E" w:rsidRDefault="00927C9E" w:rsidP="00927C9E">
      <w:pPr>
        <w:ind w:left="360"/>
        <w:rPr>
          <w:sz w:val="28"/>
          <w:szCs w:val="28"/>
        </w:rPr>
      </w:pPr>
      <w:r>
        <w:rPr>
          <w:sz w:val="28"/>
          <w:szCs w:val="28"/>
        </w:rPr>
        <w:t>Sahr, R. 1985.  The Politics of Energy Policy Change in Sweden.  Ann Arbour: University of Michigan Press.</w:t>
      </w:r>
    </w:p>
    <w:p w:rsidR="00927C9E" w:rsidRDefault="00927C9E" w:rsidP="00927C9E">
      <w:pPr>
        <w:rPr>
          <w:sz w:val="28"/>
          <w:szCs w:val="28"/>
        </w:rPr>
      </w:pPr>
    </w:p>
    <w:p w:rsidR="00B75DEC" w:rsidRDefault="00B75DEC" w:rsidP="00606758">
      <w:pPr>
        <w:ind w:left="360"/>
        <w:rPr>
          <w:sz w:val="28"/>
          <w:szCs w:val="28"/>
        </w:rPr>
      </w:pPr>
      <w:r>
        <w:rPr>
          <w:sz w:val="28"/>
          <w:szCs w:val="28"/>
        </w:rPr>
        <w:t>Schapiro, M.  2007.  Exposed: The toxic chemistry of everyday products and what’s at stake for American power.  White River Junction, VT: Chelsea Green Publishing.</w:t>
      </w:r>
    </w:p>
    <w:p w:rsidR="00606758" w:rsidRDefault="00606758" w:rsidP="00606758">
      <w:pPr>
        <w:ind w:left="360"/>
        <w:rPr>
          <w:sz w:val="28"/>
          <w:szCs w:val="28"/>
        </w:rPr>
      </w:pPr>
    </w:p>
    <w:p w:rsidR="00606758" w:rsidRDefault="00606758" w:rsidP="00606758">
      <w:pPr>
        <w:ind w:left="360"/>
        <w:rPr>
          <w:sz w:val="28"/>
          <w:szCs w:val="28"/>
        </w:rPr>
      </w:pPr>
      <w:r>
        <w:rPr>
          <w:sz w:val="28"/>
          <w:szCs w:val="28"/>
        </w:rPr>
        <w:t>Scharpf, F.  1995.  Negative and positive integration in the political economy of European welfare states.  Jean Monnet Chair Papers 28.  Florence: European University Institute.</w:t>
      </w:r>
    </w:p>
    <w:p w:rsidR="00863757" w:rsidRDefault="00863757" w:rsidP="00606758">
      <w:pPr>
        <w:ind w:left="360"/>
        <w:rPr>
          <w:sz w:val="28"/>
          <w:szCs w:val="28"/>
        </w:rPr>
      </w:pPr>
    </w:p>
    <w:p w:rsidR="00863757" w:rsidRDefault="00863757" w:rsidP="00606758">
      <w:pPr>
        <w:ind w:left="360"/>
        <w:rPr>
          <w:sz w:val="28"/>
          <w:szCs w:val="28"/>
        </w:rPr>
      </w:pPr>
      <w:r>
        <w:rPr>
          <w:sz w:val="28"/>
          <w:szCs w:val="28"/>
        </w:rPr>
        <w:t>Schwartz,L. and S. Woloshin.  2011.  Communicating uncertainties about prescription drugs to the public: A national randomized trial.  JAMA Archives of Internal Medicine, Vol. 171, p. 1463-1468.</w:t>
      </w:r>
    </w:p>
    <w:p w:rsidR="00E53EA3" w:rsidRDefault="00E53EA3" w:rsidP="00606758">
      <w:pPr>
        <w:ind w:left="360"/>
        <w:rPr>
          <w:sz w:val="28"/>
          <w:szCs w:val="28"/>
        </w:rPr>
      </w:pPr>
    </w:p>
    <w:p w:rsidR="00E53EA3" w:rsidRDefault="00E53EA3" w:rsidP="00606758">
      <w:pPr>
        <w:ind w:left="360"/>
        <w:rPr>
          <w:sz w:val="28"/>
          <w:szCs w:val="28"/>
        </w:rPr>
      </w:pPr>
      <w:r>
        <w:rPr>
          <w:sz w:val="28"/>
          <w:szCs w:val="28"/>
        </w:rPr>
        <w:t>Stanley, D., M.Garratt, J.Wickens et al.  2015.  Neonicotinoid pesticide exposure impairs crop pollination services provided by bumblebees.  Nature doi:10.1038/nature16167. Published online 18</w:t>
      </w:r>
      <w:r w:rsidRPr="00E53EA3">
        <w:rPr>
          <w:sz w:val="28"/>
          <w:szCs w:val="28"/>
          <w:vertAlign w:val="superscript"/>
        </w:rPr>
        <w:t>th</w:t>
      </w:r>
      <w:r>
        <w:rPr>
          <w:sz w:val="28"/>
          <w:szCs w:val="28"/>
        </w:rPr>
        <w:t xml:space="preserve"> November.</w:t>
      </w:r>
    </w:p>
    <w:p w:rsidR="00A7485C" w:rsidRDefault="00A7485C" w:rsidP="00606758">
      <w:pPr>
        <w:ind w:left="360"/>
        <w:rPr>
          <w:sz w:val="28"/>
          <w:szCs w:val="28"/>
        </w:rPr>
      </w:pPr>
    </w:p>
    <w:p w:rsidR="00A7485C" w:rsidRDefault="00A7485C" w:rsidP="00606758">
      <w:pPr>
        <w:ind w:left="360"/>
        <w:rPr>
          <w:sz w:val="28"/>
          <w:szCs w:val="28"/>
        </w:rPr>
      </w:pPr>
      <w:r>
        <w:rPr>
          <w:sz w:val="28"/>
          <w:szCs w:val="28"/>
        </w:rPr>
        <w:t>Steel, D.  2015.  Philosophy and the Precautionary Principle: Science, evidence and environmental policy.  Cambridge: Cambridge University Press.</w:t>
      </w:r>
    </w:p>
    <w:p w:rsidR="00927C9E" w:rsidRDefault="00927C9E" w:rsidP="00606758">
      <w:pPr>
        <w:ind w:left="360"/>
        <w:rPr>
          <w:sz w:val="28"/>
          <w:szCs w:val="28"/>
        </w:rPr>
      </w:pPr>
    </w:p>
    <w:p w:rsidR="00927C9E" w:rsidRDefault="00927C9E" w:rsidP="00927C9E">
      <w:pPr>
        <w:ind w:left="360"/>
        <w:rPr>
          <w:sz w:val="28"/>
          <w:szCs w:val="28"/>
        </w:rPr>
      </w:pPr>
      <w:r>
        <w:rPr>
          <w:sz w:val="28"/>
          <w:szCs w:val="28"/>
        </w:rPr>
        <w:t>Stern, J. and J.Wiener.  2996.  Precaution against terrorism.  Journal of Risk Research, Vol. 9, p.393-447.</w:t>
      </w:r>
    </w:p>
    <w:p w:rsidR="00927C9E" w:rsidRDefault="00927C9E" w:rsidP="00606758">
      <w:pPr>
        <w:ind w:left="360"/>
        <w:rPr>
          <w:sz w:val="28"/>
          <w:szCs w:val="28"/>
        </w:rPr>
      </w:pPr>
    </w:p>
    <w:p w:rsidR="00FD04D9" w:rsidRDefault="00FD04D9" w:rsidP="00606758">
      <w:pPr>
        <w:ind w:left="360"/>
        <w:rPr>
          <w:sz w:val="28"/>
          <w:szCs w:val="28"/>
        </w:rPr>
      </w:pPr>
      <w:r>
        <w:rPr>
          <w:sz w:val="28"/>
          <w:szCs w:val="28"/>
        </w:rPr>
        <w:t xml:space="preserve">Sunstein, C.  1995.  Foreword.  In J.Graham and J.Wiener eds.  Risk Vs Risk: Tradeoffs in protecting health and the environment.  Harvard: Harvard University Press.  </w:t>
      </w:r>
    </w:p>
    <w:p w:rsidR="00FD04D9" w:rsidRDefault="00FD04D9" w:rsidP="00606758">
      <w:pPr>
        <w:ind w:left="360"/>
        <w:rPr>
          <w:sz w:val="28"/>
          <w:szCs w:val="28"/>
        </w:rPr>
      </w:pPr>
    </w:p>
    <w:p w:rsidR="00FD04D9" w:rsidRDefault="00FD04D9" w:rsidP="00606758">
      <w:pPr>
        <w:ind w:left="360"/>
        <w:rPr>
          <w:sz w:val="28"/>
          <w:szCs w:val="28"/>
        </w:rPr>
      </w:pPr>
      <w:r>
        <w:rPr>
          <w:sz w:val="28"/>
          <w:szCs w:val="28"/>
        </w:rPr>
        <w:t>Sunstein, C.  1996. Health-health tradeoffs.  University of Chicago Law Review, Vol. 63, p. xxxx</w:t>
      </w:r>
    </w:p>
    <w:p w:rsidR="00DA0EB5" w:rsidRDefault="00DA0EB5" w:rsidP="00606758">
      <w:pPr>
        <w:ind w:left="360"/>
        <w:rPr>
          <w:sz w:val="28"/>
          <w:szCs w:val="28"/>
        </w:rPr>
      </w:pPr>
    </w:p>
    <w:p w:rsidR="00DA0EB5" w:rsidRDefault="00DA0EB5" w:rsidP="00606758">
      <w:pPr>
        <w:ind w:left="360"/>
        <w:rPr>
          <w:sz w:val="28"/>
          <w:szCs w:val="28"/>
        </w:rPr>
      </w:pPr>
      <w:r>
        <w:rPr>
          <w:sz w:val="28"/>
          <w:szCs w:val="28"/>
        </w:rPr>
        <w:t>Swedish Energy Agency.  2000.  Yttrande over Narings Departementets Rapporter Uppfoljning och Utvadering av 1997 ars Energipolitiska Program (KM Miljoteknik AB och COWI).  Eskilstuna, Sweden: Swedish Energy Agency.</w:t>
      </w:r>
    </w:p>
    <w:p w:rsidR="00FA7849" w:rsidRDefault="00FA7849" w:rsidP="00606758">
      <w:pPr>
        <w:ind w:left="360"/>
        <w:rPr>
          <w:sz w:val="28"/>
          <w:szCs w:val="28"/>
        </w:rPr>
      </w:pPr>
    </w:p>
    <w:p w:rsidR="00FA7849" w:rsidRDefault="00FA7849" w:rsidP="00606758">
      <w:pPr>
        <w:ind w:left="360"/>
        <w:rPr>
          <w:sz w:val="28"/>
          <w:szCs w:val="28"/>
        </w:rPr>
      </w:pPr>
      <w:r>
        <w:rPr>
          <w:sz w:val="28"/>
          <w:szCs w:val="28"/>
        </w:rPr>
        <w:t>Swedish Government Bill.  1997.  En Uthallig Energiforsorjning 1996/97:84.  Stockholm: Swedish Ministry of Energy.</w:t>
      </w:r>
    </w:p>
    <w:p w:rsidR="00FA32EA" w:rsidRDefault="00FA32EA" w:rsidP="00606758">
      <w:pPr>
        <w:ind w:left="360"/>
        <w:rPr>
          <w:sz w:val="28"/>
          <w:szCs w:val="28"/>
        </w:rPr>
      </w:pPr>
    </w:p>
    <w:p w:rsidR="00FA32EA" w:rsidRDefault="00FA32EA" w:rsidP="00606758">
      <w:pPr>
        <w:ind w:left="360"/>
        <w:rPr>
          <w:sz w:val="28"/>
          <w:szCs w:val="28"/>
        </w:rPr>
      </w:pPr>
      <w:r>
        <w:rPr>
          <w:sz w:val="28"/>
          <w:szCs w:val="28"/>
        </w:rPr>
        <w:t>Swedish Government Bill. 2013.  Pa vag mot en giftfri vardag-platform for kemikaliepolitiken 2013/14:39.  Stockholm: Swedish Ministry of the Environment.</w:t>
      </w:r>
    </w:p>
    <w:p w:rsidR="00FA7849" w:rsidRDefault="00FA7849" w:rsidP="00606758">
      <w:pPr>
        <w:ind w:left="360"/>
        <w:rPr>
          <w:sz w:val="28"/>
          <w:szCs w:val="28"/>
        </w:rPr>
      </w:pPr>
    </w:p>
    <w:p w:rsidR="00FA7849" w:rsidRDefault="00FA7849" w:rsidP="00606758">
      <w:pPr>
        <w:ind w:left="360"/>
        <w:rPr>
          <w:sz w:val="28"/>
          <w:szCs w:val="28"/>
        </w:rPr>
      </w:pPr>
      <w:r>
        <w:rPr>
          <w:sz w:val="28"/>
          <w:szCs w:val="28"/>
        </w:rPr>
        <w:t>Swedish State Studies.  1990.  Vem Fororenar Sverige?  Stockholm: Allmana Forlaget.</w:t>
      </w:r>
    </w:p>
    <w:p w:rsidR="00927C9E" w:rsidRDefault="00927C9E" w:rsidP="00606758">
      <w:pPr>
        <w:ind w:left="360"/>
        <w:rPr>
          <w:sz w:val="28"/>
          <w:szCs w:val="28"/>
        </w:rPr>
      </w:pPr>
    </w:p>
    <w:p w:rsidR="00927C9E" w:rsidRDefault="00927C9E" w:rsidP="00927C9E">
      <w:pPr>
        <w:ind w:left="360"/>
        <w:rPr>
          <w:sz w:val="28"/>
          <w:szCs w:val="28"/>
        </w:rPr>
      </w:pPr>
      <w:r>
        <w:rPr>
          <w:sz w:val="28"/>
          <w:szCs w:val="28"/>
        </w:rPr>
        <w:t>Sydkraft.  1999.  Uppgorelsen om Barseback klar.  Press release 30</w:t>
      </w:r>
      <w:r w:rsidRPr="003424FF">
        <w:rPr>
          <w:sz w:val="28"/>
          <w:szCs w:val="28"/>
          <w:vertAlign w:val="superscript"/>
        </w:rPr>
        <w:t>th</w:t>
      </w:r>
      <w:r>
        <w:rPr>
          <w:sz w:val="28"/>
          <w:szCs w:val="28"/>
        </w:rPr>
        <w:t xml:space="preserve"> November</w:t>
      </w:r>
    </w:p>
    <w:p w:rsidR="00927C9E" w:rsidRDefault="00927C9E" w:rsidP="00927C9E">
      <w:pPr>
        <w:rPr>
          <w:sz w:val="28"/>
          <w:szCs w:val="28"/>
        </w:rPr>
      </w:pPr>
    </w:p>
    <w:p w:rsidR="00927C9E" w:rsidRDefault="00927C9E" w:rsidP="00927C9E">
      <w:pPr>
        <w:ind w:left="360"/>
        <w:rPr>
          <w:sz w:val="28"/>
          <w:szCs w:val="28"/>
        </w:rPr>
      </w:pPr>
      <w:r>
        <w:rPr>
          <w:sz w:val="28"/>
          <w:szCs w:val="28"/>
        </w:rPr>
        <w:t>Sydkraft.  2000.  Barseback Behovs-Fornybara alternative saknas.  Press release 16</w:t>
      </w:r>
      <w:r w:rsidRPr="00A45D02">
        <w:rPr>
          <w:sz w:val="28"/>
          <w:szCs w:val="28"/>
          <w:vertAlign w:val="superscript"/>
        </w:rPr>
        <w:t>th</w:t>
      </w:r>
      <w:r>
        <w:rPr>
          <w:sz w:val="28"/>
          <w:szCs w:val="28"/>
        </w:rPr>
        <w:t xml:space="preserve"> February.</w:t>
      </w:r>
    </w:p>
    <w:p w:rsidR="00330304" w:rsidRDefault="00330304" w:rsidP="00927C9E">
      <w:pPr>
        <w:ind w:left="360"/>
        <w:rPr>
          <w:sz w:val="28"/>
          <w:szCs w:val="28"/>
        </w:rPr>
      </w:pPr>
    </w:p>
    <w:p w:rsidR="00330304" w:rsidRDefault="00330304" w:rsidP="00927C9E">
      <w:pPr>
        <w:ind w:left="360"/>
        <w:rPr>
          <w:sz w:val="28"/>
          <w:szCs w:val="28"/>
        </w:rPr>
      </w:pPr>
      <w:r>
        <w:rPr>
          <w:sz w:val="28"/>
          <w:szCs w:val="28"/>
        </w:rPr>
        <w:t xml:space="preserve">Tennekes, H.  2015. In The Risk Monger.  Message to the IUCN activist scientists: Rules matter.  </w:t>
      </w:r>
      <w:hyperlink r:id="rId11" w:history="1">
        <w:r w:rsidRPr="00B53302">
          <w:rPr>
            <w:rStyle w:val="Hyperlink"/>
            <w:sz w:val="28"/>
            <w:szCs w:val="28"/>
          </w:rPr>
          <w:t>http://risk-monger.blogactiv.eu2015/01/09/message -to-the-iucn-activist-scientists-rules-matter/</w:t>
        </w:r>
      </w:hyperlink>
    </w:p>
    <w:p w:rsidR="00330304" w:rsidRDefault="00330304" w:rsidP="00927C9E">
      <w:pPr>
        <w:ind w:left="360"/>
        <w:rPr>
          <w:sz w:val="28"/>
          <w:szCs w:val="28"/>
        </w:rPr>
      </w:pPr>
    </w:p>
    <w:p w:rsidR="00F93B98" w:rsidRDefault="00F93B98" w:rsidP="00927C9E">
      <w:pPr>
        <w:ind w:left="360"/>
        <w:rPr>
          <w:sz w:val="28"/>
          <w:szCs w:val="28"/>
        </w:rPr>
      </w:pPr>
      <w:r>
        <w:rPr>
          <w:sz w:val="28"/>
          <w:szCs w:val="28"/>
        </w:rPr>
        <w:t xml:space="preserve">The Task Force on Systemic Pesticides.  2014.  Worldwide Integrated |Assessment of the Impact of Systematic Pesticides on biodiversity and ecosystems (WIA).  </w:t>
      </w:r>
      <w:hyperlink r:id="rId12" w:history="1">
        <w:r w:rsidRPr="00B53302">
          <w:rPr>
            <w:rStyle w:val="Hyperlink"/>
            <w:sz w:val="28"/>
            <w:szCs w:val="28"/>
          </w:rPr>
          <w:t>http://www.tfsp.info/assets/WIA_2015.pdf</w:t>
        </w:r>
      </w:hyperlink>
      <w:r>
        <w:rPr>
          <w:sz w:val="28"/>
          <w:szCs w:val="28"/>
        </w:rPr>
        <w:t xml:space="preserve"> (downloaded 15th February 2015)</w:t>
      </w:r>
    </w:p>
    <w:p w:rsidR="00330304" w:rsidRDefault="00330304" w:rsidP="00927C9E">
      <w:pPr>
        <w:ind w:left="360"/>
        <w:rPr>
          <w:sz w:val="28"/>
          <w:szCs w:val="28"/>
        </w:rPr>
      </w:pPr>
      <w:r>
        <w:rPr>
          <w:sz w:val="28"/>
          <w:szCs w:val="28"/>
        </w:rPr>
        <w:t>Tomizawa, M. and J.Casida.  2005.  Neonicotinoid insecticide toxicology: Mechanism of selective action.  Annual Review of Pharmacology and Toxicology, Vol.45, p. 247-268.</w:t>
      </w:r>
    </w:p>
    <w:p w:rsidR="00BA4D7F" w:rsidRDefault="00BA4D7F" w:rsidP="00606758">
      <w:pPr>
        <w:ind w:left="360"/>
        <w:rPr>
          <w:sz w:val="28"/>
          <w:szCs w:val="28"/>
        </w:rPr>
      </w:pPr>
    </w:p>
    <w:p w:rsidR="00BA4D7F" w:rsidRDefault="00BA4D7F" w:rsidP="00606758">
      <w:pPr>
        <w:ind w:left="360"/>
        <w:rPr>
          <w:sz w:val="28"/>
          <w:szCs w:val="28"/>
        </w:rPr>
      </w:pPr>
      <w:r>
        <w:rPr>
          <w:sz w:val="28"/>
          <w:szCs w:val="28"/>
        </w:rPr>
        <w:t>Tversky, A. and D. Kahneman.  1974.  Judgment under uncertainty: Heuristics and biases.  Science, Vol. 185, p. 1124-1131.</w:t>
      </w:r>
    </w:p>
    <w:p w:rsidR="00F93B98" w:rsidRDefault="00F93B98" w:rsidP="00606758">
      <w:pPr>
        <w:ind w:left="360"/>
        <w:rPr>
          <w:sz w:val="28"/>
          <w:szCs w:val="28"/>
        </w:rPr>
      </w:pPr>
    </w:p>
    <w:p w:rsidR="00F93B98" w:rsidRDefault="00F93B98" w:rsidP="00606758">
      <w:pPr>
        <w:ind w:left="360"/>
        <w:rPr>
          <w:sz w:val="28"/>
          <w:szCs w:val="28"/>
        </w:rPr>
      </w:pPr>
      <w:r>
        <w:rPr>
          <w:sz w:val="28"/>
          <w:szCs w:val="28"/>
        </w:rPr>
        <w:t>UNEP.  2010.  Global Honeybee Colony Disorders and Other Threats to Insects.  Nairobi, Kenya: UNEP</w:t>
      </w:r>
    </w:p>
    <w:p w:rsidR="00F93B98" w:rsidRDefault="00F93B98" w:rsidP="00606758">
      <w:pPr>
        <w:ind w:left="360"/>
        <w:rPr>
          <w:sz w:val="28"/>
          <w:szCs w:val="28"/>
        </w:rPr>
      </w:pPr>
    </w:p>
    <w:p w:rsidR="00F93B98" w:rsidRDefault="00F93B98" w:rsidP="00606758">
      <w:pPr>
        <w:ind w:left="360"/>
        <w:rPr>
          <w:sz w:val="28"/>
          <w:szCs w:val="28"/>
        </w:rPr>
      </w:pPr>
      <w:r>
        <w:rPr>
          <w:sz w:val="28"/>
          <w:szCs w:val="28"/>
        </w:rPr>
        <w:t>United States Department of Agriculture.  2014.  Honey Bee Health and Colony Collapse Disorder.  Washington DC: US Department of Agriculture.</w:t>
      </w:r>
    </w:p>
    <w:p w:rsidR="00AD2767" w:rsidRDefault="00AD2767" w:rsidP="00606758">
      <w:pPr>
        <w:ind w:left="360"/>
        <w:rPr>
          <w:sz w:val="28"/>
          <w:szCs w:val="28"/>
        </w:rPr>
      </w:pPr>
    </w:p>
    <w:p w:rsidR="00AD2767" w:rsidRDefault="00AD2767" w:rsidP="00606758">
      <w:pPr>
        <w:ind w:left="360"/>
        <w:rPr>
          <w:sz w:val="28"/>
          <w:szCs w:val="28"/>
        </w:rPr>
      </w:pPr>
      <w:r>
        <w:rPr>
          <w:sz w:val="28"/>
          <w:szCs w:val="28"/>
        </w:rPr>
        <w:t>Vallianatos, E. and M.Jenkins.  2014.  Poison Spring: The secret history of pollution and the EPA.  New York: Bloomsbury Press.</w:t>
      </w:r>
    </w:p>
    <w:p w:rsidR="00B57511" w:rsidRDefault="00B57511" w:rsidP="00B57511">
      <w:pPr>
        <w:ind w:left="360"/>
        <w:rPr>
          <w:sz w:val="28"/>
          <w:szCs w:val="28"/>
        </w:rPr>
      </w:pPr>
    </w:p>
    <w:p w:rsidR="00B57511" w:rsidRDefault="00B57511" w:rsidP="00B57511">
      <w:pPr>
        <w:ind w:left="360"/>
        <w:rPr>
          <w:sz w:val="28"/>
          <w:szCs w:val="28"/>
        </w:rPr>
      </w:pPr>
      <w:r>
        <w:rPr>
          <w:sz w:val="28"/>
          <w:szCs w:val="28"/>
        </w:rPr>
        <w:t>Van der Sluijs, J., N.Simon-Delso, D.Goulson, I.Maxim, J.Bonmatin and L.Belzunces.  2013.  Neonicotinoids, bee disorders and the sustainability of pollinator services.  Current Opinion in Environmental Sustainability, Vol.5, p.239-305.</w:t>
      </w:r>
    </w:p>
    <w:p w:rsidR="00B57511" w:rsidRDefault="00B57511" w:rsidP="00B57511">
      <w:pPr>
        <w:ind w:left="360"/>
        <w:rPr>
          <w:sz w:val="28"/>
          <w:szCs w:val="28"/>
        </w:rPr>
      </w:pPr>
    </w:p>
    <w:p w:rsidR="00B57511" w:rsidRDefault="00B57511" w:rsidP="00B57511">
      <w:pPr>
        <w:ind w:left="360"/>
        <w:rPr>
          <w:sz w:val="28"/>
          <w:szCs w:val="28"/>
        </w:rPr>
      </w:pPr>
      <w:r>
        <w:rPr>
          <w:sz w:val="28"/>
          <w:szCs w:val="28"/>
        </w:rPr>
        <w:t xml:space="preserve">Van der Sluijs, J., V.Amaral-Rogers, L.Belzunces et al. 2014.  Conclusions of the worldwide integrated assessment on the risks of neonicotinoids and fipronil to biodiversity and ecosystem functioning.  Environmental Science and Pollution Research, doi.10.1007/S11356-014-3229-5. </w:t>
      </w:r>
    </w:p>
    <w:p w:rsidR="00927C9E" w:rsidRDefault="00927C9E" w:rsidP="00606758">
      <w:pPr>
        <w:ind w:left="360"/>
        <w:rPr>
          <w:sz w:val="28"/>
          <w:szCs w:val="28"/>
        </w:rPr>
      </w:pPr>
    </w:p>
    <w:p w:rsidR="00927C9E" w:rsidRDefault="00927C9E" w:rsidP="00927C9E">
      <w:pPr>
        <w:ind w:left="360"/>
        <w:rPr>
          <w:sz w:val="28"/>
          <w:szCs w:val="28"/>
        </w:rPr>
      </w:pPr>
      <w:r>
        <w:rPr>
          <w:sz w:val="28"/>
          <w:szCs w:val="28"/>
        </w:rPr>
        <w:t>Vedung, E.  1980.  Karnkraften och partisystemet Sverige.  Politica, Vol.1, p. 109-139.</w:t>
      </w:r>
    </w:p>
    <w:p w:rsidR="00927C9E" w:rsidRDefault="00927C9E" w:rsidP="00927C9E">
      <w:pPr>
        <w:rPr>
          <w:sz w:val="28"/>
          <w:szCs w:val="28"/>
        </w:rPr>
      </w:pPr>
    </w:p>
    <w:p w:rsidR="00927C9E" w:rsidRDefault="00927C9E" w:rsidP="00927C9E">
      <w:pPr>
        <w:ind w:left="360"/>
        <w:rPr>
          <w:sz w:val="28"/>
          <w:szCs w:val="28"/>
        </w:rPr>
      </w:pPr>
      <w:r>
        <w:rPr>
          <w:sz w:val="28"/>
          <w:szCs w:val="28"/>
        </w:rPr>
        <w:t>Vedung, E.  1991.  Uppseendevackande Helomvandning av C, NU, 7</w:t>
      </w:r>
      <w:r w:rsidRPr="003424FF">
        <w:rPr>
          <w:sz w:val="28"/>
          <w:szCs w:val="28"/>
          <w:vertAlign w:val="superscript"/>
        </w:rPr>
        <w:t>th</w:t>
      </w:r>
      <w:r>
        <w:rPr>
          <w:sz w:val="28"/>
          <w:szCs w:val="28"/>
        </w:rPr>
        <w:t xml:space="preserve"> February, p. 22-33.</w:t>
      </w:r>
    </w:p>
    <w:p w:rsidR="00927C9E" w:rsidRDefault="00927C9E" w:rsidP="00927C9E">
      <w:pPr>
        <w:rPr>
          <w:sz w:val="28"/>
          <w:szCs w:val="28"/>
        </w:rPr>
      </w:pPr>
    </w:p>
    <w:p w:rsidR="00D258D8" w:rsidRDefault="00D258D8" w:rsidP="00606758">
      <w:pPr>
        <w:ind w:left="360"/>
        <w:rPr>
          <w:sz w:val="28"/>
          <w:szCs w:val="28"/>
        </w:rPr>
      </w:pPr>
      <w:r>
        <w:rPr>
          <w:sz w:val="28"/>
          <w:szCs w:val="28"/>
        </w:rPr>
        <w:t>Viscusi, K.  1992.  Fatal Tradeoffs: Public and private responsibilities for risk.  New York: Oxford University Press.</w:t>
      </w:r>
    </w:p>
    <w:p w:rsidR="00D258D8" w:rsidRDefault="00D258D8" w:rsidP="00606758">
      <w:pPr>
        <w:ind w:left="360"/>
        <w:rPr>
          <w:sz w:val="28"/>
          <w:szCs w:val="28"/>
        </w:rPr>
      </w:pPr>
    </w:p>
    <w:p w:rsidR="00FD04D9" w:rsidRDefault="00FD04D9" w:rsidP="00606758">
      <w:pPr>
        <w:ind w:left="360"/>
        <w:rPr>
          <w:sz w:val="28"/>
          <w:szCs w:val="28"/>
        </w:rPr>
      </w:pPr>
      <w:r>
        <w:rPr>
          <w:sz w:val="28"/>
          <w:szCs w:val="28"/>
        </w:rPr>
        <w:t>Viscusi, K.  1996.  Regulating the regulators.  University of Chicago Law Review, Vol. 63, p. 1423-1455. xxx</w:t>
      </w:r>
    </w:p>
    <w:p w:rsidR="00606758" w:rsidRDefault="00606758" w:rsidP="00606758">
      <w:pPr>
        <w:ind w:left="360"/>
        <w:rPr>
          <w:sz w:val="28"/>
          <w:szCs w:val="28"/>
        </w:rPr>
      </w:pPr>
    </w:p>
    <w:p w:rsidR="00D258D8" w:rsidRDefault="00D258D8" w:rsidP="00D258D8">
      <w:pPr>
        <w:ind w:left="360"/>
        <w:rPr>
          <w:sz w:val="28"/>
          <w:szCs w:val="28"/>
        </w:rPr>
      </w:pPr>
      <w:r>
        <w:rPr>
          <w:sz w:val="28"/>
          <w:szCs w:val="28"/>
        </w:rPr>
        <w:t>Viscusi, K.  1998.  Rational Risk Policy.  Oxford: Oxford University Press.</w:t>
      </w:r>
    </w:p>
    <w:p w:rsidR="00D258D8" w:rsidRDefault="00D258D8" w:rsidP="00D258D8">
      <w:pPr>
        <w:ind w:left="360"/>
        <w:rPr>
          <w:sz w:val="28"/>
          <w:szCs w:val="28"/>
        </w:rPr>
      </w:pPr>
    </w:p>
    <w:p w:rsidR="00D258D8" w:rsidRDefault="00D258D8" w:rsidP="00D258D8">
      <w:pPr>
        <w:ind w:left="360"/>
        <w:rPr>
          <w:sz w:val="28"/>
          <w:szCs w:val="28"/>
        </w:rPr>
      </w:pPr>
      <w:r>
        <w:rPr>
          <w:sz w:val="28"/>
          <w:szCs w:val="28"/>
        </w:rPr>
        <w:t xml:space="preserve">Viscusi, K. et al.  1994.  Symposium on “Mortality </w:t>
      </w:r>
      <w:r w:rsidR="00D1048B">
        <w:rPr>
          <w:sz w:val="28"/>
          <w:szCs w:val="28"/>
        </w:rPr>
        <w:t>costs of regulatory expenditures.  Journal of Risk and Uncertainty, Vol. 8, n.1.</w:t>
      </w:r>
    </w:p>
    <w:p w:rsidR="00D258D8" w:rsidRDefault="00D258D8" w:rsidP="00606758">
      <w:pPr>
        <w:ind w:left="360"/>
        <w:rPr>
          <w:sz w:val="28"/>
          <w:szCs w:val="28"/>
        </w:rPr>
      </w:pPr>
    </w:p>
    <w:p w:rsidR="00D258D8" w:rsidRDefault="00D258D8" w:rsidP="00606758">
      <w:pPr>
        <w:ind w:left="360"/>
        <w:rPr>
          <w:sz w:val="28"/>
          <w:szCs w:val="28"/>
        </w:rPr>
      </w:pPr>
      <w:r>
        <w:rPr>
          <w:sz w:val="28"/>
          <w:szCs w:val="28"/>
        </w:rPr>
        <w:t>Viscusi, K., W.Magat and J.Huber.  1991.  Pricing environmental health risks: Survey assessments of risk-risk and risk-dollar tradeoffs for chronic bronchitis.  Journal of Environmental Economics and Management.  Vol.21, p. 32-51.</w:t>
      </w:r>
    </w:p>
    <w:p w:rsidR="00F93B98" w:rsidRDefault="00F93B98" w:rsidP="00606758">
      <w:pPr>
        <w:ind w:left="360"/>
        <w:rPr>
          <w:sz w:val="28"/>
          <w:szCs w:val="28"/>
        </w:rPr>
      </w:pPr>
    </w:p>
    <w:p w:rsidR="00F93B98" w:rsidRDefault="00F93B98" w:rsidP="00606758">
      <w:pPr>
        <w:ind w:left="360"/>
        <w:rPr>
          <w:sz w:val="28"/>
          <w:szCs w:val="28"/>
        </w:rPr>
      </w:pPr>
      <w:r>
        <w:rPr>
          <w:sz w:val="28"/>
          <w:szCs w:val="28"/>
        </w:rPr>
        <w:t>Webster, B.  2015.  Bee scientists cast fresh doubt on pesticides ban.  The Times, 16</w:t>
      </w:r>
      <w:r w:rsidRPr="00F93B98">
        <w:rPr>
          <w:sz w:val="28"/>
          <w:szCs w:val="28"/>
          <w:vertAlign w:val="superscript"/>
        </w:rPr>
        <w:t>th</w:t>
      </w:r>
      <w:r>
        <w:rPr>
          <w:sz w:val="28"/>
          <w:szCs w:val="28"/>
        </w:rPr>
        <w:t xml:space="preserve"> January.</w:t>
      </w:r>
    </w:p>
    <w:p w:rsidR="00927C9E" w:rsidRDefault="00927C9E" w:rsidP="00606758">
      <w:pPr>
        <w:ind w:left="360"/>
        <w:rPr>
          <w:sz w:val="28"/>
          <w:szCs w:val="28"/>
        </w:rPr>
      </w:pPr>
    </w:p>
    <w:p w:rsidR="00927C9E" w:rsidRDefault="00927C9E" w:rsidP="00927C9E">
      <w:pPr>
        <w:ind w:left="360"/>
        <w:rPr>
          <w:sz w:val="28"/>
          <w:szCs w:val="28"/>
        </w:rPr>
      </w:pPr>
      <w:r>
        <w:rPr>
          <w:sz w:val="28"/>
          <w:szCs w:val="28"/>
        </w:rPr>
        <w:t>Westlund, A.  2012.  Draft Report: On the protection of public health from endocrine disrupters.  Brussels: European Parliament, Committee on the Environment, Public Health and Food Safety.</w:t>
      </w:r>
    </w:p>
    <w:p w:rsidR="00927C9E" w:rsidRDefault="00927C9E" w:rsidP="00927C9E">
      <w:pPr>
        <w:rPr>
          <w:sz w:val="28"/>
          <w:szCs w:val="28"/>
        </w:rPr>
      </w:pPr>
    </w:p>
    <w:p w:rsidR="00927C9E" w:rsidRDefault="00927C9E" w:rsidP="00927C9E">
      <w:pPr>
        <w:ind w:left="360"/>
        <w:rPr>
          <w:sz w:val="28"/>
          <w:szCs w:val="28"/>
        </w:rPr>
      </w:pPr>
      <w:r>
        <w:rPr>
          <w:sz w:val="28"/>
          <w:szCs w:val="28"/>
        </w:rPr>
        <w:t>Westlund, A.  2013.  Compromise Amendments: Protection of public health from endocrine disrupters.  Brussels: European Parliament.</w:t>
      </w:r>
    </w:p>
    <w:p w:rsidR="00D1048B" w:rsidRDefault="00D1048B" w:rsidP="00606758">
      <w:pPr>
        <w:ind w:left="360"/>
        <w:rPr>
          <w:sz w:val="28"/>
          <w:szCs w:val="28"/>
        </w:rPr>
      </w:pPr>
    </w:p>
    <w:p w:rsidR="00D1048B" w:rsidRDefault="00D1048B" w:rsidP="00606758">
      <w:pPr>
        <w:ind w:left="360"/>
        <w:rPr>
          <w:sz w:val="28"/>
          <w:szCs w:val="28"/>
        </w:rPr>
      </w:pPr>
      <w:r>
        <w:rPr>
          <w:sz w:val="28"/>
          <w:szCs w:val="28"/>
        </w:rPr>
        <w:t>Whipple, C.  1985.  Redistributing risk.  Regulation, May/June, p. 37-44.</w:t>
      </w:r>
    </w:p>
    <w:p w:rsidR="009735D1" w:rsidRDefault="009735D1" w:rsidP="00606758">
      <w:pPr>
        <w:ind w:left="360"/>
        <w:rPr>
          <w:sz w:val="28"/>
          <w:szCs w:val="28"/>
        </w:rPr>
      </w:pPr>
    </w:p>
    <w:p w:rsidR="009735D1" w:rsidRDefault="009735D1" w:rsidP="00606758">
      <w:pPr>
        <w:ind w:left="360"/>
        <w:rPr>
          <w:sz w:val="28"/>
          <w:szCs w:val="28"/>
        </w:rPr>
      </w:pPr>
      <w:r>
        <w:rPr>
          <w:sz w:val="28"/>
          <w:szCs w:val="28"/>
        </w:rPr>
        <w:t>Whitehorn, P., S.O’Connor, F.Wacker and D. Goulson.  2012.  Neonicotinoid pesticide reduces bumble bee colony growth and queen production.  Science, Vol.336, p. 351-352.</w:t>
      </w:r>
    </w:p>
    <w:p w:rsidR="00F93B98" w:rsidRDefault="00F93B98" w:rsidP="00606758">
      <w:pPr>
        <w:ind w:left="360"/>
        <w:rPr>
          <w:sz w:val="28"/>
          <w:szCs w:val="28"/>
        </w:rPr>
      </w:pPr>
    </w:p>
    <w:p w:rsidR="00927C9E" w:rsidRDefault="00927C9E" w:rsidP="00927C9E">
      <w:pPr>
        <w:ind w:left="360"/>
        <w:rPr>
          <w:sz w:val="28"/>
          <w:szCs w:val="28"/>
        </w:rPr>
      </w:pPr>
      <w:r>
        <w:rPr>
          <w:sz w:val="28"/>
          <w:szCs w:val="28"/>
        </w:rPr>
        <w:t>Wiener, J.  1998.  Managing the iatrogenic risks of risk management.  Risk: Health, Safety and Environment, Vol.9, p. 39-82.</w:t>
      </w:r>
    </w:p>
    <w:p w:rsidR="00927C9E" w:rsidRDefault="00927C9E" w:rsidP="00927C9E">
      <w:pPr>
        <w:rPr>
          <w:sz w:val="28"/>
          <w:szCs w:val="28"/>
        </w:rPr>
      </w:pPr>
    </w:p>
    <w:p w:rsidR="00927C9E" w:rsidRDefault="00927C9E" w:rsidP="00927C9E">
      <w:pPr>
        <w:ind w:left="360"/>
        <w:rPr>
          <w:sz w:val="28"/>
          <w:szCs w:val="28"/>
        </w:rPr>
      </w:pPr>
      <w:r>
        <w:rPr>
          <w:sz w:val="28"/>
          <w:szCs w:val="28"/>
        </w:rPr>
        <w:t>Wiener, J.  2002.  Precaution in a multirisk world.  In D.Paustenbach ed.  Human and Ecological Risk Assessment: Theory and Practice.  New York: Wiley and Sons.</w:t>
      </w:r>
    </w:p>
    <w:p w:rsidR="00927C9E" w:rsidRDefault="00927C9E" w:rsidP="00927C9E">
      <w:pPr>
        <w:rPr>
          <w:sz w:val="28"/>
          <w:szCs w:val="28"/>
        </w:rPr>
      </w:pPr>
    </w:p>
    <w:p w:rsidR="00927C9E" w:rsidRDefault="00927C9E" w:rsidP="00927C9E">
      <w:pPr>
        <w:ind w:left="360"/>
        <w:rPr>
          <w:sz w:val="28"/>
          <w:szCs w:val="28"/>
        </w:rPr>
      </w:pPr>
      <w:r>
        <w:rPr>
          <w:sz w:val="28"/>
          <w:szCs w:val="28"/>
        </w:rPr>
        <w:t>Wiener, J.  2006.  Better regulation in Europe.  Current Legal Problems, Vol.59, p. 447-518.</w:t>
      </w:r>
    </w:p>
    <w:p w:rsidR="00927C9E" w:rsidRDefault="00927C9E" w:rsidP="00927C9E">
      <w:pPr>
        <w:rPr>
          <w:sz w:val="28"/>
          <w:szCs w:val="28"/>
        </w:rPr>
      </w:pPr>
    </w:p>
    <w:p w:rsidR="00927C9E" w:rsidRDefault="00927C9E" w:rsidP="00927C9E">
      <w:pPr>
        <w:ind w:left="360"/>
        <w:rPr>
          <w:sz w:val="28"/>
          <w:szCs w:val="28"/>
        </w:rPr>
      </w:pPr>
      <w:r>
        <w:rPr>
          <w:sz w:val="28"/>
          <w:szCs w:val="28"/>
        </w:rPr>
        <w:t>Wiener, J., M. Rogers, J.Hammitt and P.Sand eds.  2011.  The Reality of Precaution: Comparing risk regulation in the United States and Europe.  London: Earthscan.</w:t>
      </w:r>
    </w:p>
    <w:p w:rsidR="00927C9E" w:rsidRDefault="00927C9E" w:rsidP="00927C9E">
      <w:pPr>
        <w:rPr>
          <w:sz w:val="28"/>
          <w:szCs w:val="28"/>
        </w:rPr>
      </w:pPr>
      <w:r>
        <w:rPr>
          <w:sz w:val="28"/>
          <w:szCs w:val="28"/>
        </w:rPr>
        <w:t xml:space="preserve"> </w:t>
      </w:r>
    </w:p>
    <w:p w:rsidR="00AD2767" w:rsidRDefault="00AD2767" w:rsidP="00606758">
      <w:pPr>
        <w:ind w:left="360"/>
        <w:rPr>
          <w:sz w:val="28"/>
          <w:szCs w:val="28"/>
        </w:rPr>
      </w:pPr>
      <w:r>
        <w:rPr>
          <w:sz w:val="28"/>
          <w:szCs w:val="28"/>
        </w:rPr>
        <w:t>Zander, J.  2010. The Application of the Precautionary Principle in Practice: Comparative dimensions.  Cambridge: Cambridge University Press.</w:t>
      </w:r>
    </w:p>
    <w:p w:rsidR="003B17A9" w:rsidRPr="00606758" w:rsidRDefault="003B17A9" w:rsidP="003B17A9">
      <w:pPr>
        <w:ind w:left="360"/>
        <w:rPr>
          <w:sz w:val="28"/>
          <w:szCs w:val="28"/>
        </w:rPr>
      </w:pPr>
    </w:p>
    <w:p w:rsidR="00606758" w:rsidRDefault="00606758" w:rsidP="00606758">
      <w:pPr>
        <w:pStyle w:val="ListParagraph"/>
        <w:rPr>
          <w:sz w:val="28"/>
          <w:szCs w:val="28"/>
        </w:rPr>
      </w:pPr>
    </w:p>
    <w:p w:rsidR="00DD0071" w:rsidRDefault="00DD0071" w:rsidP="00DD0071">
      <w:pPr>
        <w:pStyle w:val="ListParagraph"/>
        <w:rPr>
          <w:sz w:val="28"/>
          <w:szCs w:val="28"/>
        </w:rPr>
      </w:pPr>
    </w:p>
    <w:p w:rsidR="00606758" w:rsidRPr="00DD0071" w:rsidRDefault="00606758" w:rsidP="00DD0071">
      <w:pPr>
        <w:pStyle w:val="ListParagraph"/>
        <w:rPr>
          <w:sz w:val="28"/>
          <w:szCs w:val="28"/>
        </w:rPr>
      </w:pPr>
    </w:p>
    <w:sectPr w:rsidR="00606758" w:rsidRPr="00DD007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6E1" w:rsidRDefault="009406E1" w:rsidP="00533C0F">
      <w:r>
        <w:separator/>
      </w:r>
    </w:p>
  </w:endnote>
  <w:endnote w:type="continuationSeparator" w:id="0">
    <w:p w:rsidR="009406E1" w:rsidRDefault="009406E1" w:rsidP="0053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753434"/>
      <w:docPartObj>
        <w:docPartGallery w:val="Page Numbers (Bottom of Page)"/>
        <w:docPartUnique/>
      </w:docPartObj>
    </w:sdtPr>
    <w:sdtEndPr>
      <w:rPr>
        <w:noProof/>
      </w:rPr>
    </w:sdtEndPr>
    <w:sdtContent>
      <w:p w:rsidR="00C01F28" w:rsidRDefault="00C01F28">
        <w:pPr>
          <w:pStyle w:val="Footer"/>
          <w:jc w:val="right"/>
        </w:pPr>
        <w:r>
          <w:fldChar w:fldCharType="begin"/>
        </w:r>
        <w:r>
          <w:instrText xml:space="preserve"> PAGE   \* MERGEFORMAT </w:instrText>
        </w:r>
        <w:r>
          <w:fldChar w:fldCharType="separate"/>
        </w:r>
        <w:r w:rsidR="00955AC8">
          <w:rPr>
            <w:noProof/>
          </w:rPr>
          <w:t>1</w:t>
        </w:r>
        <w:r>
          <w:rPr>
            <w:noProof/>
          </w:rPr>
          <w:fldChar w:fldCharType="end"/>
        </w:r>
      </w:p>
    </w:sdtContent>
  </w:sdt>
  <w:p w:rsidR="00C01F28" w:rsidRDefault="00C01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6E1" w:rsidRDefault="009406E1" w:rsidP="00533C0F">
      <w:r>
        <w:separator/>
      </w:r>
    </w:p>
  </w:footnote>
  <w:footnote w:type="continuationSeparator" w:id="0">
    <w:p w:rsidR="009406E1" w:rsidRDefault="009406E1" w:rsidP="00533C0F">
      <w:r>
        <w:continuationSeparator/>
      </w:r>
    </w:p>
  </w:footnote>
  <w:footnote w:id="1">
    <w:p w:rsidR="00C01F28" w:rsidRPr="00533C0F" w:rsidRDefault="00C01F28">
      <w:pPr>
        <w:pStyle w:val="FootnoteText"/>
        <w:rPr>
          <w:lang w:val="en-GB"/>
        </w:rPr>
      </w:pPr>
      <w:r>
        <w:rPr>
          <w:rStyle w:val="FootnoteReference"/>
        </w:rPr>
        <w:footnoteRef/>
      </w:r>
      <w:r>
        <w:t xml:space="preserve"> </w:t>
      </w:r>
      <w:r>
        <w:rPr>
          <w:lang w:val="en-GB"/>
        </w:rPr>
        <w:t xml:space="preserve">Although Tysabri is arguably a US based case study as the decision was taken in the US to take it off the market before it was approved in Europe, it is treated as a European case study as European regulators have repeatedly used it as an example of a classical risk-risk tradeoff (eg see Eichler et al 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1ECC"/>
    <w:multiLevelType w:val="hybridMultilevel"/>
    <w:tmpl w:val="0A2EEB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DA652F"/>
    <w:multiLevelType w:val="multilevel"/>
    <w:tmpl w:val="3100342C"/>
    <w:lvl w:ilvl="0">
      <w:start w:val="5"/>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38E0281E"/>
    <w:multiLevelType w:val="multilevel"/>
    <w:tmpl w:val="A78C233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44BE6C8E"/>
    <w:multiLevelType w:val="multilevel"/>
    <w:tmpl w:val="7F845E9C"/>
    <w:lvl w:ilvl="0">
      <w:start w:val="7"/>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4CCA15B8"/>
    <w:multiLevelType w:val="hybridMultilevel"/>
    <w:tmpl w:val="188034D6"/>
    <w:lvl w:ilvl="0" w:tplc="0809000F">
      <w:start w:val="5"/>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9D6824"/>
    <w:multiLevelType w:val="hybridMultilevel"/>
    <w:tmpl w:val="6B80703A"/>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83"/>
    <w:rsid w:val="00025C1E"/>
    <w:rsid w:val="000335DA"/>
    <w:rsid w:val="00056582"/>
    <w:rsid w:val="00061E4D"/>
    <w:rsid w:val="000A1587"/>
    <w:rsid w:val="000A3CCF"/>
    <w:rsid w:val="000D23D0"/>
    <w:rsid w:val="00104441"/>
    <w:rsid w:val="00111D7A"/>
    <w:rsid w:val="001146F3"/>
    <w:rsid w:val="00130D77"/>
    <w:rsid w:val="00142A4D"/>
    <w:rsid w:val="0016105A"/>
    <w:rsid w:val="001679E5"/>
    <w:rsid w:val="00174AAB"/>
    <w:rsid w:val="0017530B"/>
    <w:rsid w:val="001A435A"/>
    <w:rsid w:val="001A7E02"/>
    <w:rsid w:val="001C4573"/>
    <w:rsid w:val="002038B1"/>
    <w:rsid w:val="00222E24"/>
    <w:rsid w:val="002563F9"/>
    <w:rsid w:val="002E0610"/>
    <w:rsid w:val="002E16A1"/>
    <w:rsid w:val="002F241B"/>
    <w:rsid w:val="002F78F9"/>
    <w:rsid w:val="00330304"/>
    <w:rsid w:val="0034455B"/>
    <w:rsid w:val="00351CDA"/>
    <w:rsid w:val="00380318"/>
    <w:rsid w:val="00386B7C"/>
    <w:rsid w:val="003A1772"/>
    <w:rsid w:val="003A691B"/>
    <w:rsid w:val="003B17A9"/>
    <w:rsid w:val="003C78A6"/>
    <w:rsid w:val="003E5A0C"/>
    <w:rsid w:val="003E5ED8"/>
    <w:rsid w:val="003E67C6"/>
    <w:rsid w:val="003F60EB"/>
    <w:rsid w:val="004039F6"/>
    <w:rsid w:val="004335DD"/>
    <w:rsid w:val="004557FC"/>
    <w:rsid w:val="004571A1"/>
    <w:rsid w:val="0048023F"/>
    <w:rsid w:val="00482A02"/>
    <w:rsid w:val="004963E6"/>
    <w:rsid w:val="004A240A"/>
    <w:rsid w:val="004B2065"/>
    <w:rsid w:val="004B52AA"/>
    <w:rsid w:val="004C4959"/>
    <w:rsid w:val="004D1CB9"/>
    <w:rsid w:val="005223AA"/>
    <w:rsid w:val="005254E9"/>
    <w:rsid w:val="00533C0F"/>
    <w:rsid w:val="0053676E"/>
    <w:rsid w:val="00546354"/>
    <w:rsid w:val="00564AB1"/>
    <w:rsid w:val="00565183"/>
    <w:rsid w:val="00594588"/>
    <w:rsid w:val="00597435"/>
    <w:rsid w:val="005E27A0"/>
    <w:rsid w:val="005F2AE4"/>
    <w:rsid w:val="00603F78"/>
    <w:rsid w:val="00606758"/>
    <w:rsid w:val="00630528"/>
    <w:rsid w:val="0063449C"/>
    <w:rsid w:val="00646414"/>
    <w:rsid w:val="00665778"/>
    <w:rsid w:val="00680F8A"/>
    <w:rsid w:val="006966DF"/>
    <w:rsid w:val="006D3B52"/>
    <w:rsid w:val="006D796D"/>
    <w:rsid w:val="006F1487"/>
    <w:rsid w:val="00701D43"/>
    <w:rsid w:val="007063FF"/>
    <w:rsid w:val="00706C7B"/>
    <w:rsid w:val="00726198"/>
    <w:rsid w:val="00757A71"/>
    <w:rsid w:val="00765B64"/>
    <w:rsid w:val="00784B3A"/>
    <w:rsid w:val="00786CF8"/>
    <w:rsid w:val="007B3E82"/>
    <w:rsid w:val="007C3E0A"/>
    <w:rsid w:val="007F5810"/>
    <w:rsid w:val="00800EDC"/>
    <w:rsid w:val="0080253D"/>
    <w:rsid w:val="0085737E"/>
    <w:rsid w:val="00862120"/>
    <w:rsid w:val="00863757"/>
    <w:rsid w:val="00877C61"/>
    <w:rsid w:val="00892D0A"/>
    <w:rsid w:val="008D730C"/>
    <w:rsid w:val="008F3002"/>
    <w:rsid w:val="00901295"/>
    <w:rsid w:val="00906293"/>
    <w:rsid w:val="009256CB"/>
    <w:rsid w:val="00927C9E"/>
    <w:rsid w:val="009406E1"/>
    <w:rsid w:val="00944128"/>
    <w:rsid w:val="00955AC8"/>
    <w:rsid w:val="0096028A"/>
    <w:rsid w:val="009718A4"/>
    <w:rsid w:val="009730EF"/>
    <w:rsid w:val="009735D1"/>
    <w:rsid w:val="009772DB"/>
    <w:rsid w:val="00985A2F"/>
    <w:rsid w:val="009946DD"/>
    <w:rsid w:val="009A2524"/>
    <w:rsid w:val="009A3DE8"/>
    <w:rsid w:val="009F1C6C"/>
    <w:rsid w:val="009F5A45"/>
    <w:rsid w:val="00A046A2"/>
    <w:rsid w:val="00A40719"/>
    <w:rsid w:val="00A47AD0"/>
    <w:rsid w:val="00A506F2"/>
    <w:rsid w:val="00A61E05"/>
    <w:rsid w:val="00A62E61"/>
    <w:rsid w:val="00A64F0C"/>
    <w:rsid w:val="00A72ECE"/>
    <w:rsid w:val="00A73AA7"/>
    <w:rsid w:val="00A7485C"/>
    <w:rsid w:val="00A748E4"/>
    <w:rsid w:val="00A75809"/>
    <w:rsid w:val="00A82B2D"/>
    <w:rsid w:val="00AB5BF0"/>
    <w:rsid w:val="00AC7D6B"/>
    <w:rsid w:val="00AD1297"/>
    <w:rsid w:val="00AD2767"/>
    <w:rsid w:val="00AE62D8"/>
    <w:rsid w:val="00B0124C"/>
    <w:rsid w:val="00B15553"/>
    <w:rsid w:val="00B24B0C"/>
    <w:rsid w:val="00B416C1"/>
    <w:rsid w:val="00B43F69"/>
    <w:rsid w:val="00B5110D"/>
    <w:rsid w:val="00B57511"/>
    <w:rsid w:val="00B57972"/>
    <w:rsid w:val="00B63143"/>
    <w:rsid w:val="00B7412F"/>
    <w:rsid w:val="00B75DEC"/>
    <w:rsid w:val="00B97578"/>
    <w:rsid w:val="00BA4D7F"/>
    <w:rsid w:val="00BC03E1"/>
    <w:rsid w:val="00BD29A7"/>
    <w:rsid w:val="00BF203C"/>
    <w:rsid w:val="00BF65C9"/>
    <w:rsid w:val="00C01F28"/>
    <w:rsid w:val="00C34259"/>
    <w:rsid w:val="00C568FA"/>
    <w:rsid w:val="00C86697"/>
    <w:rsid w:val="00C917CB"/>
    <w:rsid w:val="00CA4B7B"/>
    <w:rsid w:val="00CE27E0"/>
    <w:rsid w:val="00CE6DE2"/>
    <w:rsid w:val="00CE7BA7"/>
    <w:rsid w:val="00D1048B"/>
    <w:rsid w:val="00D10DEA"/>
    <w:rsid w:val="00D13C5A"/>
    <w:rsid w:val="00D14A44"/>
    <w:rsid w:val="00D258D8"/>
    <w:rsid w:val="00D46022"/>
    <w:rsid w:val="00D65BFB"/>
    <w:rsid w:val="00D91003"/>
    <w:rsid w:val="00D9446B"/>
    <w:rsid w:val="00DA0EB5"/>
    <w:rsid w:val="00DA6ECE"/>
    <w:rsid w:val="00DB7A19"/>
    <w:rsid w:val="00DD0071"/>
    <w:rsid w:val="00DD21CC"/>
    <w:rsid w:val="00DD7332"/>
    <w:rsid w:val="00DF79A0"/>
    <w:rsid w:val="00E53EA3"/>
    <w:rsid w:val="00E5545B"/>
    <w:rsid w:val="00E82EB8"/>
    <w:rsid w:val="00E9098A"/>
    <w:rsid w:val="00E909C3"/>
    <w:rsid w:val="00EB2F73"/>
    <w:rsid w:val="00ED510F"/>
    <w:rsid w:val="00EE0F8F"/>
    <w:rsid w:val="00EF3119"/>
    <w:rsid w:val="00EF4CB6"/>
    <w:rsid w:val="00EF5819"/>
    <w:rsid w:val="00F12A48"/>
    <w:rsid w:val="00F320D2"/>
    <w:rsid w:val="00F531E9"/>
    <w:rsid w:val="00F93B98"/>
    <w:rsid w:val="00F941A7"/>
    <w:rsid w:val="00FA32EA"/>
    <w:rsid w:val="00FA7849"/>
    <w:rsid w:val="00FB44BC"/>
    <w:rsid w:val="00FD04D9"/>
    <w:rsid w:val="00FF3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5BDB7-4A21-4EDF-A411-86990F0F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18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183"/>
    <w:pPr>
      <w:ind w:left="720"/>
      <w:contextualSpacing/>
    </w:pPr>
  </w:style>
  <w:style w:type="paragraph" w:styleId="FootnoteText">
    <w:name w:val="footnote text"/>
    <w:basedOn w:val="Normal"/>
    <w:link w:val="FootnoteTextChar"/>
    <w:uiPriority w:val="99"/>
    <w:semiHidden/>
    <w:unhideWhenUsed/>
    <w:rsid w:val="00533C0F"/>
    <w:rPr>
      <w:sz w:val="20"/>
      <w:szCs w:val="20"/>
    </w:rPr>
  </w:style>
  <w:style w:type="character" w:customStyle="1" w:styleId="FootnoteTextChar">
    <w:name w:val="Footnote Text Char"/>
    <w:basedOn w:val="DefaultParagraphFont"/>
    <w:link w:val="FootnoteText"/>
    <w:uiPriority w:val="99"/>
    <w:semiHidden/>
    <w:rsid w:val="00533C0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33C0F"/>
    <w:rPr>
      <w:vertAlign w:val="superscript"/>
    </w:rPr>
  </w:style>
  <w:style w:type="paragraph" w:styleId="BalloonText">
    <w:name w:val="Balloon Text"/>
    <w:basedOn w:val="Normal"/>
    <w:link w:val="BalloonTextChar"/>
    <w:uiPriority w:val="99"/>
    <w:semiHidden/>
    <w:unhideWhenUsed/>
    <w:rsid w:val="00A72ECE"/>
    <w:rPr>
      <w:rFonts w:ascii="Tahoma" w:hAnsi="Tahoma" w:cs="Tahoma"/>
      <w:sz w:val="16"/>
      <w:szCs w:val="16"/>
    </w:rPr>
  </w:style>
  <w:style w:type="character" w:customStyle="1" w:styleId="BalloonTextChar">
    <w:name w:val="Balloon Text Char"/>
    <w:basedOn w:val="DefaultParagraphFont"/>
    <w:link w:val="BalloonText"/>
    <w:uiPriority w:val="99"/>
    <w:semiHidden/>
    <w:rsid w:val="00A72ECE"/>
    <w:rPr>
      <w:rFonts w:ascii="Tahoma" w:eastAsia="Times New Roman" w:hAnsi="Tahoma" w:cs="Tahoma"/>
      <w:sz w:val="16"/>
      <w:szCs w:val="16"/>
      <w:lang w:val="en-US"/>
    </w:rPr>
  </w:style>
  <w:style w:type="paragraph" w:styleId="Header">
    <w:name w:val="header"/>
    <w:basedOn w:val="Normal"/>
    <w:link w:val="HeaderChar"/>
    <w:uiPriority w:val="99"/>
    <w:unhideWhenUsed/>
    <w:rsid w:val="00A748E4"/>
    <w:pPr>
      <w:tabs>
        <w:tab w:val="center" w:pos="4513"/>
        <w:tab w:val="right" w:pos="9026"/>
      </w:tabs>
    </w:pPr>
  </w:style>
  <w:style w:type="character" w:customStyle="1" w:styleId="HeaderChar">
    <w:name w:val="Header Char"/>
    <w:basedOn w:val="DefaultParagraphFont"/>
    <w:link w:val="Header"/>
    <w:uiPriority w:val="99"/>
    <w:rsid w:val="00A748E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748E4"/>
    <w:pPr>
      <w:tabs>
        <w:tab w:val="center" w:pos="4513"/>
        <w:tab w:val="right" w:pos="9026"/>
      </w:tabs>
    </w:pPr>
  </w:style>
  <w:style w:type="character" w:customStyle="1" w:styleId="FooterChar">
    <w:name w:val="Footer Char"/>
    <w:basedOn w:val="DefaultParagraphFont"/>
    <w:link w:val="Footer"/>
    <w:uiPriority w:val="99"/>
    <w:rsid w:val="00A748E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30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ney-b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fsp.info/assets/WIA_20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sk-monger.blogactiv.eu2015/01/09/message%20-to-the-iucn-activist-scientists-rules-mat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European_Commission" TargetMode="External"/><Relationship Id="rId4" Type="http://schemas.openxmlformats.org/officeDocument/2006/relationships/settings" Target="settings.xml"/><Relationship Id="rId9" Type="http://schemas.openxmlformats.org/officeDocument/2006/relationships/hyperlink" Target="https://en.wikipedia.org/wiki/Colony_collapse_disor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F80CB-FAF0-4C8C-B93A-424BE6BD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10800</Words>
  <Characters>61562</Characters>
  <Application>Microsoft Office Word</Application>
  <DocSecurity>4</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Ragnar</dc:creator>
  <cp:lastModifiedBy>Kaye, Marianna</cp:lastModifiedBy>
  <cp:revision>2</cp:revision>
  <cp:lastPrinted>2015-06-25T12:27:00Z</cp:lastPrinted>
  <dcterms:created xsi:type="dcterms:W3CDTF">2016-04-07T11:50:00Z</dcterms:created>
  <dcterms:modified xsi:type="dcterms:W3CDTF">2016-04-07T11:50:00Z</dcterms:modified>
</cp:coreProperties>
</file>