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3E" w:rsidRPr="00E33DBB" w:rsidRDefault="00353A18" w:rsidP="00E33DBB">
      <w:pPr>
        <w:spacing w:line="276" w:lineRule="auto"/>
        <w:ind w:firstLine="0"/>
        <w:rPr>
          <w:b/>
        </w:rPr>
      </w:pPr>
      <w:bookmarkStart w:id="0" w:name="_GoBack"/>
      <w:bookmarkEnd w:id="0"/>
      <w:r w:rsidRPr="00E33DBB">
        <w:rPr>
          <w:b/>
        </w:rPr>
        <w:t>ACADEMIC LITERACY ACROSS THE CURRICULUM: TOWARDS A COLLABORATIVE INSTRUCTIONAL APPROACH</w:t>
      </w:r>
    </w:p>
    <w:p w:rsidR="009C7B21" w:rsidRPr="009C7B21" w:rsidRDefault="009C7B21" w:rsidP="009C7B21">
      <w:pPr>
        <w:pStyle w:val="Default"/>
        <w:rPr>
          <w:rFonts w:asciiTheme="minorHAnsi" w:hAnsiTheme="minorHAnsi"/>
        </w:rPr>
      </w:pPr>
      <w:r w:rsidRPr="009C7B21">
        <w:rPr>
          <w:rFonts w:asciiTheme="minorHAnsi" w:hAnsiTheme="minorHAnsi"/>
        </w:rPr>
        <w:t>Ursula Wingate</w:t>
      </w:r>
    </w:p>
    <w:p w:rsidR="009C7B21" w:rsidRPr="009C7B21" w:rsidRDefault="009C7B21" w:rsidP="009C7B21">
      <w:pPr>
        <w:pStyle w:val="Default"/>
        <w:rPr>
          <w:rFonts w:asciiTheme="minorHAnsi" w:hAnsiTheme="minorHAnsi"/>
        </w:rPr>
      </w:pPr>
      <w:r w:rsidRPr="009C7B21">
        <w:rPr>
          <w:rFonts w:asciiTheme="minorHAnsi" w:hAnsiTheme="minorHAnsi"/>
        </w:rPr>
        <w:t>King’s College London</w:t>
      </w:r>
    </w:p>
    <w:p w:rsidR="009C7B21" w:rsidRPr="009C7B21" w:rsidRDefault="009C7B21" w:rsidP="009C7B21">
      <w:pPr>
        <w:pStyle w:val="Default"/>
        <w:rPr>
          <w:rFonts w:asciiTheme="minorHAnsi" w:hAnsiTheme="minorHAnsi"/>
        </w:rPr>
      </w:pPr>
      <w:r w:rsidRPr="009C7B21">
        <w:rPr>
          <w:rFonts w:asciiTheme="minorHAnsi" w:hAnsiTheme="minorHAnsi"/>
        </w:rPr>
        <w:t>ursula.wingate@kcl.ac.uk</w:t>
      </w:r>
    </w:p>
    <w:p w:rsidR="009C7B21" w:rsidRPr="009C7B21" w:rsidRDefault="009C7B21" w:rsidP="009C7B21">
      <w:pPr>
        <w:pStyle w:val="Default"/>
        <w:rPr>
          <w:rFonts w:asciiTheme="minorHAnsi" w:hAnsiTheme="minorHAnsi"/>
        </w:rPr>
      </w:pPr>
    </w:p>
    <w:p w:rsidR="009C7B21" w:rsidRPr="009C7B21" w:rsidRDefault="009C7B21" w:rsidP="009C7B21">
      <w:pPr>
        <w:pStyle w:val="Default"/>
        <w:rPr>
          <w:rFonts w:asciiTheme="minorHAnsi" w:hAnsiTheme="minorHAnsi"/>
        </w:rPr>
      </w:pPr>
      <w:r w:rsidRPr="009C7B21">
        <w:rPr>
          <w:rFonts w:asciiTheme="minorHAnsi" w:hAnsiTheme="minorHAnsi"/>
        </w:rPr>
        <w:t>Revised version of a plenary address given at the 2015 International Conference on English Across the Curriculum, Hong Kong Polytechnic University 14 to 15 December 2015.</w:t>
      </w:r>
    </w:p>
    <w:p w:rsidR="009C7B21" w:rsidRPr="009C7B21" w:rsidRDefault="009C7B21" w:rsidP="009C7B21">
      <w:pPr>
        <w:pStyle w:val="Default"/>
        <w:rPr>
          <w:rFonts w:asciiTheme="minorHAnsi" w:hAnsiTheme="minorHAnsi"/>
        </w:rPr>
      </w:pPr>
    </w:p>
    <w:p w:rsidR="009C7B21" w:rsidRPr="009C7B21" w:rsidRDefault="009C7B21" w:rsidP="009C7B21">
      <w:pPr>
        <w:pStyle w:val="Default"/>
        <w:rPr>
          <w:rFonts w:asciiTheme="minorHAnsi" w:hAnsiTheme="minorHAnsi"/>
          <w:b/>
        </w:rPr>
      </w:pPr>
    </w:p>
    <w:p w:rsidR="009C7B21" w:rsidRPr="009C7B21" w:rsidRDefault="009C7B21" w:rsidP="009C7B21">
      <w:pPr>
        <w:pStyle w:val="Default"/>
        <w:rPr>
          <w:rFonts w:asciiTheme="minorHAnsi" w:hAnsiTheme="minorHAnsi"/>
          <w:b/>
        </w:rPr>
      </w:pPr>
      <w:r w:rsidRPr="009C7B21">
        <w:rPr>
          <w:rFonts w:asciiTheme="minorHAnsi" w:hAnsiTheme="minorHAnsi"/>
          <w:b/>
        </w:rPr>
        <w:t>Abstract</w:t>
      </w:r>
    </w:p>
    <w:p w:rsidR="009C7B21" w:rsidRPr="009C7B21" w:rsidRDefault="009C7B21" w:rsidP="009C7B21">
      <w:pPr>
        <w:pStyle w:val="Default"/>
        <w:spacing w:line="276" w:lineRule="auto"/>
        <w:rPr>
          <w:rFonts w:asciiTheme="minorHAnsi" w:hAnsiTheme="minorHAnsi"/>
          <w:b/>
        </w:rPr>
      </w:pPr>
      <w:r w:rsidRPr="009C7B21">
        <w:rPr>
          <w:rFonts w:asciiTheme="minorHAnsi" w:hAnsiTheme="minorHAnsi"/>
          <w:shd w:val="clear" w:color="auto" w:fill="FFFFFF"/>
        </w:rPr>
        <w:t xml:space="preserve">I respond to the conference theme ‘English across the Curriculum’ by suggesting that </w:t>
      </w:r>
      <w:r w:rsidRPr="009C7B21">
        <w:rPr>
          <w:rFonts w:asciiTheme="minorHAnsi" w:hAnsiTheme="minorHAnsi"/>
        </w:rPr>
        <w:t>‘Academic literacy’ should be taught across the curriculum. I first explain the concept of academic literacy which describes the range of abilities that students have to acquire when starting out in a new academic discipline. I then discuss the dominant instructional provision at universities. As this provision fails to address students’ real learning needs, I argue for curriculum-integrated academic literacy instruction that is based on the collaboration between English for Academic Purposes (EAP) specialists and subject lecturers. I provide examples of collaborative, discipline-specific approaches to supporting student learning, and present some insights from an intervention study that I have carried out to explore feasible ways of teaching and collaboration. Finally, I discuss the need for lecturer training to achieve a curriculum-integrated approach, and report on my experience of running a professional development module which aimed to enable lecturers to embed academic literacy development into their teaching practice.</w:t>
      </w:r>
    </w:p>
    <w:p w:rsidR="00A42833" w:rsidRPr="00E33DBB" w:rsidRDefault="00A42833" w:rsidP="00E33DBB">
      <w:pPr>
        <w:spacing w:line="276" w:lineRule="auto"/>
        <w:rPr>
          <w:rFonts w:cs="Times New Roman"/>
          <w:sz w:val="24"/>
          <w:szCs w:val="24"/>
        </w:rPr>
      </w:pPr>
    </w:p>
    <w:p w:rsidR="00A42833" w:rsidRPr="00E33DBB" w:rsidRDefault="00A42833" w:rsidP="00E33DBB">
      <w:pPr>
        <w:pStyle w:val="ListParagraph"/>
        <w:numPr>
          <w:ilvl w:val="0"/>
          <w:numId w:val="7"/>
        </w:numPr>
        <w:spacing w:line="276" w:lineRule="auto"/>
        <w:rPr>
          <w:rFonts w:cs="Times New Roman"/>
          <w:b/>
          <w:sz w:val="24"/>
          <w:szCs w:val="24"/>
        </w:rPr>
      </w:pPr>
      <w:r w:rsidRPr="00E33DBB">
        <w:rPr>
          <w:rFonts w:cs="Times New Roman"/>
          <w:b/>
          <w:sz w:val="24"/>
          <w:szCs w:val="24"/>
        </w:rPr>
        <w:t>Introduction</w:t>
      </w:r>
    </w:p>
    <w:p w:rsidR="00403CFD" w:rsidRPr="00E33DBB" w:rsidRDefault="00AE5C53" w:rsidP="009C7B21">
      <w:pPr>
        <w:spacing w:line="276" w:lineRule="auto"/>
        <w:ind w:left="0" w:firstLine="0"/>
        <w:rPr>
          <w:rFonts w:cs="Times New Roman"/>
          <w:sz w:val="24"/>
          <w:szCs w:val="24"/>
        </w:rPr>
      </w:pPr>
      <w:r w:rsidRPr="00E33DBB">
        <w:rPr>
          <w:rFonts w:cs="Times New Roman"/>
          <w:sz w:val="24"/>
          <w:szCs w:val="24"/>
        </w:rPr>
        <w:t>The title</w:t>
      </w:r>
      <w:r w:rsidR="009D7A16" w:rsidRPr="00E33DBB">
        <w:rPr>
          <w:rFonts w:cs="Times New Roman"/>
          <w:sz w:val="24"/>
          <w:szCs w:val="24"/>
        </w:rPr>
        <w:t xml:space="preserve"> of my pa</w:t>
      </w:r>
      <w:r w:rsidR="000D6438" w:rsidRPr="00E33DBB">
        <w:rPr>
          <w:rFonts w:cs="Times New Roman"/>
          <w:sz w:val="24"/>
          <w:szCs w:val="24"/>
        </w:rPr>
        <w:t>per responds to</w:t>
      </w:r>
      <w:r w:rsidRPr="00E33DBB">
        <w:rPr>
          <w:rFonts w:cs="Times New Roman"/>
          <w:sz w:val="24"/>
          <w:szCs w:val="24"/>
        </w:rPr>
        <w:t xml:space="preserve"> the conference theme ‘</w:t>
      </w:r>
      <w:r w:rsidR="009D7A16" w:rsidRPr="00E33DBB">
        <w:rPr>
          <w:rFonts w:cs="Times New Roman"/>
          <w:sz w:val="24"/>
          <w:szCs w:val="24"/>
        </w:rPr>
        <w:t>English across the C</w:t>
      </w:r>
      <w:r w:rsidRPr="00E33DBB">
        <w:rPr>
          <w:rFonts w:cs="Times New Roman"/>
          <w:sz w:val="24"/>
          <w:szCs w:val="24"/>
        </w:rPr>
        <w:t xml:space="preserve">urriculum’, which itself </w:t>
      </w:r>
      <w:r w:rsidR="006F765F" w:rsidRPr="00E33DBB">
        <w:rPr>
          <w:rFonts w:cs="Times New Roman"/>
          <w:sz w:val="24"/>
          <w:szCs w:val="24"/>
        </w:rPr>
        <w:t>relates</w:t>
      </w:r>
      <w:r w:rsidR="009D7A16" w:rsidRPr="00E33DBB">
        <w:rPr>
          <w:rFonts w:cs="Times New Roman"/>
          <w:sz w:val="24"/>
          <w:szCs w:val="24"/>
        </w:rPr>
        <w:t xml:space="preserve"> to the movement ‘Writing across the Curriculum’</w:t>
      </w:r>
      <w:r w:rsidR="004C4C0E" w:rsidRPr="00E33DBB">
        <w:rPr>
          <w:rFonts w:cs="Times New Roman"/>
          <w:sz w:val="24"/>
          <w:szCs w:val="24"/>
        </w:rPr>
        <w:t xml:space="preserve">, an influential approach to teaching writing within the disciplines which is widely followed in US universities (Horner 2014). My title </w:t>
      </w:r>
      <w:r w:rsidR="005A261E" w:rsidRPr="00E33DBB">
        <w:rPr>
          <w:rFonts w:cs="Times New Roman"/>
          <w:sz w:val="24"/>
          <w:szCs w:val="24"/>
        </w:rPr>
        <w:t>signal</w:t>
      </w:r>
      <w:r w:rsidR="006F765F" w:rsidRPr="00E33DBB">
        <w:rPr>
          <w:rFonts w:cs="Times New Roman"/>
          <w:sz w:val="24"/>
          <w:szCs w:val="24"/>
        </w:rPr>
        <w:t>s</w:t>
      </w:r>
      <w:r w:rsidR="005A261E" w:rsidRPr="00E33DBB">
        <w:rPr>
          <w:rFonts w:cs="Times New Roman"/>
          <w:sz w:val="24"/>
          <w:szCs w:val="24"/>
        </w:rPr>
        <w:t xml:space="preserve"> </w:t>
      </w:r>
      <w:r w:rsidR="000C0C74" w:rsidRPr="00E33DBB">
        <w:rPr>
          <w:rFonts w:cs="Times New Roman"/>
          <w:sz w:val="24"/>
          <w:szCs w:val="24"/>
        </w:rPr>
        <w:t>two points</w:t>
      </w:r>
      <w:r w:rsidR="00F946E8" w:rsidRPr="00E33DBB">
        <w:rPr>
          <w:rFonts w:cs="Times New Roman"/>
          <w:sz w:val="24"/>
          <w:szCs w:val="24"/>
        </w:rPr>
        <w:t xml:space="preserve"> I want</w:t>
      </w:r>
      <w:r w:rsidR="00172240" w:rsidRPr="00E33DBB">
        <w:rPr>
          <w:rFonts w:cs="Times New Roman"/>
          <w:sz w:val="24"/>
          <w:szCs w:val="24"/>
        </w:rPr>
        <w:t xml:space="preserve"> to make: first, that we need to do more than just teach </w:t>
      </w:r>
      <w:r w:rsidR="00172240" w:rsidRPr="00E33DBB">
        <w:rPr>
          <w:rFonts w:cs="Times New Roman"/>
          <w:smallCaps/>
          <w:sz w:val="24"/>
          <w:szCs w:val="24"/>
        </w:rPr>
        <w:t>writing</w:t>
      </w:r>
      <w:r w:rsidR="00172240" w:rsidRPr="00E33DBB">
        <w:rPr>
          <w:rFonts w:cs="Times New Roman"/>
          <w:sz w:val="24"/>
          <w:szCs w:val="24"/>
        </w:rPr>
        <w:t xml:space="preserve"> if we want to offer adequate support to students settling into university, and second, </w:t>
      </w:r>
      <w:r w:rsidR="00403CFD" w:rsidRPr="00E33DBB">
        <w:rPr>
          <w:rFonts w:cs="Times New Roman"/>
          <w:sz w:val="24"/>
          <w:szCs w:val="24"/>
        </w:rPr>
        <w:t xml:space="preserve">that </w:t>
      </w:r>
      <w:r w:rsidR="00187E5A" w:rsidRPr="00E33DBB">
        <w:rPr>
          <w:rFonts w:cs="Times New Roman"/>
          <w:smallCaps/>
          <w:sz w:val="24"/>
          <w:szCs w:val="24"/>
        </w:rPr>
        <w:t>En</w:t>
      </w:r>
      <w:r w:rsidR="00403CFD" w:rsidRPr="00E33DBB">
        <w:rPr>
          <w:rFonts w:cs="Times New Roman"/>
          <w:smallCaps/>
          <w:sz w:val="24"/>
          <w:szCs w:val="24"/>
        </w:rPr>
        <w:t>glish</w:t>
      </w:r>
      <w:r w:rsidR="009923E3" w:rsidRPr="00E33DBB">
        <w:rPr>
          <w:rFonts w:cs="Times New Roman"/>
          <w:sz w:val="24"/>
          <w:szCs w:val="24"/>
        </w:rPr>
        <w:t xml:space="preserve">, </w:t>
      </w:r>
      <w:r w:rsidR="00403CFD" w:rsidRPr="00E33DBB">
        <w:rPr>
          <w:rFonts w:cs="Times New Roman"/>
          <w:sz w:val="24"/>
          <w:szCs w:val="24"/>
        </w:rPr>
        <w:t>as</w:t>
      </w:r>
      <w:r w:rsidR="00187E5A" w:rsidRPr="00E33DBB">
        <w:rPr>
          <w:rFonts w:cs="Times New Roman"/>
          <w:sz w:val="24"/>
          <w:szCs w:val="24"/>
        </w:rPr>
        <w:t xml:space="preserve"> in t</w:t>
      </w:r>
      <w:r w:rsidR="00BB70AA" w:rsidRPr="00E33DBB">
        <w:rPr>
          <w:rFonts w:cs="Times New Roman"/>
          <w:sz w:val="24"/>
          <w:szCs w:val="24"/>
        </w:rPr>
        <w:t>he label ‘</w:t>
      </w:r>
      <w:r w:rsidR="00DA4A13" w:rsidRPr="00E33DBB">
        <w:rPr>
          <w:rFonts w:cs="Times New Roman"/>
          <w:sz w:val="24"/>
          <w:szCs w:val="24"/>
        </w:rPr>
        <w:t>English Across the Curriculum</w:t>
      </w:r>
      <w:r w:rsidR="00BB70AA" w:rsidRPr="00E33DBB">
        <w:rPr>
          <w:rFonts w:cs="Times New Roman"/>
          <w:sz w:val="24"/>
          <w:szCs w:val="24"/>
        </w:rPr>
        <w:t>’</w:t>
      </w:r>
      <w:r w:rsidR="00F946E8" w:rsidRPr="00E33DBB">
        <w:rPr>
          <w:rFonts w:cs="Times New Roman"/>
          <w:sz w:val="24"/>
          <w:szCs w:val="24"/>
        </w:rPr>
        <w:t xml:space="preserve"> needs to be understood in the </w:t>
      </w:r>
      <w:r w:rsidR="00FA6B2A" w:rsidRPr="00E33DBB">
        <w:rPr>
          <w:rFonts w:cs="Times New Roman"/>
          <w:sz w:val="24"/>
          <w:szCs w:val="24"/>
        </w:rPr>
        <w:t xml:space="preserve">in such a way as </w:t>
      </w:r>
      <w:r w:rsidR="00F946E8" w:rsidRPr="00E33DBB">
        <w:rPr>
          <w:rFonts w:cs="Times New Roman"/>
          <w:sz w:val="24"/>
          <w:szCs w:val="24"/>
        </w:rPr>
        <w:t xml:space="preserve">to avoid the rather common misconception that it is </w:t>
      </w:r>
      <w:r w:rsidR="00403CFD" w:rsidRPr="00E33DBB">
        <w:rPr>
          <w:rFonts w:cs="Times New Roman"/>
          <w:sz w:val="24"/>
          <w:szCs w:val="24"/>
        </w:rPr>
        <w:t>linguistic compe</w:t>
      </w:r>
      <w:r w:rsidR="004F501F" w:rsidRPr="00E33DBB">
        <w:rPr>
          <w:rFonts w:cs="Times New Roman"/>
          <w:sz w:val="24"/>
          <w:szCs w:val="24"/>
        </w:rPr>
        <w:t xml:space="preserve">tence </w:t>
      </w:r>
      <w:r w:rsidR="00F946E8" w:rsidRPr="00E33DBB">
        <w:rPr>
          <w:rFonts w:cs="Times New Roman"/>
          <w:sz w:val="24"/>
          <w:szCs w:val="24"/>
        </w:rPr>
        <w:t xml:space="preserve">only </w:t>
      </w:r>
      <w:r w:rsidR="004F501F" w:rsidRPr="00E33DBB">
        <w:rPr>
          <w:rFonts w:cs="Times New Roman"/>
          <w:sz w:val="24"/>
          <w:szCs w:val="24"/>
        </w:rPr>
        <w:t xml:space="preserve">that students need </w:t>
      </w:r>
      <w:r w:rsidR="00F946E8" w:rsidRPr="00E33DBB">
        <w:rPr>
          <w:rFonts w:cs="Times New Roman"/>
          <w:sz w:val="24"/>
          <w:szCs w:val="24"/>
        </w:rPr>
        <w:t>for successful</w:t>
      </w:r>
      <w:r w:rsidR="004F501F" w:rsidRPr="00E33DBB">
        <w:rPr>
          <w:rFonts w:cs="Times New Roman"/>
          <w:sz w:val="24"/>
          <w:szCs w:val="24"/>
        </w:rPr>
        <w:t xml:space="preserve"> academic study</w:t>
      </w:r>
      <w:r w:rsidR="00403CFD" w:rsidRPr="00E33DBB">
        <w:rPr>
          <w:rFonts w:cs="Times New Roman"/>
          <w:sz w:val="24"/>
          <w:szCs w:val="24"/>
        </w:rPr>
        <w:t xml:space="preserve">.  </w:t>
      </w:r>
      <w:r w:rsidR="0073612B" w:rsidRPr="00E33DBB">
        <w:rPr>
          <w:rFonts w:cs="Times New Roman"/>
          <w:sz w:val="24"/>
          <w:szCs w:val="24"/>
        </w:rPr>
        <w:t xml:space="preserve">‘Academic literacy’ represents more clearly the range of abilities that students have to acquire when starting out in a new academic discipline. </w:t>
      </w:r>
      <w:r w:rsidR="00403CFD" w:rsidRPr="00E33DBB">
        <w:rPr>
          <w:rFonts w:cs="Times New Roman"/>
          <w:sz w:val="24"/>
          <w:szCs w:val="24"/>
        </w:rPr>
        <w:t xml:space="preserve">The recognition that successful performance at university requires </w:t>
      </w:r>
      <w:r w:rsidR="004F501F" w:rsidRPr="00E33DBB">
        <w:rPr>
          <w:rFonts w:cs="Times New Roman"/>
          <w:sz w:val="24"/>
          <w:szCs w:val="24"/>
        </w:rPr>
        <w:t xml:space="preserve">the development of </w:t>
      </w:r>
      <w:r w:rsidR="00403CFD" w:rsidRPr="00E33DBB">
        <w:rPr>
          <w:rFonts w:cs="Times New Roman"/>
          <w:sz w:val="24"/>
          <w:szCs w:val="24"/>
        </w:rPr>
        <w:t>academic literacy</w:t>
      </w:r>
      <w:r w:rsidR="004F501F" w:rsidRPr="00E33DBB">
        <w:rPr>
          <w:rFonts w:cs="Times New Roman"/>
          <w:sz w:val="24"/>
          <w:szCs w:val="24"/>
        </w:rPr>
        <w:t xml:space="preserve"> is particularly important in second language environments such as Hong Kong, where difficulties that s</w:t>
      </w:r>
      <w:r w:rsidR="004725AB" w:rsidRPr="00E33DBB">
        <w:rPr>
          <w:rFonts w:cs="Times New Roman"/>
          <w:sz w:val="24"/>
          <w:szCs w:val="24"/>
        </w:rPr>
        <w:t>tudents encounter at university</w:t>
      </w:r>
      <w:r w:rsidR="00AB6B2C" w:rsidRPr="00E33DBB">
        <w:rPr>
          <w:rFonts w:cs="Times New Roman"/>
          <w:sz w:val="24"/>
          <w:szCs w:val="24"/>
        </w:rPr>
        <w:t xml:space="preserve"> tend to be</w:t>
      </w:r>
      <w:r w:rsidR="004F501F" w:rsidRPr="00E33DBB">
        <w:rPr>
          <w:rFonts w:cs="Times New Roman"/>
          <w:sz w:val="24"/>
          <w:szCs w:val="24"/>
        </w:rPr>
        <w:t xml:space="preserve"> attributed to </w:t>
      </w:r>
      <w:r w:rsidR="00FB5F4B" w:rsidRPr="00E33DBB">
        <w:rPr>
          <w:rFonts w:cs="Times New Roman"/>
          <w:sz w:val="24"/>
          <w:szCs w:val="24"/>
        </w:rPr>
        <w:t xml:space="preserve">a </w:t>
      </w:r>
      <w:r w:rsidR="004F501F" w:rsidRPr="00E33DBB">
        <w:rPr>
          <w:rFonts w:cs="Times New Roman"/>
          <w:sz w:val="24"/>
          <w:szCs w:val="24"/>
        </w:rPr>
        <w:t>lack</w:t>
      </w:r>
      <w:r w:rsidR="00A87215" w:rsidRPr="00E33DBB">
        <w:rPr>
          <w:rFonts w:cs="Times New Roman"/>
          <w:sz w:val="24"/>
          <w:szCs w:val="24"/>
        </w:rPr>
        <w:t xml:space="preserve"> </w:t>
      </w:r>
      <w:r w:rsidR="00FB5F4B" w:rsidRPr="00E33DBB">
        <w:rPr>
          <w:rFonts w:cs="Times New Roman"/>
          <w:sz w:val="24"/>
          <w:szCs w:val="24"/>
        </w:rPr>
        <w:t xml:space="preserve">of </w:t>
      </w:r>
      <w:r w:rsidR="00A87215" w:rsidRPr="00E33DBB">
        <w:rPr>
          <w:rFonts w:cs="Times New Roman"/>
          <w:sz w:val="24"/>
          <w:szCs w:val="24"/>
        </w:rPr>
        <w:t>competence in English</w:t>
      </w:r>
      <w:r w:rsidR="004F501F" w:rsidRPr="00E33DBB">
        <w:rPr>
          <w:rFonts w:cs="Times New Roman"/>
          <w:sz w:val="24"/>
          <w:szCs w:val="24"/>
        </w:rPr>
        <w:t xml:space="preserve">. </w:t>
      </w:r>
    </w:p>
    <w:p w:rsidR="0073612B" w:rsidRPr="00E33DBB" w:rsidRDefault="0073612B" w:rsidP="009C7B21">
      <w:pPr>
        <w:spacing w:line="276" w:lineRule="auto"/>
        <w:ind w:left="0"/>
        <w:rPr>
          <w:rFonts w:cs="Times New Roman"/>
          <w:sz w:val="24"/>
          <w:szCs w:val="24"/>
        </w:rPr>
      </w:pPr>
      <w:r w:rsidRPr="00E33DBB">
        <w:rPr>
          <w:rFonts w:cs="Times New Roman"/>
          <w:sz w:val="24"/>
          <w:szCs w:val="24"/>
        </w:rPr>
        <w:t xml:space="preserve">Therefore, in the first part of my paper, I </w:t>
      </w:r>
      <w:r w:rsidR="00596E9E" w:rsidRPr="00E33DBB">
        <w:rPr>
          <w:rFonts w:cs="Times New Roman"/>
          <w:sz w:val="24"/>
          <w:szCs w:val="24"/>
        </w:rPr>
        <w:t xml:space="preserve">aim to </w:t>
      </w:r>
      <w:r w:rsidRPr="00E33DBB">
        <w:rPr>
          <w:rFonts w:cs="Times New Roman"/>
          <w:sz w:val="24"/>
          <w:szCs w:val="24"/>
        </w:rPr>
        <w:t xml:space="preserve">explain the concept of academic literacy and discuss the </w:t>
      </w:r>
      <w:r w:rsidR="00275775" w:rsidRPr="00E33DBB">
        <w:rPr>
          <w:rFonts w:cs="Times New Roman"/>
          <w:sz w:val="24"/>
          <w:szCs w:val="24"/>
        </w:rPr>
        <w:t>dominant</w:t>
      </w:r>
      <w:r w:rsidRPr="00E33DBB">
        <w:rPr>
          <w:rFonts w:cs="Times New Roman"/>
          <w:sz w:val="24"/>
          <w:szCs w:val="24"/>
        </w:rPr>
        <w:t xml:space="preserve"> instructional pro</w:t>
      </w:r>
      <w:r w:rsidR="00275775" w:rsidRPr="00E33DBB">
        <w:rPr>
          <w:rFonts w:cs="Times New Roman"/>
          <w:sz w:val="24"/>
          <w:szCs w:val="24"/>
        </w:rPr>
        <w:t>vision at univers</w:t>
      </w:r>
      <w:r w:rsidR="00CD0C50" w:rsidRPr="00E33DBB">
        <w:rPr>
          <w:rFonts w:cs="Times New Roman"/>
          <w:sz w:val="24"/>
          <w:szCs w:val="24"/>
        </w:rPr>
        <w:t>ities. As this provision fails to address students’ real learning needs</w:t>
      </w:r>
      <w:r w:rsidRPr="00E33DBB">
        <w:rPr>
          <w:rFonts w:cs="Times New Roman"/>
          <w:sz w:val="24"/>
          <w:szCs w:val="24"/>
        </w:rPr>
        <w:t xml:space="preserve">, I will argue for curriculum-integrated </w:t>
      </w:r>
      <w:r w:rsidR="00F17A30" w:rsidRPr="00E33DBB">
        <w:rPr>
          <w:rFonts w:cs="Times New Roman"/>
          <w:sz w:val="24"/>
          <w:szCs w:val="24"/>
        </w:rPr>
        <w:t xml:space="preserve">academic </w:t>
      </w:r>
      <w:r w:rsidR="00F17A30" w:rsidRPr="00E33DBB">
        <w:rPr>
          <w:rFonts w:cs="Times New Roman"/>
          <w:sz w:val="24"/>
          <w:szCs w:val="24"/>
        </w:rPr>
        <w:lastRenderedPageBreak/>
        <w:t xml:space="preserve">literacy instruction </w:t>
      </w:r>
      <w:r w:rsidR="00275775" w:rsidRPr="00E33DBB">
        <w:rPr>
          <w:rFonts w:cs="Times New Roman"/>
          <w:sz w:val="24"/>
          <w:szCs w:val="24"/>
        </w:rPr>
        <w:t>that is based on the collaboration between English for Academic Purposes (EAP) specialists and subject lectu</w:t>
      </w:r>
      <w:r w:rsidR="004725AB" w:rsidRPr="00E33DBB">
        <w:rPr>
          <w:rFonts w:cs="Times New Roman"/>
          <w:sz w:val="24"/>
          <w:szCs w:val="24"/>
        </w:rPr>
        <w:t xml:space="preserve">rers. Next, I will provide </w:t>
      </w:r>
      <w:r w:rsidR="00275775" w:rsidRPr="00E33DBB">
        <w:rPr>
          <w:rFonts w:cs="Times New Roman"/>
          <w:sz w:val="24"/>
          <w:szCs w:val="24"/>
        </w:rPr>
        <w:t>examples of collaborative, d</w:t>
      </w:r>
      <w:r w:rsidR="00E967F9" w:rsidRPr="00E33DBB">
        <w:rPr>
          <w:rFonts w:cs="Times New Roman"/>
          <w:sz w:val="24"/>
          <w:szCs w:val="24"/>
        </w:rPr>
        <w:t>iscipline-specific approaches</w:t>
      </w:r>
      <w:r w:rsidR="00275775" w:rsidRPr="00E33DBB">
        <w:rPr>
          <w:rFonts w:cs="Times New Roman"/>
          <w:sz w:val="24"/>
          <w:szCs w:val="24"/>
        </w:rPr>
        <w:t xml:space="preserve"> to supporting student learning, and present some insights from </w:t>
      </w:r>
      <w:r w:rsidR="00000070" w:rsidRPr="00E33DBB">
        <w:rPr>
          <w:rFonts w:cs="Times New Roman"/>
          <w:sz w:val="24"/>
          <w:szCs w:val="24"/>
        </w:rPr>
        <w:t>a</w:t>
      </w:r>
      <w:r w:rsidR="00190D7D" w:rsidRPr="00E33DBB">
        <w:rPr>
          <w:rFonts w:cs="Times New Roman"/>
          <w:sz w:val="24"/>
          <w:szCs w:val="24"/>
        </w:rPr>
        <w:t xml:space="preserve"> writing</w:t>
      </w:r>
      <w:r w:rsidR="00000070" w:rsidRPr="00E33DBB">
        <w:rPr>
          <w:rFonts w:cs="Times New Roman"/>
          <w:sz w:val="24"/>
          <w:szCs w:val="24"/>
        </w:rPr>
        <w:t xml:space="preserve"> intervention</w:t>
      </w:r>
      <w:r w:rsidR="009923E3" w:rsidRPr="00E33DBB">
        <w:rPr>
          <w:rFonts w:cs="Times New Roman"/>
          <w:sz w:val="24"/>
          <w:szCs w:val="24"/>
        </w:rPr>
        <w:t xml:space="preserve"> </w:t>
      </w:r>
      <w:r w:rsidR="00275775" w:rsidRPr="00E33DBB">
        <w:rPr>
          <w:rFonts w:cs="Times New Roman"/>
          <w:sz w:val="24"/>
          <w:szCs w:val="24"/>
        </w:rPr>
        <w:t xml:space="preserve">study </w:t>
      </w:r>
      <w:r w:rsidR="00047F0B" w:rsidRPr="00E33DBB">
        <w:rPr>
          <w:rFonts w:cs="Times New Roman"/>
          <w:sz w:val="24"/>
          <w:szCs w:val="24"/>
        </w:rPr>
        <w:t xml:space="preserve">that </w:t>
      </w:r>
      <w:r w:rsidR="00275775" w:rsidRPr="00E33DBB">
        <w:rPr>
          <w:rFonts w:cs="Times New Roman"/>
          <w:sz w:val="24"/>
          <w:szCs w:val="24"/>
        </w:rPr>
        <w:t>I have carried out to explore</w:t>
      </w:r>
      <w:r w:rsidR="00DA72CF" w:rsidRPr="00E33DBB">
        <w:rPr>
          <w:rFonts w:cs="Times New Roman"/>
          <w:sz w:val="24"/>
          <w:szCs w:val="24"/>
        </w:rPr>
        <w:t xml:space="preserve"> feasible ways of teaching </w:t>
      </w:r>
      <w:r w:rsidR="00000070" w:rsidRPr="00E33DBB">
        <w:rPr>
          <w:rFonts w:cs="Times New Roman"/>
          <w:sz w:val="24"/>
          <w:szCs w:val="24"/>
        </w:rPr>
        <w:t>and c</w:t>
      </w:r>
      <w:r w:rsidR="00047F0B" w:rsidRPr="00E33DBB">
        <w:rPr>
          <w:rFonts w:cs="Times New Roman"/>
          <w:sz w:val="24"/>
          <w:szCs w:val="24"/>
        </w:rPr>
        <w:t xml:space="preserve">ollaboration. Finally, I discuss the need for </w:t>
      </w:r>
      <w:r w:rsidR="00FA6B2A" w:rsidRPr="00E33DBB">
        <w:rPr>
          <w:rFonts w:cs="Times New Roman"/>
          <w:sz w:val="24"/>
          <w:szCs w:val="24"/>
        </w:rPr>
        <w:t xml:space="preserve">subject </w:t>
      </w:r>
      <w:r w:rsidR="00BE72AB" w:rsidRPr="00E33DBB">
        <w:rPr>
          <w:rFonts w:cs="Times New Roman"/>
          <w:sz w:val="24"/>
          <w:szCs w:val="24"/>
        </w:rPr>
        <w:t>lecturer training</w:t>
      </w:r>
      <w:r w:rsidR="00047F0B" w:rsidRPr="00E33DBB">
        <w:rPr>
          <w:rFonts w:cs="Times New Roman"/>
          <w:sz w:val="24"/>
          <w:szCs w:val="24"/>
        </w:rPr>
        <w:t xml:space="preserve"> to achieve a</w:t>
      </w:r>
      <w:r w:rsidR="004725AB" w:rsidRPr="00E33DBB">
        <w:rPr>
          <w:rFonts w:cs="Times New Roman"/>
          <w:sz w:val="24"/>
          <w:szCs w:val="24"/>
        </w:rPr>
        <w:t xml:space="preserve"> curriculum-integrated approach</w:t>
      </w:r>
      <w:r w:rsidR="00000070" w:rsidRPr="00E33DBB">
        <w:rPr>
          <w:rFonts w:cs="Times New Roman"/>
          <w:sz w:val="24"/>
          <w:szCs w:val="24"/>
        </w:rPr>
        <w:t xml:space="preserve">, and report on my experience of running a professional development module which aimed to enable lecturers to embed academic literacy development </w:t>
      </w:r>
      <w:r w:rsidR="008A2CE7" w:rsidRPr="00E33DBB">
        <w:rPr>
          <w:rFonts w:cs="Times New Roman"/>
          <w:sz w:val="24"/>
          <w:szCs w:val="24"/>
        </w:rPr>
        <w:t>into their teaching practice</w:t>
      </w:r>
      <w:r w:rsidR="00000070" w:rsidRPr="00E33DBB">
        <w:rPr>
          <w:rFonts w:cs="Times New Roman"/>
          <w:sz w:val="24"/>
          <w:szCs w:val="24"/>
        </w:rPr>
        <w:t>.</w:t>
      </w:r>
    </w:p>
    <w:p w:rsidR="009B43C7" w:rsidRPr="00E33DBB" w:rsidRDefault="009B43C7" w:rsidP="00E33DBB">
      <w:pPr>
        <w:spacing w:line="276" w:lineRule="auto"/>
        <w:rPr>
          <w:rFonts w:cs="Times New Roman"/>
          <w:sz w:val="24"/>
          <w:szCs w:val="24"/>
        </w:rPr>
      </w:pPr>
    </w:p>
    <w:p w:rsidR="00403CFD" w:rsidRPr="00E33DBB" w:rsidRDefault="00E967F9" w:rsidP="00E33DBB">
      <w:pPr>
        <w:pStyle w:val="ListParagraph"/>
        <w:numPr>
          <w:ilvl w:val="0"/>
          <w:numId w:val="7"/>
        </w:numPr>
        <w:spacing w:line="276" w:lineRule="auto"/>
        <w:rPr>
          <w:rFonts w:cs="Times New Roman"/>
          <w:b/>
          <w:sz w:val="24"/>
          <w:szCs w:val="24"/>
        </w:rPr>
      </w:pPr>
      <w:r w:rsidRPr="00E33DBB">
        <w:rPr>
          <w:rFonts w:cs="Times New Roman"/>
          <w:b/>
          <w:sz w:val="24"/>
          <w:szCs w:val="24"/>
        </w:rPr>
        <w:t xml:space="preserve">Academic </w:t>
      </w:r>
      <w:r w:rsidR="00C35723" w:rsidRPr="00E33DBB">
        <w:rPr>
          <w:rFonts w:cs="Times New Roman"/>
          <w:b/>
          <w:sz w:val="24"/>
          <w:szCs w:val="24"/>
        </w:rPr>
        <w:t>Literacy And Dominant Instructional Models</w:t>
      </w:r>
    </w:p>
    <w:p w:rsidR="00475C52" w:rsidRPr="00E33DBB" w:rsidRDefault="005755FA" w:rsidP="009C7B21">
      <w:pPr>
        <w:spacing w:line="276" w:lineRule="auto"/>
        <w:ind w:left="0" w:firstLine="0"/>
        <w:rPr>
          <w:rFonts w:cs="Times New Roman"/>
          <w:sz w:val="24"/>
          <w:szCs w:val="24"/>
        </w:rPr>
      </w:pPr>
      <w:r w:rsidRPr="00E33DBB">
        <w:rPr>
          <w:rFonts w:cs="Times New Roman"/>
          <w:sz w:val="24"/>
          <w:szCs w:val="24"/>
        </w:rPr>
        <w:t xml:space="preserve">Academic literacy is far more than academic </w:t>
      </w:r>
      <w:r w:rsidR="00A113B6" w:rsidRPr="00E33DBB">
        <w:rPr>
          <w:rFonts w:cs="Times New Roman"/>
          <w:sz w:val="24"/>
          <w:szCs w:val="24"/>
        </w:rPr>
        <w:t xml:space="preserve">writing, although the term is often used with reference to writing only. </w:t>
      </w:r>
      <w:r w:rsidRPr="00E33DBB">
        <w:rPr>
          <w:rFonts w:cs="Times New Roman"/>
          <w:sz w:val="24"/>
          <w:szCs w:val="24"/>
        </w:rPr>
        <w:t>I understand academic literacy as the ability to communicate competently in an academic discourse com</w:t>
      </w:r>
      <w:r w:rsidR="0039236A" w:rsidRPr="00E33DBB">
        <w:rPr>
          <w:rFonts w:cs="Times New Roman"/>
          <w:sz w:val="24"/>
          <w:szCs w:val="24"/>
        </w:rPr>
        <w:t>munity</w:t>
      </w:r>
      <w:r w:rsidR="00837CD6" w:rsidRPr="00E33DBB">
        <w:rPr>
          <w:rFonts w:cs="Times New Roman"/>
          <w:sz w:val="24"/>
          <w:szCs w:val="24"/>
        </w:rPr>
        <w:t>; this</w:t>
      </w:r>
      <w:r w:rsidR="00A113B6" w:rsidRPr="00E33DBB">
        <w:rPr>
          <w:rFonts w:cs="Times New Roman"/>
          <w:sz w:val="24"/>
          <w:szCs w:val="24"/>
        </w:rPr>
        <w:t xml:space="preserve"> </w:t>
      </w:r>
      <w:r w:rsidR="00047F0B" w:rsidRPr="00E33DBB">
        <w:rPr>
          <w:rFonts w:cs="Times New Roman"/>
          <w:sz w:val="24"/>
          <w:szCs w:val="24"/>
        </w:rPr>
        <w:t>encompasses reading, evaluating information, as well as presenting, debating and creating knowledge through both</w:t>
      </w:r>
      <w:r w:rsidR="0039236A" w:rsidRPr="00E33DBB">
        <w:rPr>
          <w:rFonts w:cs="Times New Roman"/>
          <w:sz w:val="24"/>
          <w:szCs w:val="24"/>
        </w:rPr>
        <w:t xml:space="preserve"> </w:t>
      </w:r>
      <w:r w:rsidR="0026093E" w:rsidRPr="00E33DBB">
        <w:rPr>
          <w:rFonts w:cs="Times New Roman"/>
          <w:sz w:val="24"/>
          <w:szCs w:val="24"/>
        </w:rPr>
        <w:t xml:space="preserve">speaking and writing. These capabilities </w:t>
      </w:r>
      <w:r w:rsidR="00A113B6" w:rsidRPr="00E33DBB">
        <w:rPr>
          <w:rFonts w:cs="Times New Roman"/>
          <w:sz w:val="24"/>
          <w:szCs w:val="24"/>
        </w:rPr>
        <w:t xml:space="preserve">require </w:t>
      </w:r>
      <w:r w:rsidR="00E67D24" w:rsidRPr="00E33DBB">
        <w:rPr>
          <w:rFonts w:cs="Times New Roman"/>
          <w:sz w:val="24"/>
          <w:szCs w:val="24"/>
        </w:rPr>
        <w:t>knowledge</w:t>
      </w:r>
      <w:r w:rsidR="0039236A" w:rsidRPr="00E33DBB">
        <w:rPr>
          <w:rFonts w:cs="Times New Roman"/>
          <w:sz w:val="24"/>
          <w:szCs w:val="24"/>
        </w:rPr>
        <w:t xml:space="preserve"> of the community’s epistemology, of the genres through which the community interacts, and of the conventions that regulate these interactions. </w:t>
      </w:r>
      <w:r w:rsidR="00047F0B" w:rsidRPr="00E33DBB">
        <w:rPr>
          <w:rFonts w:cs="Times New Roman"/>
          <w:sz w:val="24"/>
          <w:szCs w:val="24"/>
        </w:rPr>
        <w:t xml:space="preserve"> </w:t>
      </w:r>
      <w:r w:rsidR="00CD4178" w:rsidRPr="00E33DBB">
        <w:rPr>
          <w:rFonts w:cs="Times New Roman"/>
          <w:sz w:val="24"/>
          <w:szCs w:val="24"/>
        </w:rPr>
        <w:t xml:space="preserve">This understanding of academic literacy has two </w:t>
      </w:r>
      <w:r w:rsidR="00A113B6" w:rsidRPr="00E33DBB">
        <w:rPr>
          <w:rFonts w:cs="Times New Roman"/>
          <w:sz w:val="24"/>
          <w:szCs w:val="24"/>
        </w:rPr>
        <w:t xml:space="preserve">main </w:t>
      </w:r>
      <w:r w:rsidR="00CD4178" w:rsidRPr="00E33DBB">
        <w:rPr>
          <w:rFonts w:cs="Times New Roman"/>
          <w:sz w:val="24"/>
          <w:szCs w:val="24"/>
        </w:rPr>
        <w:t xml:space="preserve">implications. First, </w:t>
      </w:r>
      <w:r w:rsidR="00A113B6" w:rsidRPr="00E33DBB">
        <w:rPr>
          <w:rFonts w:cs="Times New Roman"/>
          <w:sz w:val="24"/>
          <w:szCs w:val="24"/>
        </w:rPr>
        <w:t xml:space="preserve">academic literacy has to be acquired by </w:t>
      </w:r>
      <w:r w:rsidR="00A113B6" w:rsidRPr="00E33DBB">
        <w:rPr>
          <w:rFonts w:cs="Times New Roman"/>
          <w:smallCaps/>
          <w:sz w:val="24"/>
          <w:szCs w:val="24"/>
        </w:rPr>
        <w:t xml:space="preserve">all </w:t>
      </w:r>
      <w:r w:rsidR="00A113B6" w:rsidRPr="00E33DBB">
        <w:rPr>
          <w:rFonts w:cs="Times New Roman"/>
          <w:sz w:val="24"/>
          <w:szCs w:val="24"/>
        </w:rPr>
        <w:t>students</w:t>
      </w:r>
      <w:r w:rsidR="00C9235E" w:rsidRPr="00E33DBB">
        <w:rPr>
          <w:rFonts w:cs="Times New Roman"/>
          <w:sz w:val="24"/>
          <w:szCs w:val="24"/>
        </w:rPr>
        <w:t>, native speakers of English or not,</w:t>
      </w:r>
      <w:r w:rsidR="00A113B6" w:rsidRPr="00E33DBB">
        <w:rPr>
          <w:rFonts w:cs="Times New Roman"/>
          <w:sz w:val="24"/>
          <w:szCs w:val="24"/>
        </w:rPr>
        <w:t xml:space="preserve"> new to an academic context, and second, it cannot be acquired outside the discourse community. </w:t>
      </w:r>
      <w:r w:rsidR="000C5EE1" w:rsidRPr="00E33DBB">
        <w:rPr>
          <w:rFonts w:cs="Times New Roman"/>
          <w:sz w:val="24"/>
          <w:szCs w:val="24"/>
        </w:rPr>
        <w:t>This means tha</w:t>
      </w:r>
      <w:r w:rsidR="00837CD6" w:rsidRPr="00E33DBB">
        <w:rPr>
          <w:rFonts w:cs="Times New Roman"/>
          <w:sz w:val="24"/>
          <w:szCs w:val="24"/>
        </w:rPr>
        <w:t>t instruction and support need to</w:t>
      </w:r>
      <w:r w:rsidR="000C5EE1" w:rsidRPr="00E33DBB">
        <w:rPr>
          <w:rFonts w:cs="Times New Roman"/>
          <w:sz w:val="24"/>
          <w:szCs w:val="24"/>
        </w:rPr>
        <w:t xml:space="preserve"> be offered to all students</w:t>
      </w:r>
      <w:r w:rsidR="0026093E" w:rsidRPr="00E33DBB">
        <w:rPr>
          <w:rFonts w:cs="Times New Roman"/>
          <w:sz w:val="24"/>
          <w:szCs w:val="24"/>
        </w:rPr>
        <w:t xml:space="preserve"> by expert members of</w:t>
      </w:r>
      <w:r w:rsidR="004F05DB" w:rsidRPr="00E33DBB">
        <w:rPr>
          <w:rFonts w:cs="Times New Roman"/>
          <w:sz w:val="24"/>
          <w:szCs w:val="24"/>
        </w:rPr>
        <w:t xml:space="preserve"> the discourse community, who ‘play a very important role in socialising novices and implicitly or explicitly teaching them to think, feel, and act in accordance with the values, ideologies, and traditions of the group’ </w:t>
      </w:r>
      <w:r w:rsidR="00254C06" w:rsidRPr="00E33DBB">
        <w:rPr>
          <w:rFonts w:cs="Times New Roman"/>
          <w:sz w:val="24"/>
          <w:szCs w:val="24"/>
        </w:rPr>
        <w:t>(</w:t>
      </w:r>
      <w:r w:rsidR="004F05DB" w:rsidRPr="00E33DBB">
        <w:rPr>
          <w:rFonts w:cs="Times New Roman"/>
          <w:sz w:val="24"/>
          <w:szCs w:val="24"/>
        </w:rPr>
        <w:t>Duff 2007: 311).  I</w:t>
      </w:r>
      <w:r w:rsidR="000C5EE1" w:rsidRPr="00E33DBB">
        <w:rPr>
          <w:rFonts w:cs="Times New Roman"/>
          <w:sz w:val="24"/>
          <w:szCs w:val="24"/>
        </w:rPr>
        <w:t>n reality, however</w:t>
      </w:r>
      <w:r w:rsidR="008679D2" w:rsidRPr="00E33DBB">
        <w:rPr>
          <w:rFonts w:cs="Times New Roman"/>
          <w:sz w:val="24"/>
          <w:szCs w:val="24"/>
        </w:rPr>
        <w:t>, support</w:t>
      </w:r>
      <w:r w:rsidR="00837CD6" w:rsidRPr="00E33DBB">
        <w:rPr>
          <w:rFonts w:cs="Times New Roman"/>
          <w:sz w:val="24"/>
          <w:szCs w:val="24"/>
        </w:rPr>
        <w:t xml:space="preserve"> is usually</w:t>
      </w:r>
      <w:r w:rsidR="000C5EE1" w:rsidRPr="00E33DBB">
        <w:rPr>
          <w:rFonts w:cs="Times New Roman"/>
          <w:sz w:val="24"/>
          <w:szCs w:val="24"/>
        </w:rPr>
        <w:t xml:space="preserve"> </w:t>
      </w:r>
      <w:r w:rsidR="008679D2" w:rsidRPr="00E33DBB">
        <w:rPr>
          <w:rFonts w:cs="Times New Roman"/>
          <w:sz w:val="24"/>
          <w:szCs w:val="24"/>
        </w:rPr>
        <w:t>only available for specific student groups and is provided</w:t>
      </w:r>
      <w:r w:rsidR="004F05DB" w:rsidRPr="00E33DBB">
        <w:rPr>
          <w:rFonts w:cs="Times New Roman"/>
          <w:sz w:val="24"/>
          <w:szCs w:val="24"/>
        </w:rPr>
        <w:t xml:space="preserve"> outside the disciplines in language or learning development centres</w:t>
      </w:r>
      <w:r w:rsidR="00AD730D" w:rsidRPr="00E33DBB">
        <w:rPr>
          <w:rFonts w:cs="Times New Roman"/>
          <w:sz w:val="24"/>
          <w:szCs w:val="24"/>
        </w:rPr>
        <w:t xml:space="preserve">. The capabilities </w:t>
      </w:r>
      <w:r w:rsidR="008679D2" w:rsidRPr="00E33DBB">
        <w:rPr>
          <w:rFonts w:cs="Times New Roman"/>
          <w:sz w:val="24"/>
          <w:szCs w:val="24"/>
        </w:rPr>
        <w:t xml:space="preserve">that form academic literacy are </w:t>
      </w:r>
      <w:r w:rsidR="00254C06" w:rsidRPr="00E33DBB">
        <w:rPr>
          <w:rFonts w:cs="Times New Roman"/>
          <w:sz w:val="24"/>
          <w:szCs w:val="24"/>
        </w:rPr>
        <w:t>rarely explicitly addressed</w:t>
      </w:r>
      <w:r w:rsidR="008679D2" w:rsidRPr="00E33DBB">
        <w:rPr>
          <w:rFonts w:cs="Times New Roman"/>
          <w:sz w:val="24"/>
          <w:szCs w:val="24"/>
        </w:rPr>
        <w:t xml:space="preserve"> at university, neither in </w:t>
      </w:r>
      <w:r w:rsidR="00732D38" w:rsidRPr="00E33DBB">
        <w:rPr>
          <w:rFonts w:cs="Times New Roman"/>
          <w:sz w:val="24"/>
          <w:szCs w:val="24"/>
        </w:rPr>
        <w:t xml:space="preserve">extra-curricular </w:t>
      </w:r>
      <w:r w:rsidR="008679D2" w:rsidRPr="00E33DBB">
        <w:rPr>
          <w:rFonts w:cs="Times New Roman"/>
          <w:sz w:val="24"/>
          <w:szCs w:val="24"/>
        </w:rPr>
        <w:t>cou</w:t>
      </w:r>
      <w:r w:rsidR="00837CD6" w:rsidRPr="00E33DBB">
        <w:rPr>
          <w:rFonts w:cs="Times New Roman"/>
          <w:sz w:val="24"/>
          <w:szCs w:val="24"/>
        </w:rPr>
        <w:t>rses</w:t>
      </w:r>
      <w:r w:rsidR="00254C06" w:rsidRPr="00E33DBB">
        <w:rPr>
          <w:rFonts w:cs="Times New Roman"/>
          <w:sz w:val="24"/>
          <w:szCs w:val="24"/>
        </w:rPr>
        <w:t xml:space="preserve">, nor </w:t>
      </w:r>
      <w:r w:rsidR="00F23DE5" w:rsidRPr="00E33DBB">
        <w:rPr>
          <w:rFonts w:cs="Times New Roman"/>
          <w:sz w:val="24"/>
          <w:szCs w:val="24"/>
        </w:rPr>
        <w:t>within the disciplines</w:t>
      </w:r>
      <w:r w:rsidR="00254C06" w:rsidRPr="00E33DBB">
        <w:rPr>
          <w:rFonts w:cs="Times New Roman"/>
          <w:sz w:val="24"/>
          <w:szCs w:val="24"/>
        </w:rPr>
        <w:t>. Although most students</w:t>
      </w:r>
      <w:r w:rsidR="00D0166B" w:rsidRPr="00E33DBB">
        <w:rPr>
          <w:rFonts w:cs="Times New Roman"/>
          <w:sz w:val="24"/>
          <w:szCs w:val="24"/>
        </w:rPr>
        <w:t xml:space="preserve"> are likely to</w:t>
      </w:r>
      <w:r w:rsidR="00254C06" w:rsidRPr="00E33DBB">
        <w:rPr>
          <w:rFonts w:cs="Times New Roman"/>
          <w:sz w:val="24"/>
          <w:szCs w:val="24"/>
        </w:rPr>
        <w:t xml:space="preserve"> acquire these capabilities eventually, the process</w:t>
      </w:r>
      <w:r w:rsidR="00732D38" w:rsidRPr="00E33DBB">
        <w:rPr>
          <w:rFonts w:cs="Times New Roman"/>
          <w:sz w:val="24"/>
          <w:szCs w:val="24"/>
        </w:rPr>
        <w:t xml:space="preserve"> </w:t>
      </w:r>
      <w:r w:rsidR="00254C06" w:rsidRPr="00E33DBB">
        <w:rPr>
          <w:rFonts w:cs="Times New Roman"/>
          <w:sz w:val="24"/>
          <w:szCs w:val="24"/>
        </w:rPr>
        <w:t xml:space="preserve">could be </w:t>
      </w:r>
      <w:r w:rsidR="0026093E" w:rsidRPr="00E33DBB">
        <w:rPr>
          <w:rFonts w:cs="Times New Roman"/>
          <w:sz w:val="24"/>
          <w:szCs w:val="24"/>
        </w:rPr>
        <w:t xml:space="preserve">much </w:t>
      </w:r>
      <w:r w:rsidR="00254C06" w:rsidRPr="00E33DBB">
        <w:rPr>
          <w:rFonts w:cs="Times New Roman"/>
          <w:sz w:val="24"/>
          <w:szCs w:val="24"/>
        </w:rPr>
        <w:t>accelerated and made easier if explicit support was given within the discourse community, or more specifically, within the curriculum.</w:t>
      </w:r>
      <w:r w:rsidR="00F23DE5" w:rsidRPr="00E33DBB">
        <w:rPr>
          <w:rFonts w:cs="Times New Roman"/>
          <w:sz w:val="24"/>
          <w:szCs w:val="24"/>
        </w:rPr>
        <w:t xml:space="preserve"> However, widespread misconceptions of students’ learning needs and </w:t>
      </w:r>
      <w:r w:rsidR="00FB5F4B" w:rsidRPr="00E33DBB">
        <w:rPr>
          <w:rFonts w:cs="Times New Roman"/>
          <w:sz w:val="24"/>
          <w:szCs w:val="24"/>
        </w:rPr>
        <w:t xml:space="preserve">a </w:t>
      </w:r>
      <w:r w:rsidR="00F23DE5" w:rsidRPr="00E33DBB">
        <w:rPr>
          <w:rFonts w:cs="Times New Roman"/>
          <w:sz w:val="24"/>
          <w:szCs w:val="24"/>
        </w:rPr>
        <w:t xml:space="preserve">lack </w:t>
      </w:r>
      <w:r w:rsidR="00FB5F4B" w:rsidRPr="00E33DBB">
        <w:rPr>
          <w:rFonts w:cs="Times New Roman"/>
          <w:sz w:val="24"/>
          <w:szCs w:val="24"/>
        </w:rPr>
        <w:t xml:space="preserve">of </w:t>
      </w:r>
      <w:r w:rsidR="00F23DE5" w:rsidRPr="00E33DBB">
        <w:rPr>
          <w:rFonts w:cs="Times New Roman"/>
          <w:sz w:val="24"/>
          <w:szCs w:val="24"/>
        </w:rPr>
        <w:t xml:space="preserve">awareness of what academic literacy entails prevent </w:t>
      </w:r>
      <w:r w:rsidR="00685B2C" w:rsidRPr="00E33DBB">
        <w:rPr>
          <w:rFonts w:cs="Times New Roman"/>
          <w:sz w:val="24"/>
          <w:szCs w:val="24"/>
        </w:rPr>
        <w:t>the provision of adequate</w:t>
      </w:r>
      <w:r w:rsidR="00475C52" w:rsidRPr="00E33DBB">
        <w:rPr>
          <w:rFonts w:cs="Times New Roman"/>
          <w:sz w:val="24"/>
          <w:szCs w:val="24"/>
        </w:rPr>
        <w:t xml:space="preserve"> support.</w:t>
      </w:r>
    </w:p>
    <w:p w:rsidR="00172E88" w:rsidRPr="00E33DBB" w:rsidRDefault="008B4009" w:rsidP="009C7B21">
      <w:pPr>
        <w:spacing w:line="276" w:lineRule="auto"/>
        <w:ind w:left="0" w:firstLine="147"/>
        <w:rPr>
          <w:rFonts w:cs="Times New Roman"/>
          <w:sz w:val="24"/>
          <w:szCs w:val="24"/>
        </w:rPr>
      </w:pPr>
      <w:r w:rsidRPr="00E33DBB">
        <w:rPr>
          <w:rFonts w:cs="Times New Roman"/>
          <w:sz w:val="24"/>
          <w:szCs w:val="24"/>
        </w:rPr>
        <w:t>The difficulties</w:t>
      </w:r>
      <w:r w:rsidR="00475C52" w:rsidRPr="00E33DBB">
        <w:rPr>
          <w:rFonts w:cs="Times New Roman"/>
          <w:sz w:val="24"/>
          <w:szCs w:val="24"/>
        </w:rPr>
        <w:t xml:space="preserve"> that students experience</w:t>
      </w:r>
      <w:r w:rsidR="002571DE" w:rsidRPr="00E33DBB">
        <w:rPr>
          <w:rFonts w:cs="Times New Roman"/>
          <w:sz w:val="24"/>
          <w:szCs w:val="24"/>
        </w:rPr>
        <w:t xml:space="preserve"> at the level of academic literacy are usual</w:t>
      </w:r>
      <w:r w:rsidR="00113018" w:rsidRPr="00E33DBB">
        <w:rPr>
          <w:rFonts w:cs="Times New Roman"/>
          <w:sz w:val="24"/>
          <w:szCs w:val="24"/>
        </w:rPr>
        <w:t xml:space="preserve">ly detected in </w:t>
      </w:r>
      <w:r w:rsidR="00685B2C" w:rsidRPr="00E33DBB">
        <w:rPr>
          <w:rFonts w:cs="Times New Roman"/>
          <w:sz w:val="24"/>
          <w:szCs w:val="24"/>
        </w:rPr>
        <w:t xml:space="preserve">their </w:t>
      </w:r>
      <w:r w:rsidR="00113018" w:rsidRPr="00E33DBB">
        <w:rPr>
          <w:rFonts w:cs="Times New Roman"/>
          <w:sz w:val="24"/>
          <w:szCs w:val="24"/>
        </w:rPr>
        <w:t>written assignments</w:t>
      </w:r>
      <w:r w:rsidR="002571DE" w:rsidRPr="00E33DBB">
        <w:rPr>
          <w:rFonts w:cs="Times New Roman"/>
          <w:sz w:val="24"/>
          <w:szCs w:val="24"/>
        </w:rPr>
        <w:t xml:space="preserve"> and commonly confused with language problems. Fo</w:t>
      </w:r>
      <w:r w:rsidR="0025186B" w:rsidRPr="00E33DBB">
        <w:rPr>
          <w:rFonts w:cs="Times New Roman"/>
          <w:sz w:val="24"/>
          <w:szCs w:val="24"/>
        </w:rPr>
        <w:t xml:space="preserve">r instance, </w:t>
      </w:r>
      <w:r w:rsidR="00732D38" w:rsidRPr="00E33DBB">
        <w:rPr>
          <w:rFonts w:cs="Times New Roman"/>
          <w:sz w:val="24"/>
          <w:szCs w:val="24"/>
        </w:rPr>
        <w:t>Lea and Street (1998) found that lecturers were</w:t>
      </w:r>
      <w:r w:rsidR="00752783" w:rsidRPr="00E33DBB">
        <w:rPr>
          <w:rFonts w:cs="Times New Roman"/>
          <w:sz w:val="24"/>
          <w:szCs w:val="24"/>
        </w:rPr>
        <w:t xml:space="preserve"> often unable to pinpoint</w:t>
      </w:r>
      <w:r w:rsidR="00685B2C" w:rsidRPr="00E33DBB">
        <w:rPr>
          <w:rFonts w:cs="Times New Roman"/>
          <w:sz w:val="24"/>
          <w:szCs w:val="24"/>
        </w:rPr>
        <w:t xml:space="preserve"> the underlying</w:t>
      </w:r>
      <w:r w:rsidR="00732D38" w:rsidRPr="00E33DBB">
        <w:rPr>
          <w:rFonts w:cs="Times New Roman"/>
          <w:sz w:val="24"/>
          <w:szCs w:val="24"/>
        </w:rPr>
        <w:t xml:space="preserve"> literacy problem</w:t>
      </w:r>
      <w:r w:rsidR="00D61551" w:rsidRPr="00E33DBB">
        <w:rPr>
          <w:rFonts w:cs="Times New Roman"/>
          <w:sz w:val="24"/>
          <w:szCs w:val="24"/>
        </w:rPr>
        <w:t>s</w:t>
      </w:r>
      <w:r w:rsidRPr="00E33DBB">
        <w:rPr>
          <w:rFonts w:cs="Times New Roman"/>
          <w:sz w:val="24"/>
          <w:szCs w:val="24"/>
        </w:rPr>
        <w:t xml:space="preserve"> in</w:t>
      </w:r>
      <w:r w:rsidR="00732D38" w:rsidRPr="00E33DBB">
        <w:rPr>
          <w:rFonts w:cs="Times New Roman"/>
          <w:sz w:val="24"/>
          <w:szCs w:val="24"/>
        </w:rPr>
        <w:t xml:space="preserve"> essays, and therefore </w:t>
      </w:r>
      <w:r w:rsidR="004703B6" w:rsidRPr="00E33DBB">
        <w:rPr>
          <w:rFonts w:cs="Times New Roman"/>
          <w:sz w:val="24"/>
          <w:szCs w:val="24"/>
        </w:rPr>
        <w:t>attribute</w:t>
      </w:r>
      <w:r w:rsidR="00732D38" w:rsidRPr="00E33DBB">
        <w:rPr>
          <w:rFonts w:cs="Times New Roman"/>
          <w:sz w:val="24"/>
          <w:szCs w:val="24"/>
        </w:rPr>
        <w:t>d</w:t>
      </w:r>
      <w:r w:rsidR="004703B6" w:rsidRPr="00E33DBB">
        <w:rPr>
          <w:rFonts w:cs="Times New Roman"/>
          <w:sz w:val="24"/>
          <w:szCs w:val="24"/>
        </w:rPr>
        <w:t xml:space="preserve"> </w:t>
      </w:r>
      <w:r w:rsidR="00752783" w:rsidRPr="00E33DBB">
        <w:rPr>
          <w:rFonts w:cs="Times New Roman"/>
          <w:sz w:val="24"/>
          <w:szCs w:val="24"/>
        </w:rPr>
        <w:t>weak performance to surface features such as structure, grammar or spelling.</w:t>
      </w:r>
      <w:r w:rsidR="0026093E" w:rsidRPr="00E33DBB">
        <w:rPr>
          <w:rFonts w:cs="Times New Roman"/>
          <w:sz w:val="24"/>
          <w:szCs w:val="24"/>
        </w:rPr>
        <w:t xml:space="preserve"> </w:t>
      </w:r>
      <w:r w:rsidR="00D61551" w:rsidRPr="00E33DBB">
        <w:rPr>
          <w:rFonts w:cs="Times New Roman"/>
          <w:sz w:val="24"/>
          <w:szCs w:val="24"/>
        </w:rPr>
        <w:t>This confusion between language and literacy, and the related lack of understan</w:t>
      </w:r>
      <w:r w:rsidR="009923E3" w:rsidRPr="00E33DBB">
        <w:rPr>
          <w:rFonts w:cs="Times New Roman"/>
          <w:sz w:val="24"/>
          <w:szCs w:val="24"/>
        </w:rPr>
        <w:t>ding of students’ learning needs</w:t>
      </w:r>
      <w:r w:rsidR="00D61551" w:rsidRPr="00E33DBB">
        <w:rPr>
          <w:rFonts w:cs="Times New Roman"/>
          <w:sz w:val="24"/>
          <w:szCs w:val="24"/>
        </w:rPr>
        <w:t>,</w:t>
      </w:r>
      <w:r w:rsidR="00AF0F11" w:rsidRPr="00E33DBB">
        <w:rPr>
          <w:rFonts w:cs="Times New Roman"/>
          <w:sz w:val="24"/>
          <w:szCs w:val="24"/>
        </w:rPr>
        <w:t xml:space="preserve"> lead to further misconceptions. One is </w:t>
      </w:r>
      <w:r w:rsidRPr="00E33DBB">
        <w:rPr>
          <w:rFonts w:cs="Times New Roman"/>
          <w:sz w:val="24"/>
          <w:szCs w:val="24"/>
        </w:rPr>
        <w:t xml:space="preserve">that it is mainly </w:t>
      </w:r>
      <w:r w:rsidR="004703B6" w:rsidRPr="00E33DBB">
        <w:rPr>
          <w:rFonts w:cs="Times New Roman"/>
          <w:sz w:val="24"/>
          <w:szCs w:val="24"/>
        </w:rPr>
        <w:t>non-native speakers of English who need support</w:t>
      </w:r>
      <w:r w:rsidR="00AF0F11" w:rsidRPr="00E33DBB">
        <w:rPr>
          <w:rFonts w:cs="Times New Roman"/>
          <w:sz w:val="24"/>
          <w:szCs w:val="24"/>
        </w:rPr>
        <w:t>, and another is that the students are to blame</w:t>
      </w:r>
      <w:r w:rsidR="009E4446" w:rsidRPr="00E33DBB">
        <w:rPr>
          <w:rFonts w:cs="Times New Roman"/>
          <w:sz w:val="24"/>
          <w:szCs w:val="24"/>
        </w:rPr>
        <w:t xml:space="preserve"> for what is perceived as </w:t>
      </w:r>
      <w:r w:rsidR="00FB5F4B" w:rsidRPr="00E33DBB">
        <w:rPr>
          <w:rFonts w:cs="Times New Roman"/>
          <w:sz w:val="24"/>
          <w:szCs w:val="24"/>
        </w:rPr>
        <w:t xml:space="preserve">their </w:t>
      </w:r>
      <w:r w:rsidR="009E4446" w:rsidRPr="00E33DBB">
        <w:rPr>
          <w:rFonts w:cs="Times New Roman"/>
          <w:sz w:val="24"/>
          <w:szCs w:val="24"/>
        </w:rPr>
        <w:t>linguistic deficiencies</w:t>
      </w:r>
      <w:r w:rsidR="00AF0F11" w:rsidRPr="00E33DBB">
        <w:rPr>
          <w:rFonts w:cs="Times New Roman"/>
          <w:sz w:val="24"/>
          <w:szCs w:val="24"/>
        </w:rPr>
        <w:t>. T</w:t>
      </w:r>
      <w:r w:rsidR="009E4446" w:rsidRPr="00E33DBB">
        <w:rPr>
          <w:rFonts w:cs="Times New Roman"/>
          <w:sz w:val="24"/>
          <w:szCs w:val="24"/>
        </w:rPr>
        <w:t>his is apparent</w:t>
      </w:r>
      <w:r w:rsidR="00AF0F11" w:rsidRPr="00E33DBB">
        <w:rPr>
          <w:rFonts w:cs="Times New Roman"/>
          <w:sz w:val="24"/>
          <w:szCs w:val="24"/>
        </w:rPr>
        <w:t xml:space="preserve"> in frequent media reports lamenting that students</w:t>
      </w:r>
      <w:r w:rsidR="00172E88" w:rsidRPr="00E33DBB">
        <w:rPr>
          <w:rFonts w:cs="Times New Roman"/>
          <w:sz w:val="24"/>
          <w:szCs w:val="24"/>
        </w:rPr>
        <w:t xml:space="preserve"> ‘can’t even write</w:t>
      </w:r>
      <w:r w:rsidR="000B30D9" w:rsidRPr="00E33DBB">
        <w:rPr>
          <w:rFonts w:cs="Times New Roman"/>
          <w:sz w:val="24"/>
          <w:szCs w:val="24"/>
        </w:rPr>
        <w:t xml:space="preserve"> in sentences’ (Nuffield Review</w:t>
      </w:r>
      <w:r w:rsidR="00172E88" w:rsidRPr="00E33DBB">
        <w:rPr>
          <w:rFonts w:cs="Times New Roman"/>
          <w:sz w:val="24"/>
          <w:szCs w:val="24"/>
        </w:rPr>
        <w:t xml:space="preserve"> 2006) or that there is </w:t>
      </w:r>
      <w:r w:rsidR="00172E88" w:rsidRPr="00E33DBB">
        <w:rPr>
          <w:rFonts w:cs="Times New Roman"/>
          <w:iCs/>
          <w:sz w:val="24"/>
          <w:szCs w:val="24"/>
        </w:rPr>
        <w:t>‘[A] sad loss of literacy down under’</w:t>
      </w:r>
      <w:r w:rsidRPr="00E33DBB">
        <w:rPr>
          <w:rFonts w:cs="Times New Roman"/>
          <w:i/>
          <w:iCs/>
          <w:sz w:val="24"/>
          <w:szCs w:val="24"/>
        </w:rPr>
        <w:t xml:space="preserve"> </w:t>
      </w:r>
      <w:r w:rsidR="00172E88" w:rsidRPr="00E33DBB">
        <w:rPr>
          <w:rFonts w:cs="Times New Roman"/>
          <w:sz w:val="24"/>
          <w:szCs w:val="24"/>
        </w:rPr>
        <w:t>(Dann 2008)</w:t>
      </w:r>
      <w:r w:rsidR="00AF0F11" w:rsidRPr="00E33DBB">
        <w:rPr>
          <w:rFonts w:cs="Times New Roman"/>
          <w:sz w:val="24"/>
          <w:szCs w:val="24"/>
        </w:rPr>
        <w:t>. Obviously, academic literacy – or the widespread understanding of it as correct language</w:t>
      </w:r>
      <w:r w:rsidR="009818AD" w:rsidRPr="00E33DBB">
        <w:rPr>
          <w:rFonts w:cs="Times New Roman"/>
          <w:sz w:val="24"/>
          <w:szCs w:val="24"/>
        </w:rPr>
        <w:t xml:space="preserve"> or writing ability</w:t>
      </w:r>
      <w:r w:rsidR="00AF0F11" w:rsidRPr="00E33DBB">
        <w:rPr>
          <w:rFonts w:cs="Times New Roman"/>
          <w:sz w:val="24"/>
          <w:szCs w:val="24"/>
        </w:rPr>
        <w:t xml:space="preserve">- is seen as something that </w:t>
      </w:r>
      <w:r w:rsidR="00325D93" w:rsidRPr="00E33DBB">
        <w:rPr>
          <w:rFonts w:cs="Times New Roman"/>
          <w:sz w:val="24"/>
          <w:szCs w:val="24"/>
        </w:rPr>
        <w:t xml:space="preserve">students </w:t>
      </w:r>
      <w:r w:rsidR="00AF0F11" w:rsidRPr="00E33DBB">
        <w:rPr>
          <w:rFonts w:cs="Times New Roman"/>
          <w:sz w:val="24"/>
          <w:szCs w:val="24"/>
        </w:rPr>
        <w:t xml:space="preserve">should bring with them </w:t>
      </w:r>
      <w:r w:rsidR="00325D93" w:rsidRPr="00E33DBB">
        <w:rPr>
          <w:rFonts w:cs="Times New Roman"/>
          <w:sz w:val="24"/>
          <w:szCs w:val="24"/>
        </w:rPr>
        <w:t>when they enter university.</w:t>
      </w:r>
    </w:p>
    <w:p w:rsidR="0046442E" w:rsidRPr="00E33DBB" w:rsidRDefault="00325D93" w:rsidP="009C7B21">
      <w:pPr>
        <w:spacing w:line="276" w:lineRule="auto"/>
        <w:ind w:left="0"/>
        <w:rPr>
          <w:rFonts w:cs="Times New Roman"/>
          <w:sz w:val="24"/>
          <w:szCs w:val="24"/>
        </w:rPr>
      </w:pPr>
      <w:r w:rsidRPr="00E33DBB">
        <w:rPr>
          <w:rFonts w:cs="Times New Roman"/>
          <w:sz w:val="24"/>
          <w:szCs w:val="24"/>
        </w:rPr>
        <w:t>The instructional provision at most Anglophone universities i</w:t>
      </w:r>
      <w:r w:rsidR="0068642A" w:rsidRPr="00E33DBB">
        <w:rPr>
          <w:rFonts w:cs="Times New Roman"/>
          <w:sz w:val="24"/>
          <w:szCs w:val="24"/>
        </w:rPr>
        <w:t>s based on these misconceptions, and</w:t>
      </w:r>
      <w:r w:rsidR="000B30D9" w:rsidRPr="00E33DBB">
        <w:rPr>
          <w:rFonts w:cs="Times New Roman"/>
          <w:sz w:val="24"/>
          <w:szCs w:val="24"/>
        </w:rPr>
        <w:t xml:space="preserve"> follows a ‘technicist’ (Turner</w:t>
      </w:r>
      <w:r w:rsidR="0068642A" w:rsidRPr="00E33DBB">
        <w:rPr>
          <w:rFonts w:cs="Times New Roman"/>
          <w:sz w:val="24"/>
          <w:szCs w:val="24"/>
        </w:rPr>
        <w:t xml:space="preserve"> 2011: 3) and remedial model. </w:t>
      </w:r>
      <w:r w:rsidR="00582696" w:rsidRPr="00E33DBB">
        <w:rPr>
          <w:rFonts w:cs="Times New Roman"/>
          <w:sz w:val="24"/>
          <w:szCs w:val="24"/>
        </w:rPr>
        <w:t xml:space="preserve">One or other of </w:t>
      </w:r>
      <w:r w:rsidR="0068642A" w:rsidRPr="00E33DBB">
        <w:rPr>
          <w:rFonts w:cs="Times New Roman"/>
          <w:sz w:val="24"/>
          <w:szCs w:val="24"/>
        </w:rPr>
        <w:t>two</w:t>
      </w:r>
      <w:r w:rsidR="00180898" w:rsidRPr="00E33DBB">
        <w:rPr>
          <w:rFonts w:cs="Times New Roman"/>
          <w:sz w:val="24"/>
          <w:szCs w:val="24"/>
        </w:rPr>
        <w:t xml:space="preserve"> main types of instruction</w:t>
      </w:r>
      <w:r w:rsidR="00582696" w:rsidRPr="00E33DBB">
        <w:rPr>
          <w:rFonts w:cs="Times New Roman"/>
          <w:sz w:val="24"/>
          <w:szCs w:val="24"/>
        </w:rPr>
        <w:t xml:space="preserve"> provision are usually offered</w:t>
      </w:r>
      <w:r w:rsidR="00180898" w:rsidRPr="00E33DBB">
        <w:rPr>
          <w:rFonts w:cs="Times New Roman"/>
          <w:sz w:val="24"/>
          <w:szCs w:val="24"/>
        </w:rPr>
        <w:t xml:space="preserve">. The first is </w:t>
      </w:r>
      <w:r w:rsidR="0068642A" w:rsidRPr="00E33DBB">
        <w:rPr>
          <w:rFonts w:cs="Times New Roman"/>
          <w:sz w:val="24"/>
          <w:szCs w:val="24"/>
        </w:rPr>
        <w:t xml:space="preserve">EAP classes which tend to be offered exclusively to L2 </w:t>
      </w:r>
      <w:r w:rsidR="00180898" w:rsidRPr="00E33DBB">
        <w:rPr>
          <w:rFonts w:cs="Times New Roman"/>
          <w:sz w:val="24"/>
          <w:szCs w:val="24"/>
        </w:rPr>
        <w:t>student</w:t>
      </w:r>
      <w:r w:rsidR="008F0AF5" w:rsidRPr="00E33DBB">
        <w:rPr>
          <w:rFonts w:cs="Times New Roman"/>
          <w:sz w:val="24"/>
          <w:szCs w:val="24"/>
        </w:rPr>
        <w:t>s</w:t>
      </w:r>
      <w:r w:rsidR="00180898" w:rsidRPr="00E33DBB">
        <w:rPr>
          <w:rFonts w:cs="Times New Roman"/>
          <w:sz w:val="24"/>
          <w:szCs w:val="24"/>
        </w:rPr>
        <w:t xml:space="preserve">, often to give them the opportunity to make up for an insufficient score </w:t>
      </w:r>
      <w:r w:rsidR="008F0AF5" w:rsidRPr="00E33DBB">
        <w:rPr>
          <w:rFonts w:cs="Times New Roman"/>
          <w:sz w:val="24"/>
          <w:szCs w:val="24"/>
        </w:rPr>
        <w:t>on</w:t>
      </w:r>
      <w:r w:rsidR="00180898" w:rsidRPr="00E33DBB">
        <w:rPr>
          <w:rFonts w:cs="Times New Roman"/>
          <w:sz w:val="24"/>
          <w:szCs w:val="24"/>
        </w:rPr>
        <w:t xml:space="preserve"> the English language entry test. The second is </w:t>
      </w:r>
      <w:r w:rsidR="008F0AF5" w:rsidRPr="00E33DBB">
        <w:rPr>
          <w:rFonts w:cs="Times New Roman"/>
          <w:sz w:val="24"/>
          <w:szCs w:val="24"/>
        </w:rPr>
        <w:t xml:space="preserve">through the provision of </w:t>
      </w:r>
      <w:r w:rsidR="00180898" w:rsidRPr="00E33DBB">
        <w:rPr>
          <w:rFonts w:cs="Times New Roman"/>
          <w:sz w:val="24"/>
          <w:szCs w:val="24"/>
        </w:rPr>
        <w:t>learning development courses, often called ‘Study Skills’, which cover topics such as time management, exam preparation and academic writing and are usually ava</w:t>
      </w:r>
      <w:r w:rsidR="00522E91" w:rsidRPr="00E33DBB">
        <w:rPr>
          <w:rFonts w:cs="Times New Roman"/>
          <w:sz w:val="24"/>
          <w:szCs w:val="24"/>
        </w:rPr>
        <w:t>ilable to all students</w:t>
      </w:r>
      <w:r w:rsidR="00180898" w:rsidRPr="00E33DBB">
        <w:rPr>
          <w:rFonts w:cs="Times New Roman"/>
          <w:sz w:val="24"/>
          <w:szCs w:val="24"/>
        </w:rPr>
        <w:t>.</w:t>
      </w:r>
      <w:r w:rsidR="00563865" w:rsidRPr="00E33DBB">
        <w:rPr>
          <w:rFonts w:cs="Times New Roman"/>
          <w:sz w:val="24"/>
          <w:szCs w:val="24"/>
        </w:rPr>
        <w:t xml:space="preserve"> This provision has some serious shortcomings. One shortcoming is that a (non-</w:t>
      </w:r>
      <w:r w:rsidR="004143FF" w:rsidRPr="00E33DBB">
        <w:rPr>
          <w:rFonts w:cs="Times New Roman"/>
          <w:sz w:val="24"/>
          <w:szCs w:val="24"/>
        </w:rPr>
        <w:t>existent</w:t>
      </w:r>
      <w:r w:rsidR="009923E3" w:rsidRPr="00E33DBB">
        <w:rPr>
          <w:rFonts w:cs="Times New Roman"/>
          <w:sz w:val="24"/>
          <w:szCs w:val="24"/>
        </w:rPr>
        <w:t xml:space="preserve"> </w:t>
      </w:r>
      <w:r w:rsidR="00563865" w:rsidRPr="00E33DBB">
        <w:rPr>
          <w:rFonts w:cs="Times New Roman"/>
          <w:sz w:val="24"/>
          <w:szCs w:val="24"/>
        </w:rPr>
        <w:t>universal academic English is taught</w:t>
      </w:r>
      <w:r w:rsidR="0080710E" w:rsidRPr="00E33DBB">
        <w:rPr>
          <w:rFonts w:cs="Times New Roman"/>
          <w:sz w:val="24"/>
          <w:szCs w:val="24"/>
        </w:rPr>
        <w:t xml:space="preserve"> to students from a range of disciplines, with a focus on linguistic features such as grammar, structure and style. While this generic approach may offer novice students some insights in</w:t>
      </w:r>
      <w:r w:rsidR="00522346" w:rsidRPr="00E33DBB">
        <w:rPr>
          <w:rFonts w:cs="Times New Roman"/>
          <w:sz w:val="24"/>
          <w:szCs w:val="24"/>
        </w:rPr>
        <w:t>to the ‘common core’</w:t>
      </w:r>
      <w:r w:rsidR="0080710E" w:rsidRPr="00E33DBB">
        <w:rPr>
          <w:rFonts w:cs="Times New Roman"/>
          <w:sz w:val="24"/>
          <w:szCs w:val="24"/>
        </w:rPr>
        <w:t xml:space="preserve"> </w:t>
      </w:r>
      <w:r w:rsidR="000B30D9" w:rsidRPr="00E33DBB">
        <w:rPr>
          <w:rFonts w:cs="Times New Roman"/>
          <w:sz w:val="24"/>
          <w:szCs w:val="24"/>
        </w:rPr>
        <w:t>(Bloor &amp; Bloor</w:t>
      </w:r>
      <w:r w:rsidR="00522346" w:rsidRPr="00E33DBB">
        <w:rPr>
          <w:rFonts w:cs="Times New Roman"/>
          <w:sz w:val="24"/>
          <w:szCs w:val="24"/>
        </w:rPr>
        <w:t xml:space="preserve"> 1986) </w:t>
      </w:r>
      <w:r w:rsidR="008F0AF5" w:rsidRPr="00E33DBB">
        <w:rPr>
          <w:rFonts w:cs="Times New Roman"/>
          <w:sz w:val="24"/>
          <w:szCs w:val="24"/>
        </w:rPr>
        <w:t xml:space="preserve">of </w:t>
      </w:r>
      <w:r w:rsidR="00522346" w:rsidRPr="00E33DBB">
        <w:rPr>
          <w:rFonts w:cs="Times New Roman"/>
          <w:sz w:val="24"/>
          <w:szCs w:val="24"/>
        </w:rPr>
        <w:t>grammatical and lexical features of academic language, it does not prepare</w:t>
      </w:r>
      <w:r w:rsidR="008B4009" w:rsidRPr="00E33DBB">
        <w:rPr>
          <w:rFonts w:cs="Times New Roman"/>
          <w:sz w:val="24"/>
          <w:szCs w:val="24"/>
        </w:rPr>
        <w:t xml:space="preserve"> </w:t>
      </w:r>
      <w:r w:rsidR="008F0AF5" w:rsidRPr="00E33DBB">
        <w:rPr>
          <w:rFonts w:cs="Times New Roman"/>
          <w:sz w:val="24"/>
          <w:szCs w:val="24"/>
        </w:rPr>
        <w:t xml:space="preserve">students </w:t>
      </w:r>
      <w:r w:rsidR="0025186B" w:rsidRPr="00E33DBB">
        <w:rPr>
          <w:rFonts w:cs="Times New Roman"/>
          <w:sz w:val="24"/>
          <w:szCs w:val="24"/>
        </w:rPr>
        <w:t xml:space="preserve">for communication </w:t>
      </w:r>
      <w:r w:rsidR="00522346" w:rsidRPr="00E33DBB">
        <w:rPr>
          <w:rFonts w:cs="Times New Roman"/>
          <w:sz w:val="24"/>
          <w:szCs w:val="24"/>
        </w:rPr>
        <w:t xml:space="preserve">in their disciplines. </w:t>
      </w:r>
      <w:r w:rsidR="00D4241B" w:rsidRPr="00E33DBB">
        <w:rPr>
          <w:rFonts w:cs="Times New Roman"/>
          <w:sz w:val="24"/>
          <w:szCs w:val="24"/>
        </w:rPr>
        <w:t xml:space="preserve">Another shortcoming is </w:t>
      </w:r>
      <w:r w:rsidR="008B4009" w:rsidRPr="00E33DBB">
        <w:rPr>
          <w:rFonts w:cs="Times New Roman"/>
          <w:sz w:val="24"/>
          <w:szCs w:val="24"/>
        </w:rPr>
        <w:t>that the responsibility for academic literacy instruction is wrongly allocated</w:t>
      </w:r>
      <w:r w:rsidR="00522346" w:rsidRPr="00E33DBB">
        <w:rPr>
          <w:rFonts w:cs="Times New Roman"/>
          <w:sz w:val="24"/>
          <w:szCs w:val="24"/>
        </w:rPr>
        <w:t xml:space="preserve">. </w:t>
      </w:r>
      <w:r w:rsidR="00151DD8" w:rsidRPr="00E33DBB">
        <w:rPr>
          <w:rFonts w:cs="Times New Roman"/>
          <w:sz w:val="24"/>
          <w:szCs w:val="24"/>
        </w:rPr>
        <w:t>In the current system, subj</w:t>
      </w:r>
      <w:r w:rsidR="0026093E" w:rsidRPr="00E33DBB">
        <w:rPr>
          <w:rFonts w:cs="Times New Roman"/>
          <w:sz w:val="24"/>
          <w:szCs w:val="24"/>
        </w:rPr>
        <w:t>ect lecturers, who are experts in the</w:t>
      </w:r>
      <w:r w:rsidR="00CA3E0D" w:rsidRPr="00E33DBB">
        <w:rPr>
          <w:rFonts w:cs="Times New Roman"/>
          <w:sz w:val="24"/>
          <w:szCs w:val="24"/>
        </w:rPr>
        <w:t xml:space="preserve"> community’s discourses and communication</w:t>
      </w:r>
      <w:r w:rsidR="00151DD8" w:rsidRPr="00E33DBB">
        <w:rPr>
          <w:rFonts w:cs="Times New Roman"/>
          <w:sz w:val="24"/>
          <w:szCs w:val="24"/>
        </w:rPr>
        <w:t>, are not obliged to engage with students’ academic literacy development. Altho</w:t>
      </w:r>
      <w:r w:rsidR="00F344A9" w:rsidRPr="00E33DBB">
        <w:rPr>
          <w:rFonts w:cs="Times New Roman"/>
          <w:sz w:val="24"/>
          <w:szCs w:val="24"/>
        </w:rPr>
        <w:t>ugh many lecturers may</w:t>
      </w:r>
      <w:r w:rsidR="00151DD8" w:rsidRPr="00E33DBB">
        <w:rPr>
          <w:rFonts w:cs="Times New Roman"/>
          <w:sz w:val="24"/>
          <w:szCs w:val="24"/>
        </w:rPr>
        <w:t xml:space="preserve"> do this </w:t>
      </w:r>
      <w:r w:rsidR="008B4009" w:rsidRPr="00E33DBB">
        <w:rPr>
          <w:rFonts w:cs="Times New Roman"/>
          <w:sz w:val="24"/>
          <w:szCs w:val="24"/>
        </w:rPr>
        <w:t xml:space="preserve">to some extent, and I assume rather </w:t>
      </w:r>
      <w:r w:rsidR="00151DD8" w:rsidRPr="00E33DBB">
        <w:rPr>
          <w:rFonts w:cs="Times New Roman"/>
          <w:sz w:val="24"/>
          <w:szCs w:val="24"/>
        </w:rPr>
        <w:t>implicitly, there is</w:t>
      </w:r>
      <w:r w:rsidR="0025186B" w:rsidRPr="00E33DBB">
        <w:rPr>
          <w:rFonts w:cs="Times New Roman"/>
          <w:sz w:val="24"/>
          <w:szCs w:val="24"/>
        </w:rPr>
        <w:t xml:space="preserve"> no systematic and consistent</w:t>
      </w:r>
      <w:r w:rsidR="00151DD8" w:rsidRPr="00E33DBB">
        <w:rPr>
          <w:rFonts w:cs="Times New Roman"/>
          <w:sz w:val="24"/>
          <w:szCs w:val="24"/>
        </w:rPr>
        <w:t xml:space="preserve"> support. </w:t>
      </w:r>
      <w:r w:rsidR="00EF7863" w:rsidRPr="00E33DBB">
        <w:rPr>
          <w:rFonts w:cs="Times New Roman"/>
          <w:sz w:val="24"/>
          <w:szCs w:val="24"/>
        </w:rPr>
        <w:t xml:space="preserve">By contrast, academics tend to reject engagement with </w:t>
      </w:r>
      <w:r w:rsidR="00D4241B" w:rsidRPr="00E33DBB">
        <w:rPr>
          <w:rFonts w:cs="Times New Roman"/>
          <w:sz w:val="24"/>
          <w:szCs w:val="24"/>
        </w:rPr>
        <w:t xml:space="preserve">what they perceive as </w:t>
      </w:r>
      <w:r w:rsidR="0025186B" w:rsidRPr="00E33DBB">
        <w:rPr>
          <w:rFonts w:cs="Times New Roman"/>
          <w:sz w:val="24"/>
          <w:szCs w:val="24"/>
        </w:rPr>
        <w:t>student’s language problems</w:t>
      </w:r>
      <w:r w:rsidR="00EF7863" w:rsidRPr="00E33DBB">
        <w:rPr>
          <w:rFonts w:cs="Times New Roman"/>
          <w:sz w:val="24"/>
          <w:szCs w:val="24"/>
        </w:rPr>
        <w:t xml:space="preserve">, either because </w:t>
      </w:r>
      <w:r w:rsidR="0046442E" w:rsidRPr="00E33DBB">
        <w:rPr>
          <w:rFonts w:cs="Times New Roman"/>
          <w:sz w:val="24"/>
          <w:szCs w:val="24"/>
        </w:rPr>
        <w:t>they believe that s</w:t>
      </w:r>
      <w:r w:rsidR="000D2CCC" w:rsidRPr="00E33DBB">
        <w:rPr>
          <w:rFonts w:cs="Times New Roman"/>
          <w:sz w:val="24"/>
          <w:szCs w:val="24"/>
        </w:rPr>
        <w:t xml:space="preserve">tudents should learn ‘writing’ </w:t>
      </w:r>
      <w:r w:rsidR="0046442E" w:rsidRPr="00E33DBB">
        <w:rPr>
          <w:rFonts w:cs="Times New Roman"/>
          <w:sz w:val="24"/>
          <w:szCs w:val="24"/>
        </w:rPr>
        <w:t xml:space="preserve">before they come to university, or because </w:t>
      </w:r>
      <w:r w:rsidR="00EF7863" w:rsidRPr="00E33DBB">
        <w:rPr>
          <w:rFonts w:cs="Times New Roman"/>
          <w:sz w:val="24"/>
          <w:szCs w:val="24"/>
        </w:rPr>
        <w:t>they have themselves only a ‘tacit’</w:t>
      </w:r>
      <w:r w:rsidR="00D4241B" w:rsidRPr="00E33DBB">
        <w:rPr>
          <w:rFonts w:cs="Times New Roman"/>
          <w:sz w:val="24"/>
          <w:szCs w:val="24"/>
        </w:rPr>
        <w:t xml:space="preserve"> knowledge of their discipline’</w:t>
      </w:r>
      <w:r w:rsidR="000B30D9" w:rsidRPr="00E33DBB">
        <w:rPr>
          <w:rFonts w:cs="Times New Roman"/>
          <w:sz w:val="24"/>
          <w:szCs w:val="24"/>
        </w:rPr>
        <w:t>s discourse conventions (Jacobs</w:t>
      </w:r>
      <w:r w:rsidR="00D4241B" w:rsidRPr="00E33DBB">
        <w:rPr>
          <w:rFonts w:cs="Times New Roman"/>
          <w:sz w:val="24"/>
          <w:szCs w:val="24"/>
        </w:rPr>
        <w:t xml:space="preserve"> 2005: 447)</w:t>
      </w:r>
      <w:r w:rsidR="0046442E" w:rsidRPr="00E33DBB">
        <w:rPr>
          <w:rFonts w:cs="Times New Roman"/>
          <w:sz w:val="24"/>
          <w:szCs w:val="24"/>
        </w:rPr>
        <w:t xml:space="preserve">. Some of these attitudes emerged </w:t>
      </w:r>
      <w:r w:rsidR="00E427A3" w:rsidRPr="00E33DBB">
        <w:rPr>
          <w:rFonts w:cs="Times New Roman"/>
          <w:sz w:val="24"/>
          <w:szCs w:val="24"/>
        </w:rPr>
        <w:t>in a recent st</w:t>
      </w:r>
      <w:r w:rsidR="00DA20D6" w:rsidRPr="00E33DBB">
        <w:rPr>
          <w:rFonts w:cs="Times New Roman"/>
          <w:sz w:val="24"/>
          <w:szCs w:val="24"/>
        </w:rPr>
        <w:t xml:space="preserve">udy of </w:t>
      </w:r>
      <w:r w:rsidR="0046442E" w:rsidRPr="00E33DBB">
        <w:rPr>
          <w:rFonts w:cs="Times New Roman"/>
          <w:sz w:val="24"/>
          <w:szCs w:val="24"/>
        </w:rPr>
        <w:t>lecturers’ percep</w:t>
      </w:r>
      <w:r w:rsidR="00CA3E0D" w:rsidRPr="00E33DBB">
        <w:rPr>
          <w:rFonts w:cs="Times New Roman"/>
          <w:sz w:val="24"/>
          <w:szCs w:val="24"/>
        </w:rPr>
        <w:t>tions of teaching international</w:t>
      </w:r>
      <w:r w:rsidR="0046442E" w:rsidRPr="00E33DBB">
        <w:rPr>
          <w:rFonts w:cs="Times New Roman"/>
          <w:sz w:val="24"/>
          <w:szCs w:val="24"/>
        </w:rPr>
        <w:t xml:space="preserve"> students. The following interview extract shows the trend to attribute students’ problems to language deficiencies:</w:t>
      </w:r>
    </w:p>
    <w:p w:rsidR="00F649B5" w:rsidRPr="00E33DBB" w:rsidRDefault="00F649B5" w:rsidP="00E33DBB">
      <w:pPr>
        <w:spacing w:line="276" w:lineRule="auto"/>
        <w:ind w:left="720" w:firstLine="2"/>
        <w:rPr>
          <w:rFonts w:cs="Times New Roman"/>
          <w:sz w:val="24"/>
          <w:szCs w:val="24"/>
        </w:rPr>
      </w:pPr>
      <w:r w:rsidRPr="00E33DBB">
        <w:rPr>
          <w:rFonts w:cs="Times New Roman"/>
          <w:iCs/>
          <w:sz w:val="24"/>
          <w:szCs w:val="24"/>
        </w:rPr>
        <w:t>I am a Law lecturer… I am quite happy to help as far as I can … but you know I am not an English support teacher I’m not trained to help people who really need specific targeted support nor are any of my colleagues</w:t>
      </w:r>
      <w:r w:rsidR="007F6552" w:rsidRPr="00E33DBB">
        <w:rPr>
          <w:rFonts w:cs="Times New Roman"/>
          <w:i/>
          <w:iCs/>
          <w:sz w:val="24"/>
          <w:szCs w:val="24"/>
        </w:rPr>
        <w:t xml:space="preserve"> </w:t>
      </w:r>
      <w:r w:rsidR="000B30D9" w:rsidRPr="00E33DBB">
        <w:rPr>
          <w:rFonts w:cs="Times New Roman"/>
          <w:sz w:val="24"/>
          <w:szCs w:val="24"/>
        </w:rPr>
        <w:t>(Jenkins &amp; Wingate</w:t>
      </w:r>
      <w:r w:rsidRPr="00E33DBB">
        <w:rPr>
          <w:rFonts w:cs="Times New Roman"/>
          <w:sz w:val="24"/>
          <w:szCs w:val="24"/>
        </w:rPr>
        <w:t xml:space="preserve"> 2015).</w:t>
      </w:r>
    </w:p>
    <w:p w:rsidR="00F344A9" w:rsidRPr="00E33DBB" w:rsidRDefault="00CA3E0D" w:rsidP="009C7B21">
      <w:pPr>
        <w:spacing w:line="276" w:lineRule="auto"/>
        <w:ind w:left="0" w:firstLine="0"/>
        <w:rPr>
          <w:rFonts w:cs="Times New Roman"/>
          <w:sz w:val="24"/>
          <w:szCs w:val="24"/>
        </w:rPr>
      </w:pPr>
      <w:r w:rsidRPr="00E33DBB">
        <w:rPr>
          <w:rFonts w:cs="Times New Roman"/>
          <w:sz w:val="24"/>
          <w:szCs w:val="24"/>
        </w:rPr>
        <w:t>I</w:t>
      </w:r>
      <w:r w:rsidR="00151DD8" w:rsidRPr="00E33DBB">
        <w:rPr>
          <w:rFonts w:cs="Times New Roman"/>
          <w:sz w:val="24"/>
          <w:szCs w:val="24"/>
        </w:rPr>
        <w:t>nstead</w:t>
      </w:r>
      <w:r w:rsidR="00596E9E" w:rsidRPr="00E33DBB">
        <w:rPr>
          <w:rFonts w:cs="Times New Roman"/>
          <w:sz w:val="24"/>
          <w:szCs w:val="24"/>
        </w:rPr>
        <w:t xml:space="preserve"> of</w:t>
      </w:r>
      <w:r w:rsidR="008F0AF5" w:rsidRPr="00E33DBB">
        <w:rPr>
          <w:rFonts w:cs="Times New Roman"/>
          <w:sz w:val="24"/>
          <w:szCs w:val="24"/>
        </w:rPr>
        <w:t xml:space="preserve"> </w:t>
      </w:r>
      <w:r w:rsidR="00596E9E" w:rsidRPr="00E33DBB">
        <w:rPr>
          <w:rFonts w:cs="Times New Roman"/>
          <w:sz w:val="24"/>
          <w:szCs w:val="24"/>
        </w:rPr>
        <w:t>a</w:t>
      </w:r>
      <w:r w:rsidR="008F0AF5" w:rsidRPr="00E33DBB">
        <w:rPr>
          <w:rFonts w:cs="Times New Roman"/>
          <w:sz w:val="24"/>
          <w:szCs w:val="24"/>
        </w:rPr>
        <w:t xml:space="preserve">llocating </w:t>
      </w:r>
      <w:r w:rsidR="00151DD8" w:rsidRPr="00E33DBB">
        <w:rPr>
          <w:rFonts w:cs="Times New Roman"/>
          <w:sz w:val="24"/>
          <w:szCs w:val="24"/>
        </w:rPr>
        <w:t xml:space="preserve"> </w:t>
      </w:r>
      <w:r w:rsidR="008967A5" w:rsidRPr="00E33DBB">
        <w:rPr>
          <w:rFonts w:cs="Times New Roman"/>
          <w:sz w:val="24"/>
          <w:szCs w:val="24"/>
        </w:rPr>
        <w:t xml:space="preserve">considerable responsibility for </w:t>
      </w:r>
      <w:r w:rsidR="00151DD8" w:rsidRPr="00E33DBB">
        <w:rPr>
          <w:rFonts w:cs="Times New Roman"/>
          <w:sz w:val="24"/>
          <w:szCs w:val="24"/>
        </w:rPr>
        <w:t xml:space="preserve">academic literacy instruction </w:t>
      </w:r>
      <w:r w:rsidR="008F0AF5" w:rsidRPr="00E33DBB">
        <w:rPr>
          <w:rFonts w:cs="Times New Roman"/>
          <w:sz w:val="24"/>
          <w:szCs w:val="24"/>
        </w:rPr>
        <w:t xml:space="preserve">to subject lecturers as I am suggesting, it </w:t>
      </w:r>
      <w:r w:rsidR="00151DD8" w:rsidRPr="00E33DBB">
        <w:rPr>
          <w:rFonts w:cs="Times New Roman"/>
          <w:sz w:val="24"/>
          <w:szCs w:val="24"/>
        </w:rPr>
        <w:t xml:space="preserve">is delegated to staff in service units who </w:t>
      </w:r>
      <w:r w:rsidR="00B35030" w:rsidRPr="00E33DBB">
        <w:rPr>
          <w:rFonts w:cs="Times New Roman"/>
          <w:sz w:val="24"/>
          <w:szCs w:val="24"/>
        </w:rPr>
        <w:t>often hold</w:t>
      </w:r>
      <w:r w:rsidR="009E6190" w:rsidRPr="00E33DBB">
        <w:rPr>
          <w:rFonts w:cs="Times New Roman"/>
          <w:sz w:val="24"/>
          <w:szCs w:val="24"/>
        </w:rPr>
        <w:t xml:space="preserve"> marginalised and s</w:t>
      </w:r>
      <w:r w:rsidR="0075324C" w:rsidRPr="00E33DBB">
        <w:rPr>
          <w:rFonts w:cs="Times New Roman"/>
          <w:sz w:val="24"/>
          <w:szCs w:val="24"/>
        </w:rPr>
        <w:t xml:space="preserve">hort-term positions </w:t>
      </w:r>
      <w:r w:rsidR="00D66D40" w:rsidRPr="00E33DBB">
        <w:rPr>
          <w:rFonts w:cs="Times New Roman"/>
          <w:sz w:val="24"/>
          <w:szCs w:val="24"/>
        </w:rPr>
        <w:t xml:space="preserve">and are </w:t>
      </w:r>
      <w:r w:rsidR="001C2DA9" w:rsidRPr="00E33DBB">
        <w:rPr>
          <w:rFonts w:cs="Times New Roman"/>
          <w:sz w:val="24"/>
          <w:szCs w:val="24"/>
        </w:rPr>
        <w:t>therefore unable to specialise i</w:t>
      </w:r>
      <w:r w:rsidR="00D66D40" w:rsidRPr="00E33DBB">
        <w:rPr>
          <w:rFonts w:cs="Times New Roman"/>
          <w:sz w:val="24"/>
          <w:szCs w:val="24"/>
        </w:rPr>
        <w:t xml:space="preserve">n the teaching of language and </w:t>
      </w:r>
      <w:r w:rsidR="009818AD" w:rsidRPr="00E33DBB">
        <w:rPr>
          <w:rFonts w:cs="Times New Roman"/>
          <w:sz w:val="24"/>
          <w:szCs w:val="24"/>
        </w:rPr>
        <w:t>literacy for</w:t>
      </w:r>
      <w:r w:rsidR="00D66D40" w:rsidRPr="00E33DBB">
        <w:rPr>
          <w:rFonts w:cs="Times New Roman"/>
          <w:sz w:val="24"/>
          <w:szCs w:val="24"/>
        </w:rPr>
        <w:t xml:space="preserve"> particular disciplines.</w:t>
      </w:r>
      <w:r w:rsidR="007F77EC" w:rsidRPr="00E33DBB">
        <w:rPr>
          <w:rFonts w:cs="Times New Roman"/>
          <w:sz w:val="24"/>
          <w:szCs w:val="24"/>
        </w:rPr>
        <w:t xml:space="preserve"> In many universities, EAP and skills courses are the only literacy support on offer</w:t>
      </w:r>
      <w:r w:rsidR="008967A5" w:rsidRPr="00E33DBB">
        <w:rPr>
          <w:rStyle w:val="EndnoteReference"/>
          <w:rFonts w:cs="Times New Roman"/>
          <w:sz w:val="24"/>
          <w:szCs w:val="24"/>
        </w:rPr>
        <w:endnoteReference w:id="1"/>
      </w:r>
      <w:r w:rsidR="007F77EC" w:rsidRPr="00E33DBB">
        <w:rPr>
          <w:rFonts w:cs="Times New Roman"/>
          <w:sz w:val="24"/>
          <w:szCs w:val="24"/>
        </w:rPr>
        <w:t>. To further stress the limitations of this offer, I will now consider what students really need to learn.</w:t>
      </w:r>
    </w:p>
    <w:p w:rsidR="00C35723" w:rsidRPr="00E33DBB" w:rsidRDefault="00C35723" w:rsidP="00E33DBB">
      <w:pPr>
        <w:spacing w:line="276" w:lineRule="auto"/>
        <w:rPr>
          <w:rFonts w:cs="Times New Roman"/>
          <w:sz w:val="24"/>
          <w:szCs w:val="24"/>
        </w:rPr>
      </w:pPr>
    </w:p>
    <w:p w:rsidR="007F77EC" w:rsidRPr="00E33DBB" w:rsidRDefault="002B3B86" w:rsidP="00E33DBB">
      <w:pPr>
        <w:pStyle w:val="ListParagraph"/>
        <w:numPr>
          <w:ilvl w:val="0"/>
          <w:numId w:val="7"/>
        </w:numPr>
        <w:spacing w:line="276" w:lineRule="auto"/>
        <w:rPr>
          <w:rFonts w:cs="Times New Roman"/>
          <w:b/>
          <w:sz w:val="24"/>
          <w:szCs w:val="24"/>
        </w:rPr>
      </w:pPr>
      <w:r w:rsidRPr="00E33DBB">
        <w:rPr>
          <w:rFonts w:cs="Times New Roman"/>
          <w:b/>
          <w:sz w:val="24"/>
          <w:szCs w:val="24"/>
        </w:rPr>
        <w:t xml:space="preserve">Students’ </w:t>
      </w:r>
      <w:r w:rsidR="00C35723" w:rsidRPr="00E33DBB">
        <w:rPr>
          <w:rFonts w:cs="Times New Roman"/>
          <w:b/>
          <w:sz w:val="24"/>
          <w:szCs w:val="24"/>
        </w:rPr>
        <w:t>Literacy Needs and Discipline-Specific Support</w:t>
      </w:r>
    </w:p>
    <w:p w:rsidR="00B41891" w:rsidRPr="00E33DBB" w:rsidRDefault="00A87215" w:rsidP="009C7B21">
      <w:pPr>
        <w:spacing w:line="276" w:lineRule="auto"/>
        <w:ind w:left="0" w:firstLine="0"/>
        <w:rPr>
          <w:rFonts w:cs="Times New Roman"/>
          <w:sz w:val="24"/>
          <w:szCs w:val="24"/>
        </w:rPr>
      </w:pPr>
      <w:r w:rsidRPr="00E33DBB">
        <w:rPr>
          <w:rFonts w:cs="Times New Roman"/>
          <w:sz w:val="24"/>
          <w:szCs w:val="24"/>
        </w:rPr>
        <w:t>As I said</w:t>
      </w:r>
      <w:r w:rsidR="00CB5958" w:rsidRPr="00E33DBB">
        <w:rPr>
          <w:rFonts w:cs="Times New Roman"/>
          <w:sz w:val="24"/>
          <w:szCs w:val="24"/>
        </w:rPr>
        <w:t xml:space="preserve"> earlier, students’ literacy problems </w:t>
      </w:r>
      <w:r w:rsidR="009923E3" w:rsidRPr="00E33DBB">
        <w:rPr>
          <w:rFonts w:cs="Times New Roman"/>
          <w:sz w:val="24"/>
          <w:szCs w:val="24"/>
        </w:rPr>
        <w:t xml:space="preserve">become </w:t>
      </w:r>
      <w:r w:rsidR="00D477BE" w:rsidRPr="00E33DBB">
        <w:rPr>
          <w:rFonts w:cs="Times New Roman"/>
          <w:sz w:val="24"/>
          <w:szCs w:val="24"/>
        </w:rPr>
        <w:t>most obvious in their writing. This may explain why most instructional and support measure</w:t>
      </w:r>
      <w:r w:rsidR="00DA20D6" w:rsidRPr="00E33DBB">
        <w:rPr>
          <w:rFonts w:cs="Times New Roman"/>
          <w:sz w:val="24"/>
          <w:szCs w:val="24"/>
        </w:rPr>
        <w:t>s</w:t>
      </w:r>
      <w:r w:rsidR="00D477BE" w:rsidRPr="00E33DBB">
        <w:rPr>
          <w:rFonts w:cs="Times New Roman"/>
          <w:sz w:val="24"/>
          <w:szCs w:val="24"/>
        </w:rPr>
        <w:t xml:space="preserve"> focus on writing only, when in</w:t>
      </w:r>
      <w:r w:rsidR="005312E8" w:rsidRPr="00E33DBB">
        <w:rPr>
          <w:rFonts w:cs="Times New Roman"/>
          <w:sz w:val="24"/>
          <w:szCs w:val="24"/>
        </w:rPr>
        <w:t xml:space="preserve"> fact writing is the end product of a complex literacy process. </w:t>
      </w:r>
      <w:r w:rsidR="0050396F" w:rsidRPr="00E33DBB">
        <w:rPr>
          <w:rFonts w:cs="Times New Roman"/>
          <w:sz w:val="24"/>
          <w:szCs w:val="24"/>
        </w:rPr>
        <w:t xml:space="preserve">This process </w:t>
      </w:r>
      <w:r w:rsidR="00A76E62" w:rsidRPr="00E33DBB">
        <w:rPr>
          <w:rFonts w:cs="Times New Roman"/>
          <w:sz w:val="24"/>
          <w:szCs w:val="24"/>
        </w:rPr>
        <w:t xml:space="preserve">involves identifying relevant sources, evaluating these sources for relevant information, synthesising this information into </w:t>
      </w:r>
      <w:r w:rsidR="003C04E8" w:rsidRPr="00E33DBB">
        <w:rPr>
          <w:rFonts w:cs="Times New Roman"/>
          <w:sz w:val="24"/>
          <w:szCs w:val="24"/>
        </w:rPr>
        <w:t xml:space="preserve">an </w:t>
      </w:r>
      <w:r w:rsidR="00A76E62" w:rsidRPr="00E33DBB">
        <w:rPr>
          <w:rFonts w:cs="Times New Roman"/>
          <w:sz w:val="24"/>
          <w:szCs w:val="24"/>
        </w:rPr>
        <w:t>argument, and then presenting the argument in a logical and coherent mann</w:t>
      </w:r>
      <w:r w:rsidR="0050396F" w:rsidRPr="00E33DBB">
        <w:rPr>
          <w:rFonts w:cs="Times New Roman"/>
          <w:sz w:val="24"/>
          <w:szCs w:val="24"/>
        </w:rPr>
        <w:t xml:space="preserve">er. Writing instruction </w:t>
      </w:r>
      <w:r w:rsidR="00625B09" w:rsidRPr="00E33DBB">
        <w:rPr>
          <w:rFonts w:cs="Times New Roman"/>
          <w:sz w:val="24"/>
          <w:szCs w:val="24"/>
        </w:rPr>
        <w:t>typically</w:t>
      </w:r>
      <w:r w:rsidR="00A76E62" w:rsidRPr="00E33DBB">
        <w:rPr>
          <w:rFonts w:cs="Times New Roman"/>
          <w:sz w:val="24"/>
          <w:szCs w:val="24"/>
        </w:rPr>
        <w:t xml:space="preserve"> </w:t>
      </w:r>
      <w:r w:rsidR="00EC73F3" w:rsidRPr="00E33DBB">
        <w:rPr>
          <w:rFonts w:cs="Times New Roman"/>
          <w:sz w:val="24"/>
          <w:szCs w:val="24"/>
        </w:rPr>
        <w:t>ignores the first three steps, called</w:t>
      </w:r>
      <w:r w:rsidR="0050396F" w:rsidRPr="00E33DBB">
        <w:rPr>
          <w:rFonts w:cs="Times New Roman"/>
          <w:sz w:val="24"/>
          <w:szCs w:val="24"/>
        </w:rPr>
        <w:t xml:space="preserve"> ‘reading-to-write’ </w:t>
      </w:r>
      <w:r w:rsidR="00EC73F3" w:rsidRPr="00E33DBB">
        <w:rPr>
          <w:rFonts w:cs="Times New Roman"/>
          <w:sz w:val="24"/>
          <w:szCs w:val="24"/>
        </w:rPr>
        <w:t xml:space="preserve">(Dobson &amp; Feak 2001), </w:t>
      </w:r>
      <w:r w:rsidR="0050396F" w:rsidRPr="00E33DBB">
        <w:rPr>
          <w:rFonts w:cs="Times New Roman"/>
          <w:sz w:val="24"/>
          <w:szCs w:val="24"/>
        </w:rPr>
        <w:t xml:space="preserve">and focuses only on the </w:t>
      </w:r>
      <w:r w:rsidR="00A76E62" w:rsidRPr="00E33DBB">
        <w:rPr>
          <w:rFonts w:cs="Times New Roman"/>
          <w:sz w:val="24"/>
          <w:szCs w:val="24"/>
        </w:rPr>
        <w:t>last step in the</w:t>
      </w:r>
      <w:r w:rsidR="0050396F" w:rsidRPr="00E33DBB">
        <w:rPr>
          <w:rFonts w:cs="Times New Roman"/>
          <w:sz w:val="24"/>
          <w:szCs w:val="24"/>
        </w:rPr>
        <w:t xml:space="preserve"> process, the presentation. When the</w:t>
      </w:r>
      <w:r w:rsidR="00D477BE" w:rsidRPr="00E33DBB">
        <w:rPr>
          <w:rFonts w:cs="Times New Roman"/>
          <w:sz w:val="24"/>
          <w:szCs w:val="24"/>
        </w:rPr>
        <w:t xml:space="preserve"> instruction</w:t>
      </w:r>
      <w:r w:rsidR="0025186B" w:rsidRPr="00E33DBB">
        <w:rPr>
          <w:rFonts w:cs="Times New Roman"/>
          <w:sz w:val="24"/>
          <w:szCs w:val="24"/>
        </w:rPr>
        <w:t xml:space="preserve"> is generic</w:t>
      </w:r>
      <w:r w:rsidR="00EC73F3" w:rsidRPr="00E33DBB">
        <w:rPr>
          <w:rFonts w:cs="Times New Roman"/>
          <w:sz w:val="24"/>
          <w:szCs w:val="24"/>
        </w:rPr>
        <w:t xml:space="preserve">, </w:t>
      </w:r>
      <w:r w:rsidR="0025186B" w:rsidRPr="00E33DBB">
        <w:rPr>
          <w:rFonts w:cs="Times New Roman"/>
          <w:sz w:val="24"/>
          <w:szCs w:val="24"/>
        </w:rPr>
        <w:t xml:space="preserve">the </w:t>
      </w:r>
      <w:r w:rsidR="0050396F" w:rsidRPr="00E33DBB">
        <w:rPr>
          <w:rFonts w:cs="Times New Roman"/>
          <w:sz w:val="24"/>
          <w:szCs w:val="24"/>
        </w:rPr>
        <w:t xml:space="preserve">reading-to-write steps, </w:t>
      </w:r>
      <w:r w:rsidR="0025186B" w:rsidRPr="00E33DBB">
        <w:rPr>
          <w:rFonts w:cs="Times New Roman"/>
          <w:sz w:val="24"/>
          <w:szCs w:val="24"/>
        </w:rPr>
        <w:t>which are</w:t>
      </w:r>
      <w:r w:rsidR="00EC73F3" w:rsidRPr="00E33DBB">
        <w:rPr>
          <w:rFonts w:cs="Times New Roman"/>
          <w:sz w:val="24"/>
          <w:szCs w:val="24"/>
        </w:rPr>
        <w:t xml:space="preserve"> known to be challenging</w:t>
      </w:r>
      <w:r w:rsidR="00625B09" w:rsidRPr="00E33DBB">
        <w:rPr>
          <w:rFonts w:cs="Times New Roman"/>
          <w:sz w:val="24"/>
          <w:szCs w:val="24"/>
        </w:rPr>
        <w:t xml:space="preserve"> for students</w:t>
      </w:r>
      <w:r w:rsidR="00901932" w:rsidRPr="00E33DBB">
        <w:rPr>
          <w:rFonts w:cs="Times New Roman"/>
          <w:sz w:val="24"/>
          <w:szCs w:val="24"/>
        </w:rPr>
        <w:t xml:space="preserve"> (e.g. </w:t>
      </w:r>
      <w:r w:rsidR="000B30D9" w:rsidRPr="00E33DBB">
        <w:rPr>
          <w:rFonts w:cs="Times New Roman"/>
          <w:sz w:val="24"/>
          <w:szCs w:val="24"/>
        </w:rPr>
        <w:t>Hirvela &amp; Du</w:t>
      </w:r>
      <w:r w:rsidR="00901932" w:rsidRPr="00E33DBB">
        <w:rPr>
          <w:rFonts w:cs="Times New Roman"/>
          <w:sz w:val="24"/>
          <w:szCs w:val="24"/>
        </w:rPr>
        <w:t xml:space="preserve"> 2013; </w:t>
      </w:r>
      <w:r w:rsidR="000B30D9" w:rsidRPr="00E33DBB">
        <w:rPr>
          <w:rFonts w:cs="Times New Roman"/>
          <w:sz w:val="24"/>
          <w:szCs w:val="24"/>
        </w:rPr>
        <w:t>McCulloch</w:t>
      </w:r>
      <w:r w:rsidR="00CB490E" w:rsidRPr="00E33DBB">
        <w:rPr>
          <w:rFonts w:cs="Times New Roman"/>
          <w:sz w:val="24"/>
          <w:szCs w:val="24"/>
        </w:rPr>
        <w:t xml:space="preserve"> 2013)</w:t>
      </w:r>
      <w:r w:rsidR="005D4B88" w:rsidRPr="00E33DBB">
        <w:rPr>
          <w:rFonts w:cs="Times New Roman"/>
          <w:sz w:val="24"/>
          <w:szCs w:val="24"/>
        </w:rPr>
        <w:t>,</w:t>
      </w:r>
      <w:r w:rsidR="00C358F6" w:rsidRPr="00E33DBB">
        <w:rPr>
          <w:rFonts w:cs="Times New Roman"/>
          <w:sz w:val="24"/>
          <w:szCs w:val="24"/>
        </w:rPr>
        <w:t xml:space="preserve"> </w:t>
      </w:r>
      <w:r w:rsidR="005D4B88" w:rsidRPr="00E33DBB">
        <w:rPr>
          <w:rFonts w:cs="Times New Roman"/>
          <w:sz w:val="24"/>
          <w:szCs w:val="24"/>
        </w:rPr>
        <w:t>cannot be</w:t>
      </w:r>
      <w:r w:rsidR="0025186B" w:rsidRPr="00E33DBB">
        <w:rPr>
          <w:rFonts w:cs="Times New Roman"/>
          <w:sz w:val="24"/>
          <w:szCs w:val="24"/>
        </w:rPr>
        <w:t xml:space="preserve"> addressed</w:t>
      </w:r>
      <w:r w:rsidR="005C7BCA" w:rsidRPr="00E33DBB">
        <w:rPr>
          <w:rFonts w:cs="Times New Roman"/>
          <w:sz w:val="24"/>
          <w:szCs w:val="24"/>
        </w:rPr>
        <w:t>. This is because</w:t>
      </w:r>
      <w:r w:rsidR="00625B09" w:rsidRPr="00E33DBB">
        <w:rPr>
          <w:rFonts w:cs="Times New Roman"/>
          <w:sz w:val="24"/>
          <w:szCs w:val="24"/>
        </w:rPr>
        <w:t xml:space="preserve"> </w:t>
      </w:r>
      <w:r w:rsidR="0025186B" w:rsidRPr="00E33DBB">
        <w:rPr>
          <w:rFonts w:cs="Times New Roman"/>
          <w:sz w:val="24"/>
          <w:szCs w:val="24"/>
        </w:rPr>
        <w:t xml:space="preserve">identifying </w:t>
      </w:r>
      <w:r w:rsidR="00CB490E" w:rsidRPr="00E33DBB">
        <w:rPr>
          <w:rFonts w:cs="Times New Roman"/>
          <w:sz w:val="24"/>
          <w:szCs w:val="24"/>
        </w:rPr>
        <w:t xml:space="preserve">and evaluating evidence </w:t>
      </w:r>
      <w:r w:rsidR="005C7BCA" w:rsidRPr="00E33DBB">
        <w:rPr>
          <w:rFonts w:cs="Times New Roman"/>
          <w:sz w:val="24"/>
          <w:szCs w:val="24"/>
        </w:rPr>
        <w:t>from sources can only be learned</w:t>
      </w:r>
      <w:r w:rsidR="00CB490E" w:rsidRPr="00E33DBB">
        <w:rPr>
          <w:rFonts w:cs="Times New Roman"/>
          <w:sz w:val="24"/>
          <w:szCs w:val="24"/>
        </w:rPr>
        <w:t xml:space="preserve"> </w:t>
      </w:r>
      <w:r w:rsidR="007D2278" w:rsidRPr="00E33DBB">
        <w:rPr>
          <w:rFonts w:cs="Times New Roman"/>
          <w:sz w:val="24"/>
          <w:szCs w:val="24"/>
        </w:rPr>
        <w:t>in r</w:t>
      </w:r>
      <w:r w:rsidR="005C7BCA" w:rsidRPr="00E33DBB">
        <w:rPr>
          <w:rFonts w:cs="Times New Roman"/>
          <w:sz w:val="24"/>
          <w:szCs w:val="24"/>
        </w:rPr>
        <w:t>elation to discipline-specific knowledge and in the context of a specific ass</w:t>
      </w:r>
      <w:r w:rsidR="009818AD" w:rsidRPr="00E33DBB">
        <w:rPr>
          <w:rFonts w:cs="Times New Roman"/>
          <w:sz w:val="24"/>
          <w:szCs w:val="24"/>
        </w:rPr>
        <w:t xml:space="preserve">ignment, and </w:t>
      </w:r>
      <w:r w:rsidR="00C61D27" w:rsidRPr="00E33DBB">
        <w:rPr>
          <w:rFonts w:cs="Times New Roman"/>
          <w:sz w:val="24"/>
          <w:szCs w:val="24"/>
        </w:rPr>
        <w:t>effective</w:t>
      </w:r>
      <w:r w:rsidR="009818AD" w:rsidRPr="00E33DBB">
        <w:rPr>
          <w:rFonts w:cs="Times New Roman"/>
          <w:sz w:val="24"/>
          <w:szCs w:val="24"/>
        </w:rPr>
        <w:t xml:space="preserve"> support can on</w:t>
      </w:r>
      <w:r w:rsidR="00C61D27" w:rsidRPr="00E33DBB">
        <w:rPr>
          <w:rFonts w:cs="Times New Roman"/>
          <w:sz w:val="24"/>
          <w:szCs w:val="24"/>
        </w:rPr>
        <w:t>ly be given by the subject lecturer.</w:t>
      </w:r>
      <w:r w:rsidR="009818AD" w:rsidRPr="00E33DBB">
        <w:rPr>
          <w:rFonts w:cs="Times New Roman"/>
          <w:sz w:val="24"/>
          <w:szCs w:val="24"/>
        </w:rPr>
        <w:t xml:space="preserve"> </w:t>
      </w:r>
    </w:p>
    <w:p w:rsidR="00281A32" w:rsidRPr="00E33DBB" w:rsidRDefault="0022524F" w:rsidP="009C7B21">
      <w:pPr>
        <w:spacing w:line="276" w:lineRule="auto"/>
        <w:ind w:left="0"/>
        <w:rPr>
          <w:rFonts w:cs="Times New Roman"/>
          <w:sz w:val="24"/>
          <w:szCs w:val="24"/>
        </w:rPr>
      </w:pPr>
      <w:r w:rsidRPr="00E33DBB">
        <w:rPr>
          <w:rFonts w:cs="Times New Roman"/>
          <w:sz w:val="24"/>
          <w:szCs w:val="24"/>
        </w:rPr>
        <w:t xml:space="preserve">However, for the reasons I have explained earlier, academics in the disciplines do not usually provide this support. The only </w:t>
      </w:r>
      <w:r w:rsidR="009013AC" w:rsidRPr="00E33DBB">
        <w:rPr>
          <w:rFonts w:cs="Times New Roman"/>
          <w:sz w:val="24"/>
          <w:szCs w:val="24"/>
        </w:rPr>
        <w:t xml:space="preserve">explicit advice </w:t>
      </w:r>
      <w:r w:rsidRPr="00E33DBB">
        <w:rPr>
          <w:rFonts w:cs="Times New Roman"/>
          <w:sz w:val="24"/>
          <w:szCs w:val="24"/>
        </w:rPr>
        <w:t xml:space="preserve">students </w:t>
      </w:r>
      <w:r w:rsidR="009013AC" w:rsidRPr="00E33DBB">
        <w:rPr>
          <w:rFonts w:cs="Times New Roman"/>
          <w:sz w:val="24"/>
          <w:szCs w:val="24"/>
        </w:rPr>
        <w:t xml:space="preserve">receive </w:t>
      </w:r>
      <w:r w:rsidRPr="00E33DBB">
        <w:rPr>
          <w:rFonts w:cs="Times New Roman"/>
          <w:sz w:val="24"/>
          <w:szCs w:val="24"/>
        </w:rPr>
        <w:t xml:space="preserve">in their study programmes are </w:t>
      </w:r>
      <w:r w:rsidR="009013AC" w:rsidRPr="00E33DBB">
        <w:rPr>
          <w:rFonts w:cs="Times New Roman"/>
          <w:sz w:val="24"/>
          <w:szCs w:val="24"/>
        </w:rPr>
        <w:t>writing guidelines, which are usually part of programme handbooks, and lecturers’ feedback comment</w:t>
      </w:r>
      <w:r w:rsidR="004B4B9B" w:rsidRPr="00E33DBB">
        <w:rPr>
          <w:rFonts w:cs="Times New Roman"/>
          <w:sz w:val="24"/>
          <w:szCs w:val="24"/>
        </w:rPr>
        <w:t xml:space="preserve">s </w:t>
      </w:r>
      <w:r w:rsidR="009013AC" w:rsidRPr="00E33DBB">
        <w:rPr>
          <w:rFonts w:cs="Times New Roman"/>
          <w:sz w:val="24"/>
          <w:szCs w:val="24"/>
        </w:rPr>
        <w:t xml:space="preserve">on assignments. </w:t>
      </w:r>
      <w:r w:rsidR="004B4B9B" w:rsidRPr="00E33DBB">
        <w:rPr>
          <w:rFonts w:cs="Times New Roman"/>
          <w:sz w:val="24"/>
          <w:szCs w:val="24"/>
        </w:rPr>
        <w:t>Although feedback is pote</w:t>
      </w:r>
      <w:r w:rsidR="00CB6F51" w:rsidRPr="00E33DBB">
        <w:rPr>
          <w:rFonts w:cs="Times New Roman"/>
          <w:sz w:val="24"/>
          <w:szCs w:val="24"/>
        </w:rPr>
        <w:t>ntially the most individualised and</w:t>
      </w:r>
      <w:r w:rsidR="004B4B9B" w:rsidRPr="00E33DBB">
        <w:rPr>
          <w:rFonts w:cs="Times New Roman"/>
          <w:sz w:val="24"/>
          <w:szCs w:val="24"/>
        </w:rPr>
        <w:t xml:space="preserve"> s</w:t>
      </w:r>
      <w:r w:rsidR="00CB6F51" w:rsidRPr="00E33DBB">
        <w:rPr>
          <w:rFonts w:cs="Times New Roman"/>
          <w:sz w:val="24"/>
          <w:szCs w:val="24"/>
        </w:rPr>
        <w:t xml:space="preserve">pecific </w:t>
      </w:r>
      <w:r w:rsidR="004B4B9B" w:rsidRPr="00E33DBB">
        <w:rPr>
          <w:rFonts w:cs="Times New Roman"/>
          <w:sz w:val="24"/>
          <w:szCs w:val="24"/>
        </w:rPr>
        <w:t>instructional m</w:t>
      </w:r>
      <w:r w:rsidR="00A30D1B" w:rsidRPr="00E33DBB">
        <w:rPr>
          <w:rFonts w:cs="Times New Roman"/>
          <w:sz w:val="24"/>
          <w:szCs w:val="24"/>
        </w:rPr>
        <w:t xml:space="preserve">ethod, research shows that its value can be limited because </w:t>
      </w:r>
      <w:r w:rsidR="00C61D27" w:rsidRPr="00E33DBB">
        <w:rPr>
          <w:rFonts w:cs="Times New Roman"/>
          <w:sz w:val="24"/>
          <w:szCs w:val="24"/>
        </w:rPr>
        <w:t>students make insufficient use of it. This in turn may be the result of feedback being formulated in ways that are</w:t>
      </w:r>
      <w:r w:rsidR="003C296F" w:rsidRPr="00E33DBB">
        <w:rPr>
          <w:rFonts w:cs="Times New Roman"/>
          <w:sz w:val="24"/>
          <w:szCs w:val="24"/>
        </w:rPr>
        <w:t xml:space="preserve"> incomprehensible to students </w:t>
      </w:r>
      <w:r w:rsidR="000B30D9" w:rsidRPr="00E33DBB">
        <w:rPr>
          <w:rFonts w:cs="Times New Roman"/>
          <w:sz w:val="24"/>
          <w:szCs w:val="24"/>
        </w:rPr>
        <w:t>(Carless 2006; Walker</w:t>
      </w:r>
      <w:r w:rsidR="00A30D1B" w:rsidRPr="00E33DBB">
        <w:rPr>
          <w:rFonts w:cs="Times New Roman"/>
          <w:sz w:val="24"/>
          <w:szCs w:val="24"/>
        </w:rPr>
        <w:t xml:space="preserve"> 2009). In both writing guidelines and feedback comments</w:t>
      </w:r>
      <w:r w:rsidR="007438D5" w:rsidRPr="00E33DBB">
        <w:rPr>
          <w:rFonts w:cs="Times New Roman"/>
          <w:sz w:val="24"/>
          <w:szCs w:val="24"/>
        </w:rPr>
        <w:t>, requirements are ‘communicated as if they were common-sense an</w:t>
      </w:r>
      <w:r w:rsidR="000B30D9" w:rsidRPr="00E33DBB">
        <w:rPr>
          <w:rFonts w:cs="Times New Roman"/>
          <w:sz w:val="24"/>
          <w:szCs w:val="24"/>
        </w:rPr>
        <w:t>d transparent’ (Lillis &amp; Turner</w:t>
      </w:r>
      <w:r w:rsidR="007438D5" w:rsidRPr="00E33DBB">
        <w:rPr>
          <w:rFonts w:cs="Times New Roman"/>
          <w:sz w:val="24"/>
          <w:szCs w:val="24"/>
        </w:rPr>
        <w:t xml:space="preserve"> 2001: 58)</w:t>
      </w:r>
      <w:r w:rsidR="00CB6F51" w:rsidRPr="00E33DBB">
        <w:rPr>
          <w:rFonts w:cs="Times New Roman"/>
          <w:sz w:val="24"/>
          <w:szCs w:val="24"/>
        </w:rPr>
        <w:t xml:space="preserve">, </w:t>
      </w:r>
      <w:r w:rsidR="005D4B88" w:rsidRPr="00E33DBB">
        <w:rPr>
          <w:rFonts w:cs="Times New Roman"/>
          <w:sz w:val="24"/>
          <w:szCs w:val="24"/>
        </w:rPr>
        <w:t xml:space="preserve">and unfamiliar </w:t>
      </w:r>
      <w:r w:rsidR="00CB6F51" w:rsidRPr="00E33DBB">
        <w:rPr>
          <w:rFonts w:cs="Times New Roman"/>
          <w:sz w:val="24"/>
          <w:szCs w:val="24"/>
        </w:rPr>
        <w:t>concepts</w:t>
      </w:r>
      <w:r w:rsidR="0099051D" w:rsidRPr="00E33DBB">
        <w:rPr>
          <w:rFonts w:cs="Times New Roman"/>
          <w:sz w:val="24"/>
          <w:szCs w:val="24"/>
        </w:rPr>
        <w:t xml:space="preserve"> such as ‘critical</w:t>
      </w:r>
      <w:r w:rsidR="005D4B88" w:rsidRPr="00E33DBB">
        <w:rPr>
          <w:rFonts w:cs="Times New Roman"/>
          <w:sz w:val="24"/>
          <w:szCs w:val="24"/>
        </w:rPr>
        <w:t xml:space="preserve">ity’ or ‘argument’ are vaguely used </w:t>
      </w:r>
      <w:r w:rsidR="000601E3" w:rsidRPr="00E33DBB">
        <w:rPr>
          <w:rFonts w:cs="Times New Roman"/>
          <w:sz w:val="24"/>
          <w:szCs w:val="24"/>
        </w:rPr>
        <w:t>to explain expecte</w:t>
      </w:r>
      <w:r w:rsidR="003C296F" w:rsidRPr="00E33DBB">
        <w:rPr>
          <w:rFonts w:cs="Times New Roman"/>
          <w:sz w:val="24"/>
          <w:szCs w:val="24"/>
        </w:rPr>
        <w:t>d conventions</w:t>
      </w:r>
      <w:r w:rsidR="004014FC" w:rsidRPr="00E33DBB">
        <w:rPr>
          <w:rFonts w:cs="Times New Roman"/>
          <w:sz w:val="24"/>
          <w:szCs w:val="24"/>
        </w:rPr>
        <w:t>.</w:t>
      </w:r>
      <w:r w:rsidR="003C296F" w:rsidRPr="00E33DBB">
        <w:rPr>
          <w:rFonts w:cs="Times New Roman"/>
          <w:sz w:val="24"/>
          <w:szCs w:val="24"/>
        </w:rPr>
        <w:t xml:space="preserve"> I will give you some examples of this type of feedback.</w:t>
      </w:r>
      <w:r w:rsidR="004014FC" w:rsidRPr="00E33DBB">
        <w:rPr>
          <w:rFonts w:cs="Times New Roman"/>
          <w:sz w:val="24"/>
          <w:szCs w:val="24"/>
        </w:rPr>
        <w:t xml:space="preserve"> In a programme handbook for a BA</w:t>
      </w:r>
      <w:r w:rsidR="003C296F" w:rsidRPr="00E33DBB">
        <w:rPr>
          <w:rFonts w:cs="Times New Roman"/>
          <w:sz w:val="24"/>
          <w:szCs w:val="24"/>
        </w:rPr>
        <w:t xml:space="preserve"> in</w:t>
      </w:r>
      <w:r w:rsidR="004014FC" w:rsidRPr="00E33DBB">
        <w:rPr>
          <w:rFonts w:cs="Times New Roman"/>
          <w:sz w:val="24"/>
          <w:szCs w:val="24"/>
        </w:rPr>
        <w:t xml:space="preserve"> Law, students are asked to </w:t>
      </w:r>
      <w:r w:rsidR="00281A32" w:rsidRPr="00E33DBB">
        <w:rPr>
          <w:rFonts w:cs="Times New Roman"/>
          <w:iCs/>
          <w:sz w:val="24"/>
          <w:szCs w:val="24"/>
        </w:rPr>
        <w:t>‘apply appropriate legal English’, ‘construct clear legal arguments and evince sound legal reasoning’</w:t>
      </w:r>
      <w:r w:rsidR="00281A32" w:rsidRPr="00E33DBB">
        <w:rPr>
          <w:rFonts w:cs="Times New Roman"/>
          <w:i/>
          <w:iCs/>
          <w:sz w:val="24"/>
          <w:szCs w:val="24"/>
        </w:rPr>
        <w:t xml:space="preserve"> </w:t>
      </w:r>
      <w:r w:rsidR="000B30D9" w:rsidRPr="00E33DBB">
        <w:rPr>
          <w:rFonts w:cs="Times New Roman"/>
          <w:sz w:val="24"/>
          <w:szCs w:val="24"/>
        </w:rPr>
        <w:t xml:space="preserve">(Foster &amp; Deane </w:t>
      </w:r>
      <w:r w:rsidR="00281A32" w:rsidRPr="00E33DBB">
        <w:rPr>
          <w:rFonts w:cs="Times New Roman"/>
          <w:sz w:val="24"/>
          <w:szCs w:val="24"/>
        </w:rPr>
        <w:t>2011: 90).</w:t>
      </w:r>
      <w:r w:rsidR="00B41891" w:rsidRPr="00E33DBB">
        <w:rPr>
          <w:rFonts w:cs="Times New Roman"/>
          <w:sz w:val="24"/>
          <w:szCs w:val="24"/>
        </w:rPr>
        <w:t xml:space="preserve"> Typical comments found in an analysis of lecturers’ feedback for first-year undergraduates in app</w:t>
      </w:r>
      <w:r w:rsidR="000B30D9" w:rsidRPr="00E33DBB">
        <w:rPr>
          <w:rFonts w:cs="Times New Roman"/>
          <w:sz w:val="24"/>
          <w:szCs w:val="24"/>
        </w:rPr>
        <w:t xml:space="preserve">lied linguistics </w:t>
      </w:r>
      <w:r w:rsidR="00B41891" w:rsidRPr="00E33DBB">
        <w:rPr>
          <w:rFonts w:cs="Times New Roman"/>
          <w:sz w:val="24"/>
          <w:szCs w:val="24"/>
        </w:rPr>
        <w:t>included ‘You did not answer the question’, ‘This is not relevant’, and ‘Essay displays very little criticality’</w:t>
      </w:r>
      <w:r w:rsidR="00424010" w:rsidRPr="00E33DBB">
        <w:rPr>
          <w:rFonts w:cs="Times New Roman"/>
          <w:sz w:val="24"/>
          <w:szCs w:val="24"/>
        </w:rPr>
        <w:t xml:space="preserve"> </w:t>
      </w:r>
      <w:r w:rsidR="00241FC5" w:rsidRPr="00E33DBB">
        <w:rPr>
          <w:rFonts w:cs="Times New Roman"/>
          <w:sz w:val="24"/>
          <w:szCs w:val="24"/>
        </w:rPr>
        <w:t>(Wingate 2012)</w:t>
      </w:r>
      <w:r w:rsidR="00B41891" w:rsidRPr="00E33DBB">
        <w:rPr>
          <w:rFonts w:cs="Times New Roman"/>
          <w:sz w:val="24"/>
          <w:szCs w:val="24"/>
        </w:rPr>
        <w:t xml:space="preserve">. </w:t>
      </w:r>
      <w:r w:rsidR="005D4B88" w:rsidRPr="00E33DBB">
        <w:rPr>
          <w:rFonts w:cs="Times New Roman"/>
          <w:sz w:val="24"/>
          <w:szCs w:val="24"/>
        </w:rPr>
        <w:t xml:space="preserve">Negative comments like these, which </w:t>
      </w:r>
      <w:r w:rsidR="00FB34A3" w:rsidRPr="00E33DBB">
        <w:rPr>
          <w:rFonts w:cs="Times New Roman"/>
          <w:sz w:val="24"/>
          <w:szCs w:val="24"/>
        </w:rPr>
        <w:t>give no further explanation of the weakness and no advice for improvement</w:t>
      </w:r>
      <w:r w:rsidR="00C61D27" w:rsidRPr="00E33DBB">
        <w:rPr>
          <w:rFonts w:cs="Times New Roman"/>
          <w:sz w:val="24"/>
          <w:szCs w:val="24"/>
        </w:rPr>
        <w:t>, make</w:t>
      </w:r>
      <w:r w:rsidR="00FB34A3" w:rsidRPr="00E33DBB">
        <w:rPr>
          <w:rFonts w:cs="Times New Roman"/>
          <w:sz w:val="24"/>
          <w:szCs w:val="24"/>
        </w:rPr>
        <w:t xml:space="preserve"> learning from feedback</w:t>
      </w:r>
      <w:r w:rsidR="00C61D27" w:rsidRPr="00E33DBB">
        <w:rPr>
          <w:rFonts w:cs="Times New Roman"/>
          <w:sz w:val="24"/>
          <w:szCs w:val="24"/>
        </w:rPr>
        <w:t xml:space="preserve"> impossible</w:t>
      </w:r>
      <w:r w:rsidR="00FB34A3" w:rsidRPr="00E33DBB">
        <w:rPr>
          <w:rFonts w:cs="Times New Roman"/>
          <w:sz w:val="24"/>
          <w:szCs w:val="24"/>
        </w:rPr>
        <w:t>. The</w:t>
      </w:r>
      <w:r w:rsidR="003C296F" w:rsidRPr="00E33DBB">
        <w:rPr>
          <w:rFonts w:cs="Times New Roman"/>
          <w:sz w:val="24"/>
          <w:szCs w:val="24"/>
        </w:rPr>
        <w:t>ir</w:t>
      </w:r>
      <w:r w:rsidR="00FB34A3" w:rsidRPr="00E33DBB">
        <w:rPr>
          <w:rFonts w:cs="Times New Roman"/>
          <w:sz w:val="24"/>
          <w:szCs w:val="24"/>
        </w:rPr>
        <w:t xml:space="preserve"> alienating effect can be seen in the following extracts from interviews,</w:t>
      </w:r>
      <w:r w:rsidR="002A265C" w:rsidRPr="00E33DBB">
        <w:rPr>
          <w:rFonts w:cs="Times New Roman"/>
          <w:sz w:val="24"/>
          <w:szCs w:val="24"/>
        </w:rPr>
        <w:t xml:space="preserve"> in which I asked</w:t>
      </w:r>
      <w:r w:rsidR="00FB34A3" w:rsidRPr="00E33DBB">
        <w:rPr>
          <w:rFonts w:cs="Times New Roman"/>
          <w:sz w:val="24"/>
          <w:szCs w:val="24"/>
        </w:rPr>
        <w:t xml:space="preserve"> underg</w:t>
      </w:r>
      <w:r w:rsidR="002A265C" w:rsidRPr="00E33DBB">
        <w:rPr>
          <w:rFonts w:cs="Times New Roman"/>
          <w:sz w:val="24"/>
          <w:szCs w:val="24"/>
        </w:rPr>
        <w:t>raduate students about feedback they had recently received.</w:t>
      </w:r>
    </w:p>
    <w:p w:rsidR="002A265C" w:rsidRPr="00E33DBB" w:rsidRDefault="002A265C" w:rsidP="00E33DBB">
      <w:pPr>
        <w:spacing w:line="276" w:lineRule="auto"/>
        <w:ind w:left="720" w:firstLine="0"/>
        <w:rPr>
          <w:rFonts w:cs="Times New Roman"/>
          <w:sz w:val="24"/>
          <w:szCs w:val="24"/>
        </w:rPr>
      </w:pPr>
      <w:r w:rsidRPr="00E33DBB">
        <w:rPr>
          <w:rFonts w:cs="Times New Roman"/>
          <w:iCs/>
          <w:sz w:val="24"/>
          <w:szCs w:val="24"/>
        </w:rPr>
        <w:t>Exactly, why isn’t it relevant? ‘cause like for me it is relevant ‘cause I’ve got like what I want to say in my head and I can justify it in my head. But then ‘it’s not relevant’, I can’t see why it’s not relevant.</w:t>
      </w:r>
    </w:p>
    <w:p w:rsidR="002A265C" w:rsidRPr="00E33DBB" w:rsidRDefault="002A265C" w:rsidP="00E33DBB">
      <w:pPr>
        <w:spacing w:line="276" w:lineRule="auto"/>
        <w:ind w:left="720" w:firstLine="0"/>
        <w:rPr>
          <w:rFonts w:cs="Times New Roman"/>
          <w:sz w:val="24"/>
          <w:szCs w:val="24"/>
        </w:rPr>
      </w:pPr>
      <w:r w:rsidRPr="00E33DBB">
        <w:rPr>
          <w:rFonts w:cs="Times New Roman"/>
          <w:iCs/>
          <w:sz w:val="24"/>
          <w:szCs w:val="24"/>
        </w:rPr>
        <w:t>Comments were not explained to me properly, like ‘your conclusion does not match the reasons you gave’. And I would be left hanging there trying to figure out how it did not match. It made perfect sense to me, which kind of disappointed me because I still cannot see</w:t>
      </w:r>
      <w:r w:rsidR="009500FF" w:rsidRPr="00E33DBB">
        <w:rPr>
          <w:rFonts w:cs="Times New Roman"/>
          <w:iCs/>
          <w:sz w:val="24"/>
          <w:szCs w:val="24"/>
        </w:rPr>
        <w:t xml:space="preserve"> where some of my mistakes are’</w:t>
      </w:r>
      <w:r w:rsidR="009500FF" w:rsidRPr="00E33DBB">
        <w:rPr>
          <w:rFonts w:cs="Times New Roman"/>
          <w:sz w:val="24"/>
          <w:szCs w:val="24"/>
        </w:rPr>
        <w:t>.</w:t>
      </w:r>
    </w:p>
    <w:p w:rsidR="009A631A" w:rsidRPr="00E33DBB" w:rsidRDefault="00DA5386" w:rsidP="00E33DBB">
      <w:pPr>
        <w:spacing w:line="276" w:lineRule="auto"/>
        <w:ind w:left="0" w:firstLine="0"/>
        <w:rPr>
          <w:rFonts w:cs="Times New Roman"/>
          <w:sz w:val="24"/>
          <w:szCs w:val="24"/>
        </w:rPr>
      </w:pPr>
      <w:r w:rsidRPr="00E33DBB">
        <w:rPr>
          <w:rFonts w:cs="Times New Roman"/>
          <w:sz w:val="24"/>
          <w:szCs w:val="24"/>
        </w:rPr>
        <w:t xml:space="preserve">These reactions to feedback are </w:t>
      </w:r>
      <w:r w:rsidR="00B47EA4" w:rsidRPr="00E33DBB">
        <w:rPr>
          <w:rFonts w:cs="Times New Roman"/>
          <w:sz w:val="24"/>
          <w:szCs w:val="24"/>
        </w:rPr>
        <w:t>similar to tho</w:t>
      </w:r>
      <w:r w:rsidR="003C296F" w:rsidRPr="00E33DBB">
        <w:rPr>
          <w:rFonts w:cs="Times New Roman"/>
          <w:sz w:val="24"/>
          <w:szCs w:val="24"/>
        </w:rPr>
        <w:t>se found in other studies (</w:t>
      </w:r>
      <w:r w:rsidR="000B30D9" w:rsidRPr="00E33DBB">
        <w:rPr>
          <w:rFonts w:cs="Times New Roman"/>
          <w:sz w:val="24"/>
          <w:szCs w:val="24"/>
        </w:rPr>
        <w:t>Carless</w:t>
      </w:r>
      <w:r w:rsidR="006719A9" w:rsidRPr="00E33DBB">
        <w:rPr>
          <w:rFonts w:cs="Times New Roman"/>
          <w:sz w:val="24"/>
          <w:szCs w:val="24"/>
        </w:rPr>
        <w:t xml:space="preserve"> 2006; </w:t>
      </w:r>
      <w:r w:rsidR="000B30D9" w:rsidRPr="00E33DBB">
        <w:rPr>
          <w:rFonts w:cs="Times New Roman"/>
          <w:sz w:val="24"/>
          <w:szCs w:val="24"/>
        </w:rPr>
        <w:t>Weaver</w:t>
      </w:r>
      <w:r w:rsidRPr="00E33DBB">
        <w:rPr>
          <w:rFonts w:cs="Times New Roman"/>
          <w:sz w:val="24"/>
          <w:szCs w:val="24"/>
        </w:rPr>
        <w:t xml:space="preserve"> 2006). They show that </w:t>
      </w:r>
      <w:r w:rsidR="000059E8" w:rsidRPr="00E33DBB">
        <w:rPr>
          <w:rFonts w:cs="Times New Roman"/>
          <w:sz w:val="24"/>
          <w:szCs w:val="24"/>
        </w:rPr>
        <w:t>in order t</w:t>
      </w:r>
      <w:r w:rsidR="006719A9" w:rsidRPr="00E33DBB">
        <w:rPr>
          <w:rFonts w:cs="Times New Roman"/>
          <w:sz w:val="24"/>
          <w:szCs w:val="24"/>
        </w:rPr>
        <w:t xml:space="preserve">o make feedback an effective method of literacy instruction, its language would need to be improved, and it would need to be complemented by </w:t>
      </w:r>
      <w:r w:rsidR="000B30D9" w:rsidRPr="00E33DBB">
        <w:rPr>
          <w:rFonts w:cs="Times New Roman"/>
          <w:sz w:val="24"/>
          <w:szCs w:val="24"/>
        </w:rPr>
        <w:t>‘assessment dialogues’ (Carless</w:t>
      </w:r>
      <w:r w:rsidR="006719A9" w:rsidRPr="00E33DBB">
        <w:rPr>
          <w:rFonts w:cs="Times New Roman"/>
          <w:sz w:val="24"/>
          <w:szCs w:val="24"/>
        </w:rPr>
        <w:t xml:space="preserve"> 2006: 230) to ensure that </w:t>
      </w:r>
      <w:r w:rsidR="003C296F" w:rsidRPr="00E33DBB">
        <w:rPr>
          <w:rFonts w:cs="Times New Roman"/>
          <w:sz w:val="24"/>
          <w:szCs w:val="24"/>
        </w:rPr>
        <w:t>students understand and make use of the</w:t>
      </w:r>
      <w:r w:rsidR="006719A9" w:rsidRPr="00E33DBB">
        <w:rPr>
          <w:rFonts w:cs="Times New Roman"/>
          <w:sz w:val="24"/>
          <w:szCs w:val="24"/>
        </w:rPr>
        <w:t xml:space="preserve"> comments.</w:t>
      </w:r>
      <w:r w:rsidR="008C1957" w:rsidRPr="00E33DBB">
        <w:rPr>
          <w:rFonts w:cs="Times New Roman"/>
          <w:sz w:val="24"/>
          <w:szCs w:val="24"/>
        </w:rPr>
        <w:t xml:space="preserve"> </w:t>
      </w:r>
      <w:r w:rsidR="003D17EC" w:rsidRPr="00E33DBB">
        <w:rPr>
          <w:rFonts w:cs="Times New Roman"/>
          <w:sz w:val="24"/>
          <w:szCs w:val="24"/>
        </w:rPr>
        <w:t xml:space="preserve"> This, however, </w:t>
      </w:r>
      <w:r w:rsidR="009B687E" w:rsidRPr="00E33DBB">
        <w:rPr>
          <w:rFonts w:cs="Times New Roman"/>
          <w:sz w:val="24"/>
          <w:szCs w:val="24"/>
        </w:rPr>
        <w:t xml:space="preserve"> would </w:t>
      </w:r>
      <w:r w:rsidR="009E769D" w:rsidRPr="00E33DBB">
        <w:rPr>
          <w:rFonts w:cs="Times New Roman"/>
          <w:sz w:val="24"/>
          <w:szCs w:val="24"/>
        </w:rPr>
        <w:t>require more explicit</w:t>
      </w:r>
      <w:r w:rsidR="003D17EC" w:rsidRPr="00E33DBB">
        <w:rPr>
          <w:rFonts w:cs="Times New Roman"/>
          <w:sz w:val="24"/>
          <w:szCs w:val="24"/>
        </w:rPr>
        <w:t xml:space="preserve"> literacy</w:t>
      </w:r>
      <w:r w:rsidR="009E769D" w:rsidRPr="00E33DBB">
        <w:rPr>
          <w:rFonts w:cs="Times New Roman"/>
          <w:sz w:val="24"/>
          <w:szCs w:val="24"/>
        </w:rPr>
        <w:t xml:space="preserve"> knowl</w:t>
      </w:r>
      <w:r w:rsidR="003D17EC" w:rsidRPr="00E33DBB">
        <w:rPr>
          <w:rFonts w:cs="Times New Roman"/>
          <w:sz w:val="24"/>
          <w:szCs w:val="24"/>
        </w:rPr>
        <w:t>edge</w:t>
      </w:r>
      <w:r w:rsidR="009E769D" w:rsidRPr="00E33DBB">
        <w:rPr>
          <w:rFonts w:cs="Times New Roman"/>
          <w:sz w:val="24"/>
          <w:szCs w:val="24"/>
        </w:rPr>
        <w:t xml:space="preserve"> on the part of the lecturers.</w:t>
      </w:r>
    </w:p>
    <w:p w:rsidR="00C9224B" w:rsidRPr="00E33DBB" w:rsidRDefault="00C9224B" w:rsidP="00E33DBB">
      <w:pPr>
        <w:spacing w:line="276" w:lineRule="auto"/>
        <w:ind w:left="0" w:firstLine="0"/>
        <w:rPr>
          <w:rFonts w:cs="Times New Roman"/>
          <w:sz w:val="24"/>
          <w:szCs w:val="24"/>
        </w:rPr>
      </w:pPr>
    </w:p>
    <w:p w:rsidR="00C152BF" w:rsidRPr="00E33DBB" w:rsidRDefault="001D3F7C" w:rsidP="00E33DBB">
      <w:pPr>
        <w:pStyle w:val="ListParagraph"/>
        <w:numPr>
          <w:ilvl w:val="0"/>
          <w:numId w:val="7"/>
        </w:numPr>
        <w:spacing w:line="276" w:lineRule="auto"/>
        <w:rPr>
          <w:rFonts w:cs="Times New Roman"/>
          <w:b/>
          <w:sz w:val="24"/>
          <w:szCs w:val="24"/>
        </w:rPr>
      </w:pPr>
      <w:r w:rsidRPr="00E33DBB">
        <w:rPr>
          <w:rFonts w:cs="Times New Roman"/>
          <w:b/>
          <w:sz w:val="24"/>
          <w:szCs w:val="24"/>
        </w:rPr>
        <w:t>C</w:t>
      </w:r>
      <w:r w:rsidR="00C152BF" w:rsidRPr="00E33DBB">
        <w:rPr>
          <w:rFonts w:cs="Times New Roman"/>
          <w:b/>
          <w:sz w:val="24"/>
          <w:szCs w:val="24"/>
        </w:rPr>
        <w:t xml:space="preserve">ollaborative </w:t>
      </w:r>
      <w:r w:rsidR="00C35723" w:rsidRPr="00E33DBB">
        <w:rPr>
          <w:rFonts w:cs="Times New Roman"/>
          <w:b/>
          <w:sz w:val="24"/>
          <w:szCs w:val="24"/>
        </w:rPr>
        <w:t>Discipline-Specific Approaches</w:t>
      </w:r>
    </w:p>
    <w:p w:rsidR="00F95EA9" w:rsidRPr="00E33DBB" w:rsidRDefault="00DF3197" w:rsidP="00E33DBB">
      <w:pPr>
        <w:spacing w:line="276" w:lineRule="auto"/>
        <w:ind w:left="0" w:firstLine="0"/>
        <w:rPr>
          <w:rFonts w:cs="Times New Roman"/>
          <w:sz w:val="24"/>
          <w:szCs w:val="24"/>
        </w:rPr>
      </w:pPr>
      <w:r w:rsidRPr="00E33DBB">
        <w:rPr>
          <w:rFonts w:cs="Times New Roman"/>
          <w:sz w:val="24"/>
          <w:szCs w:val="24"/>
        </w:rPr>
        <w:t>So far I have d</w:t>
      </w:r>
      <w:r w:rsidR="000059E8" w:rsidRPr="00E33DBB">
        <w:rPr>
          <w:rFonts w:cs="Times New Roman"/>
          <w:sz w:val="24"/>
          <w:szCs w:val="24"/>
        </w:rPr>
        <w:t>iscussed common</w:t>
      </w:r>
      <w:r w:rsidRPr="00E33DBB">
        <w:rPr>
          <w:rFonts w:cs="Times New Roman"/>
          <w:sz w:val="24"/>
          <w:szCs w:val="24"/>
        </w:rPr>
        <w:t xml:space="preserve"> misconcept</w:t>
      </w:r>
      <w:r w:rsidR="00573190" w:rsidRPr="00E33DBB">
        <w:rPr>
          <w:rFonts w:cs="Times New Roman"/>
          <w:sz w:val="24"/>
          <w:szCs w:val="24"/>
        </w:rPr>
        <w:t xml:space="preserve">ions around academic literacy, </w:t>
      </w:r>
      <w:r w:rsidR="00427CA6" w:rsidRPr="00E33DBB">
        <w:rPr>
          <w:rFonts w:cs="Times New Roman"/>
          <w:sz w:val="24"/>
          <w:szCs w:val="24"/>
        </w:rPr>
        <w:t>s</w:t>
      </w:r>
      <w:r w:rsidR="00573190" w:rsidRPr="00E33DBB">
        <w:rPr>
          <w:rFonts w:cs="Times New Roman"/>
          <w:sz w:val="24"/>
          <w:szCs w:val="24"/>
        </w:rPr>
        <w:t>tudent learning needs, and the rather in</w:t>
      </w:r>
      <w:r w:rsidR="00427CA6" w:rsidRPr="00E33DBB">
        <w:rPr>
          <w:rFonts w:cs="Times New Roman"/>
          <w:sz w:val="24"/>
          <w:szCs w:val="24"/>
        </w:rPr>
        <w:t>adequate</w:t>
      </w:r>
      <w:r w:rsidR="00EE185B" w:rsidRPr="00E33DBB">
        <w:rPr>
          <w:rFonts w:cs="Times New Roman"/>
          <w:sz w:val="24"/>
          <w:szCs w:val="24"/>
        </w:rPr>
        <w:t xml:space="preserve"> lite</w:t>
      </w:r>
      <w:r w:rsidR="00573190" w:rsidRPr="00E33DBB">
        <w:rPr>
          <w:rFonts w:cs="Times New Roman"/>
          <w:sz w:val="24"/>
          <w:szCs w:val="24"/>
        </w:rPr>
        <w:t xml:space="preserve">racy instruction that students currently </w:t>
      </w:r>
      <w:r w:rsidR="008A2CE7" w:rsidRPr="00E33DBB">
        <w:rPr>
          <w:rFonts w:cs="Times New Roman"/>
          <w:sz w:val="24"/>
          <w:szCs w:val="24"/>
        </w:rPr>
        <w:t>receive outside and within the disciplines</w:t>
      </w:r>
      <w:r w:rsidR="00E854EF" w:rsidRPr="00E33DBB">
        <w:rPr>
          <w:rFonts w:cs="Times New Roman"/>
          <w:sz w:val="24"/>
          <w:szCs w:val="24"/>
        </w:rPr>
        <w:t>.</w:t>
      </w:r>
      <w:r w:rsidR="00D65B63" w:rsidRPr="00E33DBB">
        <w:rPr>
          <w:rFonts w:cs="Times New Roman"/>
          <w:sz w:val="24"/>
          <w:szCs w:val="24"/>
        </w:rPr>
        <w:t xml:space="preserve"> </w:t>
      </w:r>
      <w:r w:rsidR="00427CA6" w:rsidRPr="00E33DBB">
        <w:rPr>
          <w:rFonts w:cs="Times New Roman"/>
          <w:sz w:val="24"/>
          <w:szCs w:val="24"/>
        </w:rPr>
        <w:t xml:space="preserve">Now I am going to consider how this situation could be improved. </w:t>
      </w:r>
      <w:r w:rsidR="000262D9" w:rsidRPr="00E33DBB">
        <w:rPr>
          <w:rFonts w:cs="Times New Roman"/>
          <w:sz w:val="24"/>
          <w:szCs w:val="24"/>
        </w:rPr>
        <w:t xml:space="preserve">Clearly, the first step would be </w:t>
      </w:r>
      <w:r w:rsidR="00D65B63" w:rsidRPr="00E33DBB">
        <w:rPr>
          <w:rFonts w:cs="Times New Roman"/>
          <w:sz w:val="24"/>
          <w:szCs w:val="24"/>
        </w:rPr>
        <w:t xml:space="preserve">staff training </w:t>
      </w:r>
      <w:r w:rsidR="000262D9" w:rsidRPr="00E33DBB">
        <w:rPr>
          <w:rFonts w:cs="Times New Roman"/>
          <w:sz w:val="24"/>
          <w:szCs w:val="24"/>
        </w:rPr>
        <w:t>which helps</w:t>
      </w:r>
      <w:r w:rsidR="00D65B63" w:rsidRPr="00E33DBB">
        <w:rPr>
          <w:rFonts w:cs="Times New Roman"/>
          <w:sz w:val="24"/>
          <w:szCs w:val="24"/>
        </w:rPr>
        <w:t xml:space="preserve"> lecturers </w:t>
      </w:r>
      <w:r w:rsidR="000E288D" w:rsidRPr="00E33DBB">
        <w:rPr>
          <w:rFonts w:cs="Times New Roman"/>
          <w:sz w:val="24"/>
          <w:szCs w:val="24"/>
        </w:rPr>
        <w:t>understand the complexity of academic litera</w:t>
      </w:r>
      <w:r w:rsidR="009A631A" w:rsidRPr="00E33DBB">
        <w:rPr>
          <w:rFonts w:cs="Times New Roman"/>
          <w:sz w:val="24"/>
          <w:szCs w:val="24"/>
        </w:rPr>
        <w:t>cy</w:t>
      </w:r>
      <w:r w:rsidR="00D65B63" w:rsidRPr="00E33DBB">
        <w:rPr>
          <w:rFonts w:cs="Times New Roman"/>
          <w:sz w:val="24"/>
          <w:szCs w:val="24"/>
        </w:rPr>
        <w:t xml:space="preserve"> and their role in</w:t>
      </w:r>
      <w:r w:rsidR="00701715" w:rsidRPr="00E33DBB">
        <w:rPr>
          <w:rFonts w:cs="Times New Roman"/>
          <w:sz w:val="24"/>
          <w:szCs w:val="24"/>
        </w:rPr>
        <w:t xml:space="preserve"> students’ acquisition </w:t>
      </w:r>
      <w:r w:rsidR="00AD5B17" w:rsidRPr="00E33DBB">
        <w:rPr>
          <w:rFonts w:cs="Times New Roman"/>
          <w:sz w:val="24"/>
          <w:szCs w:val="24"/>
        </w:rPr>
        <w:t xml:space="preserve">of it. </w:t>
      </w:r>
      <w:r w:rsidR="004E4EB0" w:rsidRPr="00E33DBB">
        <w:rPr>
          <w:rFonts w:cs="Times New Roman"/>
          <w:sz w:val="24"/>
          <w:szCs w:val="24"/>
        </w:rPr>
        <w:t xml:space="preserve">An important part of the training would be to show </w:t>
      </w:r>
      <w:r w:rsidR="00FB2738" w:rsidRPr="00E33DBB">
        <w:rPr>
          <w:rFonts w:cs="Times New Roman"/>
          <w:sz w:val="24"/>
          <w:szCs w:val="24"/>
        </w:rPr>
        <w:t xml:space="preserve">lecturers that taking on </w:t>
      </w:r>
      <w:r w:rsidR="00E70B22" w:rsidRPr="00E33DBB">
        <w:rPr>
          <w:rFonts w:cs="Times New Roman"/>
          <w:sz w:val="24"/>
          <w:szCs w:val="24"/>
        </w:rPr>
        <w:t>academic literacy</w:t>
      </w:r>
      <w:r w:rsidR="000262D9" w:rsidRPr="00E33DBB">
        <w:rPr>
          <w:rFonts w:cs="Times New Roman"/>
          <w:sz w:val="24"/>
          <w:szCs w:val="24"/>
        </w:rPr>
        <w:t xml:space="preserve"> instruction</w:t>
      </w:r>
      <w:r w:rsidR="00FB2738" w:rsidRPr="00E33DBB">
        <w:rPr>
          <w:rFonts w:cs="Times New Roman"/>
          <w:sz w:val="24"/>
          <w:szCs w:val="24"/>
        </w:rPr>
        <w:t xml:space="preserve"> does not mean substantial extra work, but that instructional methods</w:t>
      </w:r>
      <w:r w:rsidR="000262D9" w:rsidRPr="00E33DBB">
        <w:rPr>
          <w:rFonts w:cs="Times New Roman"/>
          <w:sz w:val="24"/>
          <w:szCs w:val="24"/>
        </w:rPr>
        <w:t xml:space="preserve"> </w:t>
      </w:r>
      <w:r w:rsidR="00FB2738" w:rsidRPr="00E33DBB">
        <w:rPr>
          <w:rFonts w:cs="Times New Roman"/>
          <w:sz w:val="24"/>
          <w:szCs w:val="24"/>
        </w:rPr>
        <w:t xml:space="preserve">can be integrated </w:t>
      </w:r>
      <w:r w:rsidR="000262D9" w:rsidRPr="00E33DBB">
        <w:rPr>
          <w:rFonts w:cs="Times New Roman"/>
          <w:sz w:val="24"/>
          <w:szCs w:val="24"/>
        </w:rPr>
        <w:t xml:space="preserve">into their </w:t>
      </w:r>
      <w:r w:rsidR="00FB2738" w:rsidRPr="00E33DBB">
        <w:rPr>
          <w:rFonts w:cs="Times New Roman"/>
          <w:sz w:val="24"/>
          <w:szCs w:val="24"/>
        </w:rPr>
        <w:t xml:space="preserve">regular </w:t>
      </w:r>
      <w:r w:rsidR="00E70B22" w:rsidRPr="00E33DBB">
        <w:rPr>
          <w:rFonts w:cs="Times New Roman"/>
          <w:sz w:val="24"/>
          <w:szCs w:val="24"/>
        </w:rPr>
        <w:t>tea</w:t>
      </w:r>
      <w:r w:rsidR="00FB2738" w:rsidRPr="00E33DBB">
        <w:rPr>
          <w:rFonts w:cs="Times New Roman"/>
          <w:sz w:val="24"/>
          <w:szCs w:val="24"/>
        </w:rPr>
        <w:t xml:space="preserve">ching and assessment activities. </w:t>
      </w:r>
      <w:r w:rsidR="0080591F" w:rsidRPr="00E33DBB">
        <w:rPr>
          <w:rFonts w:cs="Times New Roman"/>
          <w:sz w:val="24"/>
          <w:szCs w:val="24"/>
        </w:rPr>
        <w:t>T</w:t>
      </w:r>
      <w:r w:rsidR="00C152BF" w:rsidRPr="00E33DBB">
        <w:rPr>
          <w:rFonts w:cs="Times New Roman"/>
          <w:sz w:val="24"/>
          <w:szCs w:val="24"/>
        </w:rPr>
        <w:t>his i</w:t>
      </w:r>
      <w:r w:rsidR="003D17EC" w:rsidRPr="00E33DBB">
        <w:rPr>
          <w:rFonts w:cs="Times New Roman"/>
          <w:sz w:val="24"/>
          <w:szCs w:val="24"/>
        </w:rPr>
        <w:t>nteg</w:t>
      </w:r>
      <w:r w:rsidR="0080591F" w:rsidRPr="00E33DBB">
        <w:rPr>
          <w:rFonts w:cs="Times New Roman"/>
          <w:sz w:val="24"/>
          <w:szCs w:val="24"/>
        </w:rPr>
        <w:t>ration could be more easily achieved if</w:t>
      </w:r>
      <w:r w:rsidR="003D17EC" w:rsidRPr="00E33DBB">
        <w:rPr>
          <w:rFonts w:cs="Times New Roman"/>
          <w:sz w:val="24"/>
          <w:szCs w:val="24"/>
        </w:rPr>
        <w:t xml:space="preserve"> </w:t>
      </w:r>
      <w:r w:rsidR="0080591F" w:rsidRPr="00E33DBB">
        <w:rPr>
          <w:rFonts w:cs="Times New Roman"/>
          <w:sz w:val="24"/>
          <w:szCs w:val="24"/>
        </w:rPr>
        <w:t>lecturers were supported</w:t>
      </w:r>
      <w:r w:rsidR="00B71DD4" w:rsidRPr="00E33DBB">
        <w:rPr>
          <w:rFonts w:cs="Times New Roman"/>
          <w:sz w:val="24"/>
          <w:szCs w:val="24"/>
        </w:rPr>
        <w:t xml:space="preserve"> by </w:t>
      </w:r>
      <w:r w:rsidR="003C6C2A" w:rsidRPr="00E33DBB">
        <w:rPr>
          <w:rFonts w:cs="Times New Roman"/>
          <w:sz w:val="24"/>
          <w:szCs w:val="24"/>
        </w:rPr>
        <w:t>EAP</w:t>
      </w:r>
      <w:r w:rsidR="00F36D94" w:rsidRPr="00E33DBB">
        <w:rPr>
          <w:rFonts w:cs="Times New Roman"/>
          <w:sz w:val="24"/>
          <w:szCs w:val="24"/>
        </w:rPr>
        <w:t xml:space="preserve"> staff who, </w:t>
      </w:r>
      <w:r w:rsidR="003D17EC" w:rsidRPr="00E33DBB">
        <w:rPr>
          <w:rFonts w:cs="Times New Roman"/>
          <w:sz w:val="24"/>
          <w:szCs w:val="24"/>
        </w:rPr>
        <w:t xml:space="preserve">as English language experts, </w:t>
      </w:r>
      <w:r w:rsidR="000017F4" w:rsidRPr="00E33DBB">
        <w:rPr>
          <w:rFonts w:cs="Times New Roman"/>
          <w:sz w:val="24"/>
          <w:szCs w:val="24"/>
        </w:rPr>
        <w:t>are</w:t>
      </w:r>
      <w:r w:rsidR="00F36D94" w:rsidRPr="00E33DBB">
        <w:rPr>
          <w:rFonts w:cs="Times New Roman"/>
          <w:sz w:val="24"/>
          <w:szCs w:val="24"/>
        </w:rPr>
        <w:t xml:space="preserve"> </w:t>
      </w:r>
      <w:r w:rsidR="0080591F" w:rsidRPr="00E33DBB">
        <w:rPr>
          <w:rFonts w:cs="Times New Roman"/>
          <w:sz w:val="24"/>
          <w:szCs w:val="24"/>
        </w:rPr>
        <w:t xml:space="preserve">better </w:t>
      </w:r>
      <w:r w:rsidR="00B71DD4" w:rsidRPr="00E33DBB">
        <w:rPr>
          <w:rFonts w:cs="Times New Roman"/>
          <w:sz w:val="24"/>
          <w:szCs w:val="24"/>
        </w:rPr>
        <w:t xml:space="preserve">able </w:t>
      </w:r>
      <w:r w:rsidR="00F36D94" w:rsidRPr="00E33DBB">
        <w:rPr>
          <w:rFonts w:cs="Times New Roman"/>
          <w:sz w:val="24"/>
          <w:szCs w:val="24"/>
        </w:rPr>
        <w:t xml:space="preserve">to </w:t>
      </w:r>
      <w:r w:rsidR="00490EAA" w:rsidRPr="00E33DBB">
        <w:rPr>
          <w:rFonts w:cs="Times New Roman"/>
          <w:sz w:val="24"/>
          <w:szCs w:val="24"/>
        </w:rPr>
        <w:t xml:space="preserve">articulate literacy requirements, </w:t>
      </w:r>
      <w:r w:rsidR="00F36D94" w:rsidRPr="00E33DBB">
        <w:rPr>
          <w:rFonts w:cs="Times New Roman"/>
          <w:sz w:val="24"/>
          <w:szCs w:val="24"/>
        </w:rPr>
        <w:t xml:space="preserve">develop instructional materials on the basis of text analysis, </w:t>
      </w:r>
      <w:r w:rsidR="003D17EC" w:rsidRPr="00E33DBB">
        <w:rPr>
          <w:rFonts w:cs="Times New Roman"/>
          <w:sz w:val="24"/>
          <w:szCs w:val="24"/>
        </w:rPr>
        <w:t>and pinpoint underlying problems</w:t>
      </w:r>
      <w:r w:rsidR="00F36D94" w:rsidRPr="00E33DBB">
        <w:rPr>
          <w:rFonts w:cs="Times New Roman"/>
          <w:sz w:val="24"/>
          <w:szCs w:val="24"/>
        </w:rPr>
        <w:t xml:space="preserve"> in student ass</w:t>
      </w:r>
      <w:r w:rsidR="003D17EC" w:rsidRPr="00E33DBB">
        <w:rPr>
          <w:rFonts w:cs="Times New Roman"/>
          <w:sz w:val="24"/>
          <w:szCs w:val="24"/>
        </w:rPr>
        <w:t>ignments</w:t>
      </w:r>
      <w:r w:rsidR="00F36D94" w:rsidRPr="00E33DBB">
        <w:rPr>
          <w:rFonts w:cs="Times New Roman"/>
          <w:sz w:val="24"/>
          <w:szCs w:val="24"/>
        </w:rPr>
        <w:t>.</w:t>
      </w:r>
      <w:r w:rsidR="00F36D94" w:rsidRPr="00E33DBB">
        <w:rPr>
          <w:rFonts w:cs="Times New Roman"/>
          <w:sz w:val="24"/>
          <w:szCs w:val="24"/>
          <w:highlight w:val="yellow"/>
        </w:rPr>
        <w:t xml:space="preserve"> </w:t>
      </w:r>
      <w:r w:rsidR="000B30D9" w:rsidRPr="00E33DBB">
        <w:rPr>
          <w:rFonts w:cs="Times New Roman"/>
          <w:sz w:val="24"/>
          <w:szCs w:val="24"/>
          <w:highlight w:val="yellow"/>
        </w:rPr>
        <w:t xml:space="preserve"> </w:t>
      </w:r>
    </w:p>
    <w:p w:rsidR="00E70B22" w:rsidRPr="00E33DBB" w:rsidRDefault="00D52851" w:rsidP="00E33DBB">
      <w:pPr>
        <w:spacing w:line="276" w:lineRule="auto"/>
        <w:ind w:left="0"/>
        <w:rPr>
          <w:rFonts w:cs="Times New Roman"/>
          <w:sz w:val="24"/>
          <w:szCs w:val="24"/>
        </w:rPr>
      </w:pPr>
      <w:r w:rsidRPr="00E33DBB">
        <w:rPr>
          <w:rFonts w:cs="Times New Roman"/>
          <w:sz w:val="24"/>
          <w:szCs w:val="24"/>
        </w:rPr>
        <w:t xml:space="preserve">There is </w:t>
      </w:r>
      <w:r w:rsidR="000B30D9" w:rsidRPr="00E33DBB">
        <w:rPr>
          <w:rFonts w:cs="Times New Roman"/>
          <w:sz w:val="24"/>
          <w:szCs w:val="24"/>
        </w:rPr>
        <w:t xml:space="preserve">a growing recognition that the collaboration between </w:t>
      </w:r>
      <w:r w:rsidR="00F36D94" w:rsidRPr="00E33DBB">
        <w:rPr>
          <w:rFonts w:cs="Times New Roman"/>
          <w:sz w:val="24"/>
          <w:szCs w:val="24"/>
        </w:rPr>
        <w:t>EAP spe</w:t>
      </w:r>
      <w:r w:rsidR="00C53871" w:rsidRPr="00E33DBB">
        <w:rPr>
          <w:rFonts w:cs="Times New Roman"/>
          <w:sz w:val="24"/>
          <w:szCs w:val="24"/>
        </w:rPr>
        <w:t>cialists and subject specialists</w:t>
      </w:r>
      <w:r w:rsidR="000B30D9" w:rsidRPr="00E33DBB">
        <w:rPr>
          <w:rFonts w:cs="Times New Roman"/>
          <w:sz w:val="24"/>
          <w:szCs w:val="24"/>
        </w:rPr>
        <w:t xml:space="preserve"> can considerably enhance student</w:t>
      </w:r>
      <w:r w:rsidR="00701715" w:rsidRPr="00E33DBB">
        <w:rPr>
          <w:rFonts w:cs="Times New Roman"/>
          <w:sz w:val="24"/>
          <w:szCs w:val="24"/>
        </w:rPr>
        <w:t>s’ academic literacy development. C</w:t>
      </w:r>
      <w:r w:rsidR="00886C8E" w:rsidRPr="00E33DBB">
        <w:rPr>
          <w:rFonts w:cs="Times New Roman"/>
          <w:sz w:val="24"/>
          <w:szCs w:val="24"/>
        </w:rPr>
        <w:t xml:space="preserve">ollaborative approaches </w:t>
      </w:r>
      <w:r w:rsidR="00701715" w:rsidRPr="00E33DBB">
        <w:rPr>
          <w:rFonts w:cs="Times New Roman"/>
          <w:sz w:val="24"/>
          <w:szCs w:val="24"/>
        </w:rPr>
        <w:t>have been reported from</w:t>
      </w:r>
      <w:r w:rsidR="00886C8E" w:rsidRPr="00E33DBB">
        <w:rPr>
          <w:rFonts w:cs="Times New Roman"/>
          <w:sz w:val="24"/>
          <w:szCs w:val="24"/>
        </w:rPr>
        <w:t xml:space="preserve"> universities in the U</w:t>
      </w:r>
      <w:r w:rsidR="00701715" w:rsidRPr="00E33DBB">
        <w:rPr>
          <w:rFonts w:cs="Times New Roman"/>
          <w:sz w:val="24"/>
          <w:szCs w:val="24"/>
        </w:rPr>
        <w:t xml:space="preserve">K </w:t>
      </w:r>
      <w:r w:rsidR="00DA20D6" w:rsidRPr="00E33DBB">
        <w:rPr>
          <w:rFonts w:cs="Times New Roman"/>
          <w:sz w:val="24"/>
          <w:szCs w:val="24"/>
        </w:rPr>
        <w:t xml:space="preserve">(Morley 2008) </w:t>
      </w:r>
      <w:r w:rsidR="00701715" w:rsidRPr="00E33DBB">
        <w:rPr>
          <w:rFonts w:cs="Times New Roman"/>
          <w:sz w:val="24"/>
          <w:szCs w:val="24"/>
        </w:rPr>
        <w:t>and South Afric</w:t>
      </w:r>
      <w:r w:rsidR="007629DC" w:rsidRPr="00E33DBB">
        <w:rPr>
          <w:rFonts w:cs="Times New Roman"/>
          <w:sz w:val="24"/>
          <w:szCs w:val="24"/>
        </w:rPr>
        <w:t xml:space="preserve">a (e.g. </w:t>
      </w:r>
      <w:r w:rsidR="003C04E8" w:rsidRPr="00E33DBB">
        <w:rPr>
          <w:rFonts w:cs="Times New Roman"/>
          <w:sz w:val="24"/>
          <w:szCs w:val="24"/>
        </w:rPr>
        <w:t>Thesen &amp; van Pletzen 2006; Paxton 2011</w:t>
      </w:r>
      <w:r w:rsidR="00701715" w:rsidRPr="00E33DBB">
        <w:rPr>
          <w:rFonts w:cs="Times New Roman"/>
          <w:sz w:val="24"/>
          <w:szCs w:val="24"/>
        </w:rPr>
        <w:t>;</w:t>
      </w:r>
      <w:r w:rsidR="001D3F7C" w:rsidRPr="00E33DBB">
        <w:rPr>
          <w:rFonts w:cs="Times New Roman"/>
          <w:sz w:val="24"/>
          <w:szCs w:val="24"/>
        </w:rPr>
        <w:t>). However, these initiatives are often limited to specific contexts without making a wider impact beyond individual departments or institutions. An exception is Australia, where collaborative learning and langu</w:t>
      </w:r>
      <w:r w:rsidR="006F446B" w:rsidRPr="00E33DBB">
        <w:rPr>
          <w:rFonts w:cs="Times New Roman"/>
          <w:sz w:val="24"/>
          <w:szCs w:val="24"/>
        </w:rPr>
        <w:t xml:space="preserve">age development has reached </w:t>
      </w:r>
      <w:r w:rsidR="001D3F7C" w:rsidRPr="00E33DBB">
        <w:rPr>
          <w:rFonts w:cs="Times New Roman"/>
          <w:sz w:val="24"/>
          <w:szCs w:val="24"/>
        </w:rPr>
        <w:t>national policy leve</w:t>
      </w:r>
      <w:r w:rsidR="00FE5DFE" w:rsidRPr="00E33DBB">
        <w:rPr>
          <w:rFonts w:cs="Times New Roman"/>
          <w:sz w:val="24"/>
          <w:szCs w:val="24"/>
        </w:rPr>
        <w:t>l. Therefore, let’s</w:t>
      </w:r>
      <w:r w:rsidR="001D3F7C" w:rsidRPr="00E33DBB">
        <w:rPr>
          <w:rFonts w:cs="Times New Roman"/>
          <w:sz w:val="24"/>
          <w:szCs w:val="24"/>
        </w:rPr>
        <w:t xml:space="preserve"> have a closer look at the Australian model.</w:t>
      </w:r>
    </w:p>
    <w:p w:rsidR="001D3F7C" w:rsidRPr="00E33DBB" w:rsidRDefault="006F446B" w:rsidP="00E33DBB">
      <w:pPr>
        <w:spacing w:line="276" w:lineRule="auto"/>
        <w:ind w:left="0"/>
        <w:rPr>
          <w:rFonts w:cs="Times New Roman"/>
          <w:sz w:val="24"/>
          <w:szCs w:val="24"/>
        </w:rPr>
      </w:pPr>
      <w:r w:rsidRPr="00E33DBB">
        <w:rPr>
          <w:rFonts w:cs="Times New Roman"/>
          <w:sz w:val="24"/>
          <w:szCs w:val="24"/>
        </w:rPr>
        <w:t xml:space="preserve">In Australian universities, </w:t>
      </w:r>
      <w:r w:rsidR="000017F4" w:rsidRPr="00E33DBB">
        <w:rPr>
          <w:rFonts w:cs="Times New Roman"/>
          <w:sz w:val="24"/>
          <w:szCs w:val="24"/>
        </w:rPr>
        <w:t>support</w:t>
      </w:r>
      <w:r w:rsidRPr="00E33DBB">
        <w:rPr>
          <w:rFonts w:cs="Times New Roman"/>
          <w:sz w:val="24"/>
          <w:szCs w:val="24"/>
        </w:rPr>
        <w:t xml:space="preserve"> for students</w:t>
      </w:r>
      <w:r w:rsidR="000017F4" w:rsidRPr="00E33DBB">
        <w:rPr>
          <w:rFonts w:cs="Times New Roman"/>
          <w:sz w:val="24"/>
          <w:szCs w:val="24"/>
        </w:rPr>
        <w:t xml:space="preserve"> was</w:t>
      </w:r>
      <w:r w:rsidR="00FD1E5F" w:rsidRPr="00E33DBB">
        <w:rPr>
          <w:rFonts w:cs="Times New Roman"/>
          <w:sz w:val="24"/>
          <w:szCs w:val="24"/>
        </w:rPr>
        <w:t xml:space="preserve"> traditionally </w:t>
      </w:r>
      <w:r w:rsidR="00567465" w:rsidRPr="00E33DBB">
        <w:rPr>
          <w:rFonts w:cs="Times New Roman"/>
          <w:sz w:val="24"/>
          <w:szCs w:val="24"/>
        </w:rPr>
        <w:t xml:space="preserve">provided </w:t>
      </w:r>
      <w:r w:rsidR="00F453CF" w:rsidRPr="00E33DBB">
        <w:rPr>
          <w:rFonts w:cs="Times New Roman"/>
          <w:sz w:val="24"/>
          <w:szCs w:val="24"/>
        </w:rPr>
        <w:t>through</w:t>
      </w:r>
      <w:r w:rsidR="00567465" w:rsidRPr="00E33DBB">
        <w:rPr>
          <w:rFonts w:cs="Times New Roman"/>
          <w:sz w:val="24"/>
          <w:szCs w:val="24"/>
        </w:rPr>
        <w:t xml:space="preserve"> central writing courses in the</w:t>
      </w:r>
      <w:r w:rsidRPr="00E33DBB">
        <w:rPr>
          <w:rFonts w:cs="Times New Roman"/>
          <w:sz w:val="24"/>
          <w:szCs w:val="24"/>
        </w:rPr>
        <w:t xml:space="preserve"> so called</w:t>
      </w:r>
      <w:r w:rsidR="00FD1E5F" w:rsidRPr="00E33DBB">
        <w:rPr>
          <w:rFonts w:cs="Times New Roman"/>
          <w:sz w:val="24"/>
          <w:szCs w:val="24"/>
        </w:rPr>
        <w:t xml:space="preserve"> </w:t>
      </w:r>
      <w:r w:rsidR="000017F4" w:rsidRPr="00E33DBB">
        <w:rPr>
          <w:rFonts w:cs="Times New Roman"/>
          <w:sz w:val="24"/>
          <w:szCs w:val="24"/>
        </w:rPr>
        <w:t>‘Academic Language and Learning (ALL)</w:t>
      </w:r>
      <w:r w:rsidR="00FD1E5F" w:rsidRPr="00E33DBB">
        <w:rPr>
          <w:rFonts w:cs="Times New Roman"/>
          <w:sz w:val="24"/>
          <w:szCs w:val="24"/>
        </w:rPr>
        <w:t>’</w:t>
      </w:r>
      <w:r w:rsidR="000017F4" w:rsidRPr="00E33DBB">
        <w:rPr>
          <w:rFonts w:cs="Times New Roman"/>
          <w:sz w:val="24"/>
          <w:szCs w:val="24"/>
        </w:rPr>
        <w:t xml:space="preserve"> units</w:t>
      </w:r>
      <w:r w:rsidR="00F453CF" w:rsidRPr="00E33DBB">
        <w:rPr>
          <w:rFonts w:cs="Times New Roman"/>
          <w:sz w:val="24"/>
          <w:szCs w:val="24"/>
        </w:rPr>
        <w:t xml:space="preserve">. In the 1990s, </w:t>
      </w:r>
      <w:r w:rsidR="00FB521B" w:rsidRPr="00E33DBB">
        <w:rPr>
          <w:rFonts w:cs="Times New Roman"/>
          <w:sz w:val="24"/>
          <w:szCs w:val="24"/>
        </w:rPr>
        <w:t xml:space="preserve">the </w:t>
      </w:r>
      <w:r w:rsidR="00FE5DFE" w:rsidRPr="00E33DBB">
        <w:rPr>
          <w:rFonts w:cs="Times New Roman"/>
          <w:sz w:val="24"/>
          <w:szCs w:val="24"/>
        </w:rPr>
        <w:t>University of Wollongong launched</w:t>
      </w:r>
      <w:r w:rsidR="00F453CF" w:rsidRPr="00E33DBB">
        <w:rPr>
          <w:rFonts w:cs="Times New Roman"/>
          <w:sz w:val="24"/>
          <w:szCs w:val="24"/>
        </w:rPr>
        <w:t xml:space="preserve"> the </w:t>
      </w:r>
      <w:r w:rsidR="00FB521B" w:rsidRPr="00E33DBB">
        <w:rPr>
          <w:rFonts w:cs="Times New Roman"/>
          <w:sz w:val="24"/>
          <w:szCs w:val="24"/>
        </w:rPr>
        <w:t>‘collaborative, curriculum-integrated literacy instruction’</w:t>
      </w:r>
      <w:r w:rsidR="003D1315" w:rsidRPr="00E33DBB">
        <w:rPr>
          <w:rFonts w:cs="Times New Roman"/>
          <w:sz w:val="24"/>
          <w:szCs w:val="24"/>
        </w:rPr>
        <w:t xml:space="preserve"> initiative</w:t>
      </w:r>
      <w:r w:rsidR="000017F4" w:rsidRPr="00E33DBB">
        <w:rPr>
          <w:rFonts w:cs="Times New Roman"/>
          <w:sz w:val="24"/>
          <w:szCs w:val="24"/>
        </w:rPr>
        <w:t xml:space="preserve"> </w:t>
      </w:r>
      <w:r w:rsidR="00FB521B" w:rsidRPr="00E33DBB">
        <w:rPr>
          <w:rFonts w:cs="Times New Roman"/>
          <w:sz w:val="24"/>
          <w:szCs w:val="24"/>
        </w:rPr>
        <w:t>(Purser 2011: 30)</w:t>
      </w:r>
      <w:r w:rsidR="000017F4" w:rsidRPr="00E33DBB">
        <w:rPr>
          <w:rFonts w:cs="Times New Roman"/>
          <w:sz w:val="24"/>
          <w:szCs w:val="24"/>
        </w:rPr>
        <w:t xml:space="preserve">, </w:t>
      </w:r>
      <w:r w:rsidR="00F453CF" w:rsidRPr="00E33DBB">
        <w:rPr>
          <w:rFonts w:cs="Times New Roman"/>
          <w:sz w:val="24"/>
          <w:szCs w:val="24"/>
        </w:rPr>
        <w:t xml:space="preserve">in which </w:t>
      </w:r>
      <w:r w:rsidR="00FC409F" w:rsidRPr="00E33DBB">
        <w:rPr>
          <w:rFonts w:cs="Times New Roman"/>
          <w:sz w:val="24"/>
          <w:szCs w:val="24"/>
        </w:rPr>
        <w:t xml:space="preserve">ALL staff </w:t>
      </w:r>
      <w:r w:rsidR="00F453CF" w:rsidRPr="00E33DBB">
        <w:rPr>
          <w:rFonts w:cs="Times New Roman"/>
          <w:sz w:val="24"/>
          <w:szCs w:val="24"/>
        </w:rPr>
        <w:t xml:space="preserve">began to work closely with staff in the academic disciplines. </w:t>
      </w:r>
      <w:r w:rsidR="00452ADB" w:rsidRPr="00E33DBB">
        <w:rPr>
          <w:rFonts w:cs="Times New Roman"/>
          <w:sz w:val="24"/>
          <w:szCs w:val="24"/>
        </w:rPr>
        <w:t>This</w:t>
      </w:r>
      <w:r w:rsidR="00F453CF" w:rsidRPr="00E33DBB">
        <w:rPr>
          <w:rFonts w:cs="Times New Roman"/>
          <w:sz w:val="24"/>
          <w:szCs w:val="24"/>
        </w:rPr>
        <w:t xml:space="preserve"> collaboration </w:t>
      </w:r>
      <w:r w:rsidR="00FD1E5F" w:rsidRPr="00E33DBB">
        <w:rPr>
          <w:rFonts w:cs="Times New Roman"/>
          <w:sz w:val="24"/>
          <w:szCs w:val="24"/>
        </w:rPr>
        <w:t xml:space="preserve">was based on the recognition that all students need to learn the </w:t>
      </w:r>
      <w:r w:rsidR="0078024C" w:rsidRPr="00E33DBB">
        <w:rPr>
          <w:rFonts w:cs="Times New Roman"/>
          <w:sz w:val="24"/>
          <w:szCs w:val="24"/>
        </w:rPr>
        <w:t xml:space="preserve">genres and associated </w:t>
      </w:r>
      <w:r w:rsidR="00FD1E5F" w:rsidRPr="00E33DBB">
        <w:rPr>
          <w:rFonts w:cs="Times New Roman"/>
          <w:sz w:val="24"/>
          <w:szCs w:val="24"/>
        </w:rPr>
        <w:t>literacy conventions of their disciplin</w:t>
      </w:r>
      <w:r w:rsidR="00FE5DFE" w:rsidRPr="00E33DBB">
        <w:rPr>
          <w:rFonts w:cs="Times New Roman"/>
          <w:sz w:val="24"/>
          <w:szCs w:val="24"/>
        </w:rPr>
        <w:t>es through explicit instruction</w:t>
      </w:r>
      <w:r w:rsidR="0078024C" w:rsidRPr="00E33DBB">
        <w:rPr>
          <w:rFonts w:cs="Times New Roman"/>
          <w:sz w:val="24"/>
          <w:szCs w:val="24"/>
        </w:rPr>
        <w:t>, which</w:t>
      </w:r>
      <w:r w:rsidR="00FE5DFE" w:rsidRPr="00E33DBB">
        <w:rPr>
          <w:rFonts w:cs="Times New Roman"/>
          <w:sz w:val="24"/>
          <w:szCs w:val="24"/>
        </w:rPr>
        <w:t>, as Skillen</w:t>
      </w:r>
      <w:r w:rsidR="0078024C" w:rsidRPr="00E33DBB">
        <w:rPr>
          <w:rFonts w:cs="Times New Roman"/>
          <w:sz w:val="24"/>
          <w:szCs w:val="24"/>
        </w:rPr>
        <w:t xml:space="preserve"> </w:t>
      </w:r>
      <w:r w:rsidR="00FE5DFE" w:rsidRPr="00E33DBB">
        <w:rPr>
          <w:rFonts w:cs="Times New Roman"/>
          <w:sz w:val="24"/>
          <w:szCs w:val="24"/>
        </w:rPr>
        <w:t xml:space="preserve">(2006: 141) explains, </w:t>
      </w:r>
      <w:r w:rsidR="0078024C" w:rsidRPr="00E33DBB">
        <w:rPr>
          <w:rFonts w:cs="Times New Roman"/>
          <w:sz w:val="24"/>
          <w:szCs w:val="24"/>
        </w:rPr>
        <w:t>should not be ‘peripheral but central to stu</w:t>
      </w:r>
      <w:r w:rsidR="00FE5DFE" w:rsidRPr="00E33DBB">
        <w:rPr>
          <w:rFonts w:cs="Times New Roman"/>
          <w:sz w:val="24"/>
          <w:szCs w:val="24"/>
        </w:rPr>
        <w:t>dy in the disciplines’</w:t>
      </w:r>
      <w:r w:rsidR="00F453CF" w:rsidRPr="00E33DBB">
        <w:rPr>
          <w:rFonts w:cs="Times New Roman"/>
          <w:sz w:val="24"/>
          <w:szCs w:val="24"/>
        </w:rPr>
        <w:t>. The objectives of this collaboration were to help</w:t>
      </w:r>
      <w:r w:rsidR="0078024C" w:rsidRPr="00E33DBB">
        <w:rPr>
          <w:rFonts w:cs="Times New Roman"/>
          <w:sz w:val="24"/>
          <w:szCs w:val="24"/>
        </w:rPr>
        <w:t xml:space="preserve"> </w:t>
      </w:r>
      <w:r w:rsidR="008B50A8" w:rsidRPr="00E33DBB">
        <w:rPr>
          <w:rFonts w:cs="Times New Roman"/>
          <w:sz w:val="24"/>
          <w:szCs w:val="24"/>
        </w:rPr>
        <w:t>‘</w:t>
      </w:r>
      <w:r w:rsidR="0078024C" w:rsidRPr="00E33DBB">
        <w:rPr>
          <w:rFonts w:cs="Times New Roman"/>
          <w:sz w:val="24"/>
          <w:szCs w:val="24"/>
        </w:rPr>
        <w:t>teachers across the disciplines recognise the linguistic nature of academic learning and tea</w:t>
      </w:r>
      <w:r w:rsidR="00F453CF" w:rsidRPr="00E33DBB">
        <w:rPr>
          <w:rFonts w:cs="Times New Roman"/>
          <w:sz w:val="24"/>
          <w:szCs w:val="24"/>
        </w:rPr>
        <w:t>ching’ (Purser 2011: 34), to make</w:t>
      </w:r>
      <w:r w:rsidR="0078024C" w:rsidRPr="00E33DBB">
        <w:rPr>
          <w:rFonts w:cs="Times New Roman"/>
          <w:sz w:val="24"/>
          <w:szCs w:val="24"/>
        </w:rPr>
        <w:t xml:space="preserve"> ‘specific changes in teaching and learning so that student learning is better understood and supported’ (Purser et al 2008: 3)</w:t>
      </w:r>
      <w:r w:rsidR="00FB2738" w:rsidRPr="00E33DBB">
        <w:rPr>
          <w:rFonts w:cs="Times New Roman"/>
          <w:sz w:val="24"/>
          <w:szCs w:val="24"/>
        </w:rPr>
        <w:t>,</w:t>
      </w:r>
      <w:r w:rsidR="0078024C" w:rsidRPr="00E33DBB">
        <w:rPr>
          <w:rFonts w:cs="Times New Roman"/>
          <w:sz w:val="24"/>
          <w:szCs w:val="24"/>
        </w:rPr>
        <w:t xml:space="preserve"> and </w:t>
      </w:r>
      <w:r w:rsidR="00F453CF" w:rsidRPr="00E33DBB">
        <w:rPr>
          <w:rFonts w:cs="Times New Roman"/>
          <w:sz w:val="24"/>
          <w:szCs w:val="24"/>
        </w:rPr>
        <w:t>to involve</w:t>
      </w:r>
      <w:r w:rsidR="008B50A8" w:rsidRPr="00E33DBB">
        <w:rPr>
          <w:rFonts w:cs="Times New Roman"/>
          <w:sz w:val="24"/>
          <w:szCs w:val="24"/>
        </w:rPr>
        <w:t xml:space="preserve"> ‘the Learning Developer in more than the teaching of writing, and the subject lecturers in more than the teaching of </w:t>
      </w:r>
      <w:r w:rsidR="00DD5D88" w:rsidRPr="00E33DBB">
        <w:rPr>
          <w:rFonts w:cs="Times New Roman"/>
          <w:sz w:val="24"/>
          <w:szCs w:val="24"/>
        </w:rPr>
        <w:t xml:space="preserve">their subject content’ (Skillen </w:t>
      </w:r>
      <w:r w:rsidR="008B50A8" w:rsidRPr="00E33DBB">
        <w:rPr>
          <w:rFonts w:cs="Times New Roman"/>
          <w:sz w:val="24"/>
          <w:szCs w:val="24"/>
        </w:rPr>
        <w:t xml:space="preserve">2006: 144). </w:t>
      </w:r>
      <w:r w:rsidR="00CB46B8" w:rsidRPr="00E33DBB">
        <w:rPr>
          <w:rFonts w:cs="Times New Roman"/>
          <w:sz w:val="24"/>
          <w:szCs w:val="24"/>
        </w:rPr>
        <w:t xml:space="preserve">The positive </w:t>
      </w:r>
      <w:r w:rsidR="00D52851" w:rsidRPr="00E33DBB">
        <w:rPr>
          <w:rFonts w:cs="Times New Roman"/>
          <w:sz w:val="24"/>
          <w:szCs w:val="24"/>
        </w:rPr>
        <w:t xml:space="preserve">learning outcomes at Wollongong </w:t>
      </w:r>
      <w:r w:rsidR="00CB46B8" w:rsidRPr="00E33DBB">
        <w:rPr>
          <w:rFonts w:cs="Times New Roman"/>
          <w:sz w:val="24"/>
          <w:szCs w:val="24"/>
        </w:rPr>
        <w:t>led an increasing number of Australian universities to implement</w:t>
      </w:r>
      <w:r w:rsidR="009B20F3" w:rsidRPr="00E33DBB">
        <w:rPr>
          <w:rFonts w:cs="Times New Roman"/>
          <w:sz w:val="24"/>
          <w:szCs w:val="24"/>
        </w:rPr>
        <w:t xml:space="preserve"> </w:t>
      </w:r>
      <w:r w:rsidR="00CB46B8" w:rsidRPr="00E33DBB">
        <w:rPr>
          <w:rFonts w:cs="Times New Roman"/>
          <w:sz w:val="24"/>
          <w:szCs w:val="24"/>
        </w:rPr>
        <w:t xml:space="preserve">collaborative and </w:t>
      </w:r>
      <w:r w:rsidR="00933C2D" w:rsidRPr="00E33DBB">
        <w:rPr>
          <w:rFonts w:cs="Times New Roman"/>
          <w:sz w:val="24"/>
          <w:szCs w:val="24"/>
        </w:rPr>
        <w:t>curriculum-integrated</w:t>
      </w:r>
      <w:r w:rsidR="00CB46B8" w:rsidRPr="00E33DBB">
        <w:rPr>
          <w:rFonts w:cs="Times New Roman"/>
          <w:sz w:val="24"/>
          <w:szCs w:val="24"/>
        </w:rPr>
        <w:t xml:space="preserve"> </w:t>
      </w:r>
      <w:r w:rsidR="00933C2D" w:rsidRPr="00E33DBB">
        <w:rPr>
          <w:rFonts w:cs="Times New Roman"/>
          <w:sz w:val="24"/>
          <w:szCs w:val="24"/>
        </w:rPr>
        <w:t>academic literacy instruction</w:t>
      </w:r>
      <w:r w:rsidR="002A7EEE" w:rsidRPr="00E33DBB">
        <w:rPr>
          <w:rFonts w:cs="Times New Roman"/>
          <w:sz w:val="24"/>
          <w:szCs w:val="24"/>
        </w:rPr>
        <w:t xml:space="preserve"> (Arkoudis &amp; Starfield 2007)</w:t>
      </w:r>
      <w:r w:rsidR="00424010" w:rsidRPr="00E33DBB">
        <w:rPr>
          <w:rFonts w:cs="Times New Roman"/>
          <w:sz w:val="24"/>
          <w:szCs w:val="24"/>
        </w:rPr>
        <w:t>. More recently</w:t>
      </w:r>
      <w:r w:rsidR="00CB46B8" w:rsidRPr="00E33DBB">
        <w:rPr>
          <w:rFonts w:cs="Times New Roman"/>
          <w:sz w:val="24"/>
          <w:szCs w:val="24"/>
        </w:rPr>
        <w:t xml:space="preserve">, this approach has been </w:t>
      </w:r>
      <w:r w:rsidR="00933C2D" w:rsidRPr="00E33DBB">
        <w:rPr>
          <w:rFonts w:cs="Times New Roman"/>
          <w:sz w:val="24"/>
          <w:szCs w:val="24"/>
        </w:rPr>
        <w:t xml:space="preserve">recommended in the Higher Education Standards Framework (TEQSA 2011). Similar initiatives </w:t>
      </w:r>
      <w:r w:rsidR="003C04E8" w:rsidRPr="00E33DBB">
        <w:rPr>
          <w:rFonts w:cs="Times New Roman"/>
          <w:sz w:val="24"/>
          <w:szCs w:val="24"/>
        </w:rPr>
        <w:t xml:space="preserve">have been </w:t>
      </w:r>
      <w:r w:rsidR="00933C2D" w:rsidRPr="00E33DBB">
        <w:rPr>
          <w:rFonts w:cs="Times New Roman"/>
          <w:sz w:val="24"/>
          <w:szCs w:val="24"/>
        </w:rPr>
        <w:t xml:space="preserve"> reported from the University of Cape Town, where members of the central ‘Language Development Group’ </w:t>
      </w:r>
      <w:r w:rsidR="00791F48" w:rsidRPr="00E33DBB">
        <w:rPr>
          <w:rFonts w:cs="Times New Roman"/>
          <w:sz w:val="24"/>
          <w:szCs w:val="24"/>
        </w:rPr>
        <w:t xml:space="preserve">(LDG) </w:t>
      </w:r>
      <w:r w:rsidR="00963DD3" w:rsidRPr="00E33DBB">
        <w:rPr>
          <w:rFonts w:cs="Times New Roman"/>
          <w:sz w:val="24"/>
          <w:szCs w:val="24"/>
        </w:rPr>
        <w:t xml:space="preserve">form </w:t>
      </w:r>
      <w:r w:rsidR="00FC409F" w:rsidRPr="00E33DBB">
        <w:rPr>
          <w:rFonts w:cs="Times New Roman"/>
          <w:sz w:val="24"/>
          <w:szCs w:val="24"/>
        </w:rPr>
        <w:t xml:space="preserve">long-term </w:t>
      </w:r>
      <w:r w:rsidR="00963DD3" w:rsidRPr="00E33DBB">
        <w:rPr>
          <w:rFonts w:cs="Times New Roman"/>
          <w:sz w:val="24"/>
          <w:szCs w:val="24"/>
        </w:rPr>
        <w:t>partnerships with departments to integrate academic literacy teaching in</w:t>
      </w:r>
      <w:r w:rsidR="00A90E17" w:rsidRPr="00E33DBB">
        <w:rPr>
          <w:rFonts w:cs="Times New Roman"/>
          <w:sz w:val="24"/>
          <w:szCs w:val="24"/>
        </w:rPr>
        <w:t>to the disciplines</w:t>
      </w:r>
      <w:r w:rsidR="00963DD3" w:rsidRPr="00E33DBB">
        <w:rPr>
          <w:rFonts w:cs="Times New Roman"/>
          <w:sz w:val="24"/>
          <w:szCs w:val="24"/>
        </w:rPr>
        <w:t xml:space="preserve">, </w:t>
      </w:r>
      <w:r w:rsidR="00FB293C" w:rsidRPr="00E33DBB">
        <w:rPr>
          <w:rFonts w:cs="Times New Roman"/>
          <w:sz w:val="24"/>
          <w:szCs w:val="24"/>
        </w:rPr>
        <w:t>aiming</w:t>
      </w:r>
      <w:r w:rsidR="00963DD3" w:rsidRPr="00E33DBB">
        <w:rPr>
          <w:rFonts w:cs="Times New Roman"/>
          <w:sz w:val="24"/>
          <w:szCs w:val="24"/>
        </w:rPr>
        <w:t xml:space="preserve"> to achieve ‘</w:t>
      </w:r>
      <w:r w:rsidR="00360D50" w:rsidRPr="00E33DBB">
        <w:rPr>
          <w:rFonts w:cs="Times New Roman"/>
          <w:sz w:val="24"/>
          <w:szCs w:val="24"/>
        </w:rPr>
        <w:t>systemic change across the university, rather than on designing fragile bridges f</w:t>
      </w:r>
      <w:r w:rsidR="00FB293C" w:rsidRPr="00E33DBB">
        <w:rPr>
          <w:rFonts w:cs="Times New Roman"/>
          <w:sz w:val="24"/>
          <w:szCs w:val="24"/>
        </w:rPr>
        <w:t xml:space="preserve">or “non-traditional” students’ </w:t>
      </w:r>
      <w:r w:rsidR="00933C2D" w:rsidRPr="00E33DBB">
        <w:rPr>
          <w:rFonts w:cs="Times New Roman"/>
          <w:sz w:val="24"/>
          <w:szCs w:val="24"/>
        </w:rPr>
        <w:t xml:space="preserve"> </w:t>
      </w:r>
      <w:r w:rsidR="00360D50" w:rsidRPr="00E33DBB">
        <w:rPr>
          <w:rFonts w:cs="Times New Roman"/>
          <w:sz w:val="24"/>
          <w:szCs w:val="24"/>
        </w:rPr>
        <w:t xml:space="preserve">(Thesen &amp; van Pletzen 2006: 7). </w:t>
      </w:r>
      <w:r w:rsidR="00791F48" w:rsidRPr="00E33DBB">
        <w:rPr>
          <w:rFonts w:cs="Times New Roman"/>
          <w:sz w:val="24"/>
          <w:szCs w:val="24"/>
        </w:rPr>
        <w:t xml:space="preserve"> </w:t>
      </w:r>
      <w:r w:rsidR="00A90E17" w:rsidRPr="00E33DBB">
        <w:rPr>
          <w:rFonts w:cs="Times New Roman"/>
          <w:sz w:val="24"/>
          <w:szCs w:val="24"/>
        </w:rPr>
        <w:t>The reports from t</w:t>
      </w:r>
      <w:r w:rsidR="00E2174F" w:rsidRPr="00E33DBB">
        <w:rPr>
          <w:rFonts w:cs="Times New Roman"/>
          <w:sz w:val="24"/>
          <w:szCs w:val="24"/>
        </w:rPr>
        <w:t xml:space="preserve">he LDG do not reveal, however, </w:t>
      </w:r>
      <w:r w:rsidR="00FE5DFE" w:rsidRPr="00E33DBB">
        <w:rPr>
          <w:rFonts w:cs="Times New Roman"/>
          <w:sz w:val="24"/>
          <w:szCs w:val="24"/>
        </w:rPr>
        <w:t>to what extent</w:t>
      </w:r>
      <w:r w:rsidR="000E4996" w:rsidRPr="00E33DBB">
        <w:rPr>
          <w:rFonts w:cs="Times New Roman"/>
          <w:sz w:val="24"/>
          <w:szCs w:val="24"/>
        </w:rPr>
        <w:t xml:space="preserve"> collaboration with subject lecturers was sought.</w:t>
      </w:r>
    </w:p>
    <w:p w:rsidR="005347AF" w:rsidRDefault="00CD2066" w:rsidP="00E33DBB">
      <w:pPr>
        <w:spacing w:line="276" w:lineRule="auto"/>
        <w:ind w:left="0"/>
        <w:rPr>
          <w:rFonts w:cs="Times New Roman"/>
          <w:sz w:val="24"/>
          <w:szCs w:val="24"/>
        </w:rPr>
      </w:pPr>
      <w:r w:rsidRPr="00E33DBB">
        <w:rPr>
          <w:rFonts w:cs="Times New Roman"/>
          <w:sz w:val="24"/>
          <w:szCs w:val="24"/>
        </w:rPr>
        <w:t xml:space="preserve">The </w:t>
      </w:r>
      <w:r w:rsidR="00461D82" w:rsidRPr="00E33DBB">
        <w:rPr>
          <w:rFonts w:cs="Times New Roman"/>
          <w:sz w:val="24"/>
          <w:szCs w:val="24"/>
        </w:rPr>
        <w:t>publications</w:t>
      </w:r>
      <w:r w:rsidRPr="00E33DBB">
        <w:rPr>
          <w:rFonts w:cs="Times New Roman"/>
          <w:sz w:val="24"/>
          <w:szCs w:val="24"/>
        </w:rPr>
        <w:t xml:space="preserve"> on </w:t>
      </w:r>
      <w:r w:rsidR="00461D82" w:rsidRPr="00E33DBB">
        <w:rPr>
          <w:rFonts w:cs="Times New Roman"/>
          <w:sz w:val="24"/>
          <w:szCs w:val="24"/>
        </w:rPr>
        <w:t xml:space="preserve">the </w:t>
      </w:r>
      <w:r w:rsidRPr="00E33DBB">
        <w:rPr>
          <w:rFonts w:cs="Times New Roman"/>
          <w:sz w:val="24"/>
          <w:szCs w:val="24"/>
        </w:rPr>
        <w:t>collaborative and discipline-s</w:t>
      </w:r>
      <w:r w:rsidR="00D52851" w:rsidRPr="00E33DBB">
        <w:rPr>
          <w:rFonts w:cs="Times New Roman"/>
          <w:sz w:val="24"/>
          <w:szCs w:val="24"/>
        </w:rPr>
        <w:t xml:space="preserve">pecific </w:t>
      </w:r>
      <w:r w:rsidR="00461D82" w:rsidRPr="00E33DBB">
        <w:rPr>
          <w:rFonts w:cs="Times New Roman"/>
          <w:sz w:val="24"/>
          <w:szCs w:val="24"/>
        </w:rPr>
        <w:t>instructional initiatives in Australian, South-African and UK universities</w:t>
      </w:r>
      <w:r w:rsidRPr="00E33DBB">
        <w:rPr>
          <w:rFonts w:cs="Times New Roman"/>
          <w:sz w:val="24"/>
          <w:szCs w:val="24"/>
        </w:rPr>
        <w:t xml:space="preserve"> leave a number of</w:t>
      </w:r>
      <w:r w:rsidR="00791F48" w:rsidRPr="00E33DBB">
        <w:rPr>
          <w:rFonts w:cs="Times New Roman"/>
          <w:sz w:val="24"/>
          <w:szCs w:val="24"/>
        </w:rPr>
        <w:t xml:space="preserve"> </w:t>
      </w:r>
      <w:r w:rsidRPr="00E33DBB">
        <w:rPr>
          <w:rFonts w:cs="Times New Roman"/>
          <w:sz w:val="24"/>
          <w:szCs w:val="24"/>
        </w:rPr>
        <w:t>questions unanswered</w:t>
      </w:r>
      <w:r w:rsidR="000E4996" w:rsidRPr="00E33DBB">
        <w:rPr>
          <w:rFonts w:cs="Times New Roman"/>
          <w:sz w:val="24"/>
          <w:szCs w:val="24"/>
        </w:rPr>
        <w:t>.</w:t>
      </w:r>
      <w:r w:rsidR="00461D82" w:rsidRPr="00E33DBB">
        <w:rPr>
          <w:rFonts w:cs="Times New Roman"/>
          <w:sz w:val="24"/>
          <w:szCs w:val="24"/>
        </w:rPr>
        <w:t xml:space="preserve"> There is no explicit accou</w:t>
      </w:r>
      <w:r w:rsidR="000E4996" w:rsidRPr="00E33DBB">
        <w:rPr>
          <w:rFonts w:cs="Times New Roman"/>
          <w:sz w:val="24"/>
          <w:szCs w:val="24"/>
        </w:rPr>
        <w:t xml:space="preserve">nt of the teaching methods </w:t>
      </w:r>
      <w:r w:rsidR="00461D82" w:rsidRPr="00E33DBB">
        <w:rPr>
          <w:rFonts w:cs="Times New Roman"/>
          <w:sz w:val="24"/>
          <w:szCs w:val="24"/>
        </w:rPr>
        <w:t>and the theoretical framework</w:t>
      </w:r>
      <w:r w:rsidR="001B2A19" w:rsidRPr="00E33DBB">
        <w:rPr>
          <w:rFonts w:cs="Times New Roman"/>
          <w:sz w:val="24"/>
          <w:szCs w:val="24"/>
        </w:rPr>
        <w:t>s</w:t>
      </w:r>
      <w:r w:rsidR="00461D82" w:rsidRPr="00E33DBB">
        <w:rPr>
          <w:rFonts w:cs="Times New Roman"/>
          <w:sz w:val="24"/>
          <w:szCs w:val="24"/>
        </w:rPr>
        <w:t xml:space="preserve"> underpinning them. Furthermore, little information is provid</w:t>
      </w:r>
      <w:r w:rsidR="00FE5DFE" w:rsidRPr="00E33DBB">
        <w:rPr>
          <w:rFonts w:cs="Times New Roman"/>
          <w:sz w:val="24"/>
          <w:szCs w:val="24"/>
        </w:rPr>
        <w:t xml:space="preserve">ed as to what contributions </w:t>
      </w:r>
      <w:r w:rsidR="00461D82" w:rsidRPr="00E33DBB">
        <w:rPr>
          <w:rFonts w:cs="Times New Roman"/>
          <w:sz w:val="24"/>
          <w:szCs w:val="24"/>
        </w:rPr>
        <w:t>the EAP</w:t>
      </w:r>
      <w:r w:rsidR="00DF6A10" w:rsidRPr="00E33DBB">
        <w:rPr>
          <w:rFonts w:cs="Times New Roman"/>
          <w:sz w:val="24"/>
          <w:szCs w:val="24"/>
        </w:rPr>
        <w:t>/learning</w:t>
      </w:r>
      <w:r w:rsidR="00461D82" w:rsidRPr="00E33DBB">
        <w:rPr>
          <w:rFonts w:cs="Times New Roman"/>
          <w:sz w:val="24"/>
          <w:szCs w:val="24"/>
        </w:rPr>
        <w:t xml:space="preserve"> specialists and the subject lecturers make</w:t>
      </w:r>
      <w:r w:rsidR="00FE5DFE" w:rsidRPr="00E33DBB">
        <w:rPr>
          <w:rFonts w:cs="Times New Roman"/>
          <w:sz w:val="24"/>
          <w:szCs w:val="24"/>
        </w:rPr>
        <w:t xml:space="preserve"> in the collaboration</w:t>
      </w:r>
      <w:r w:rsidR="00461D82" w:rsidRPr="00E33DBB">
        <w:rPr>
          <w:rFonts w:cs="Times New Roman"/>
          <w:sz w:val="24"/>
          <w:szCs w:val="24"/>
        </w:rPr>
        <w:t xml:space="preserve">. </w:t>
      </w:r>
      <w:r w:rsidR="00DF6A10" w:rsidRPr="00E33DBB">
        <w:rPr>
          <w:rFonts w:cs="Times New Roman"/>
          <w:sz w:val="24"/>
          <w:szCs w:val="24"/>
        </w:rPr>
        <w:t>Lastly, it remains unclear to what extent literacy instruction was embedded in the curriculum, or</w:t>
      </w:r>
      <w:r w:rsidR="001B2A19" w:rsidRPr="00E33DBB">
        <w:rPr>
          <w:rFonts w:cs="Times New Roman"/>
          <w:sz w:val="24"/>
          <w:szCs w:val="24"/>
        </w:rPr>
        <w:t xml:space="preserve"> whether it</w:t>
      </w:r>
      <w:r w:rsidR="00DF6A10" w:rsidRPr="00E33DBB">
        <w:rPr>
          <w:rFonts w:cs="Times New Roman"/>
          <w:sz w:val="24"/>
          <w:szCs w:val="24"/>
        </w:rPr>
        <w:t xml:space="preserve"> was just an adjunct to</w:t>
      </w:r>
      <w:r w:rsidR="00A90E17" w:rsidRPr="00E33DBB">
        <w:rPr>
          <w:rFonts w:cs="Times New Roman"/>
          <w:sz w:val="24"/>
          <w:szCs w:val="24"/>
        </w:rPr>
        <w:t xml:space="preserve"> the mainstream curricula.</w:t>
      </w:r>
      <w:r w:rsidR="00DF6A10" w:rsidRPr="00E33DBB">
        <w:rPr>
          <w:rFonts w:cs="Times New Roman"/>
          <w:sz w:val="24"/>
          <w:szCs w:val="24"/>
        </w:rPr>
        <w:t xml:space="preserve"> </w:t>
      </w:r>
      <w:r w:rsidR="000E4996" w:rsidRPr="00E33DBB">
        <w:rPr>
          <w:rFonts w:cs="Times New Roman"/>
          <w:sz w:val="24"/>
          <w:szCs w:val="24"/>
        </w:rPr>
        <w:t xml:space="preserve">This lack of information makes it difficult for institutions and individual practitioners to learn from these examples and develop similar approaches. For this reason, </w:t>
      </w:r>
      <w:r w:rsidR="00D263FA" w:rsidRPr="00E33DBB">
        <w:rPr>
          <w:rFonts w:cs="Times New Roman"/>
          <w:sz w:val="24"/>
          <w:szCs w:val="24"/>
        </w:rPr>
        <w:t>I want to discu</w:t>
      </w:r>
      <w:r w:rsidR="008C1AFB" w:rsidRPr="00E33DBB">
        <w:rPr>
          <w:rFonts w:cs="Times New Roman"/>
          <w:sz w:val="24"/>
          <w:szCs w:val="24"/>
        </w:rPr>
        <w:t xml:space="preserve">ss a project that </w:t>
      </w:r>
      <w:r w:rsidR="00617B54" w:rsidRPr="00E33DBB">
        <w:rPr>
          <w:rFonts w:cs="Times New Roman"/>
          <w:sz w:val="24"/>
          <w:szCs w:val="24"/>
        </w:rPr>
        <w:t xml:space="preserve">my colleague Chris Tribble and I </w:t>
      </w:r>
      <w:r w:rsidR="008C1AFB" w:rsidRPr="00E33DBB">
        <w:rPr>
          <w:rFonts w:cs="Times New Roman"/>
          <w:sz w:val="24"/>
          <w:szCs w:val="24"/>
        </w:rPr>
        <w:t xml:space="preserve">carried out at King’s College London with the aim to provide some insights relating to these questions. </w:t>
      </w:r>
    </w:p>
    <w:p w:rsidR="00E33DBB" w:rsidRPr="00E33DBB" w:rsidRDefault="00E33DBB" w:rsidP="00E33DBB">
      <w:pPr>
        <w:spacing w:line="276" w:lineRule="auto"/>
        <w:ind w:left="0"/>
        <w:rPr>
          <w:rFonts w:cs="Times New Roman"/>
          <w:sz w:val="24"/>
          <w:szCs w:val="24"/>
        </w:rPr>
      </w:pPr>
    </w:p>
    <w:p w:rsidR="000D519C" w:rsidRPr="00E33DBB" w:rsidRDefault="000D519C" w:rsidP="00E33DBB">
      <w:pPr>
        <w:spacing w:line="276" w:lineRule="auto"/>
        <w:ind w:left="0"/>
        <w:rPr>
          <w:rFonts w:cs="Times New Roman"/>
          <w:sz w:val="24"/>
          <w:szCs w:val="24"/>
        </w:rPr>
      </w:pPr>
    </w:p>
    <w:p w:rsidR="008C1AFB" w:rsidRPr="00E33DBB" w:rsidRDefault="008C1AFB" w:rsidP="00E33DBB">
      <w:pPr>
        <w:pStyle w:val="ListParagraph"/>
        <w:numPr>
          <w:ilvl w:val="0"/>
          <w:numId w:val="7"/>
        </w:numPr>
        <w:spacing w:line="276" w:lineRule="auto"/>
        <w:rPr>
          <w:rFonts w:cs="Times New Roman"/>
          <w:b/>
          <w:sz w:val="24"/>
          <w:szCs w:val="24"/>
        </w:rPr>
      </w:pPr>
      <w:r w:rsidRPr="00E33DBB">
        <w:rPr>
          <w:rFonts w:cs="Times New Roman"/>
          <w:b/>
          <w:sz w:val="24"/>
          <w:szCs w:val="24"/>
        </w:rPr>
        <w:t xml:space="preserve">An </w:t>
      </w:r>
      <w:r w:rsidR="00C35723" w:rsidRPr="00E33DBB">
        <w:rPr>
          <w:rFonts w:cs="Times New Roman"/>
          <w:b/>
          <w:sz w:val="24"/>
          <w:szCs w:val="24"/>
        </w:rPr>
        <w:t>Academic Writing Intervention – Insights into Teaching Methods and Collaboration</w:t>
      </w:r>
    </w:p>
    <w:p w:rsidR="00572158" w:rsidRPr="00E33DBB" w:rsidRDefault="00BF315E" w:rsidP="00E33DBB">
      <w:pPr>
        <w:spacing w:line="276" w:lineRule="auto"/>
        <w:ind w:left="0" w:firstLine="0"/>
        <w:rPr>
          <w:rFonts w:cs="Times New Roman"/>
          <w:sz w:val="24"/>
          <w:szCs w:val="24"/>
        </w:rPr>
      </w:pPr>
      <w:r w:rsidRPr="00E33DBB">
        <w:rPr>
          <w:rFonts w:cs="Times New Roman"/>
          <w:sz w:val="24"/>
          <w:szCs w:val="24"/>
        </w:rPr>
        <w:t>In 2011, I</w:t>
      </w:r>
      <w:r w:rsidR="00C20F33" w:rsidRPr="00E33DBB">
        <w:rPr>
          <w:rFonts w:cs="Times New Roman"/>
          <w:sz w:val="24"/>
          <w:szCs w:val="24"/>
        </w:rPr>
        <w:t xml:space="preserve"> obtained institutional funding to develop disci</w:t>
      </w:r>
      <w:r w:rsidR="00DA0DEC" w:rsidRPr="00E33DBB">
        <w:rPr>
          <w:rFonts w:cs="Times New Roman"/>
          <w:sz w:val="24"/>
          <w:szCs w:val="24"/>
        </w:rPr>
        <w:t>pline-specific academic writing</w:t>
      </w:r>
      <w:r w:rsidR="00C20F33" w:rsidRPr="00E33DBB">
        <w:rPr>
          <w:rFonts w:cs="Times New Roman"/>
          <w:sz w:val="24"/>
          <w:szCs w:val="24"/>
        </w:rPr>
        <w:t xml:space="preserve"> resources in</w:t>
      </w:r>
      <w:r w:rsidR="001D368F" w:rsidRPr="00E33DBB">
        <w:rPr>
          <w:rFonts w:cs="Times New Roman"/>
          <w:sz w:val="24"/>
          <w:szCs w:val="24"/>
        </w:rPr>
        <w:t xml:space="preserve"> the four disciplines of</w:t>
      </w:r>
      <w:r w:rsidR="00C20F33" w:rsidRPr="00E33DBB">
        <w:rPr>
          <w:rFonts w:cs="Times New Roman"/>
          <w:sz w:val="24"/>
          <w:szCs w:val="24"/>
        </w:rPr>
        <w:t xml:space="preserve"> Applied Linguistics, History, Management and Pharmacy. The aim</w:t>
      </w:r>
      <w:r w:rsidR="00042AA1" w:rsidRPr="00E33DBB">
        <w:rPr>
          <w:rFonts w:cs="Times New Roman"/>
          <w:sz w:val="24"/>
          <w:szCs w:val="24"/>
        </w:rPr>
        <w:t xml:space="preserve"> of the project</w:t>
      </w:r>
      <w:r w:rsidR="00C20F33" w:rsidRPr="00E33DBB">
        <w:rPr>
          <w:rFonts w:cs="Times New Roman"/>
          <w:sz w:val="24"/>
          <w:szCs w:val="24"/>
        </w:rPr>
        <w:t xml:space="preserve"> was to develop an instructio</w:t>
      </w:r>
      <w:r w:rsidR="001D368F" w:rsidRPr="00E33DBB">
        <w:rPr>
          <w:rFonts w:cs="Times New Roman"/>
          <w:sz w:val="24"/>
          <w:szCs w:val="24"/>
        </w:rPr>
        <w:t>nal model that could then be applied across the university</w:t>
      </w:r>
      <w:r w:rsidR="00C20F33" w:rsidRPr="00E33DBB">
        <w:rPr>
          <w:rFonts w:cs="Times New Roman"/>
          <w:sz w:val="24"/>
          <w:szCs w:val="24"/>
        </w:rPr>
        <w:t>.</w:t>
      </w:r>
      <w:r w:rsidR="001D368F" w:rsidRPr="00E33DBB">
        <w:rPr>
          <w:rFonts w:cs="Times New Roman"/>
          <w:sz w:val="24"/>
          <w:szCs w:val="24"/>
        </w:rPr>
        <w:t xml:space="preserve"> </w:t>
      </w:r>
      <w:r w:rsidR="00BD1E51" w:rsidRPr="00E33DBB">
        <w:rPr>
          <w:rFonts w:cs="Times New Roman"/>
          <w:sz w:val="24"/>
          <w:szCs w:val="24"/>
        </w:rPr>
        <w:t>The objectives were to identify teaching methods that were effective in terms of learning outcom</w:t>
      </w:r>
      <w:r w:rsidR="000877CD" w:rsidRPr="00E33DBB">
        <w:rPr>
          <w:rFonts w:cs="Times New Roman"/>
          <w:sz w:val="24"/>
          <w:szCs w:val="24"/>
        </w:rPr>
        <w:t>es and valued by the students; f</w:t>
      </w:r>
      <w:r w:rsidR="00BD1E51" w:rsidRPr="00E33DBB">
        <w:rPr>
          <w:rFonts w:cs="Times New Roman"/>
          <w:sz w:val="24"/>
          <w:szCs w:val="24"/>
        </w:rPr>
        <w:t xml:space="preserve">urthermore, we wanted to explore feasible ways of collaborating with subject lecturers. </w:t>
      </w:r>
      <w:r w:rsidR="001D368F" w:rsidRPr="00E33DBB">
        <w:rPr>
          <w:rFonts w:cs="Times New Roman"/>
          <w:sz w:val="24"/>
          <w:szCs w:val="24"/>
        </w:rPr>
        <w:t>In the development of this model</w:t>
      </w:r>
      <w:r w:rsidR="00042AA1" w:rsidRPr="00E33DBB">
        <w:rPr>
          <w:rFonts w:cs="Times New Roman"/>
          <w:sz w:val="24"/>
          <w:szCs w:val="24"/>
        </w:rPr>
        <w:t>, we</w:t>
      </w:r>
      <w:r w:rsidR="001D368F" w:rsidRPr="00E33DBB">
        <w:rPr>
          <w:rFonts w:cs="Times New Roman"/>
          <w:sz w:val="24"/>
          <w:szCs w:val="24"/>
        </w:rPr>
        <w:t xml:space="preserve"> drew on various existing </w:t>
      </w:r>
      <w:r w:rsidR="00C20F33" w:rsidRPr="00E33DBB">
        <w:rPr>
          <w:rFonts w:cs="Times New Roman"/>
          <w:sz w:val="24"/>
          <w:szCs w:val="24"/>
        </w:rPr>
        <w:t>approaches to literacy/writing instruction</w:t>
      </w:r>
      <w:r w:rsidR="009519E5" w:rsidRPr="00E33DBB">
        <w:rPr>
          <w:rFonts w:cs="Times New Roman"/>
          <w:sz w:val="24"/>
          <w:szCs w:val="24"/>
        </w:rPr>
        <w:t xml:space="preserve">, including </w:t>
      </w:r>
      <w:r w:rsidR="00455431" w:rsidRPr="00E33DBB">
        <w:rPr>
          <w:rFonts w:cs="Times New Roman"/>
          <w:sz w:val="24"/>
          <w:szCs w:val="24"/>
        </w:rPr>
        <w:t>‘Academi</w:t>
      </w:r>
      <w:r w:rsidR="009519E5" w:rsidRPr="00E33DBB">
        <w:rPr>
          <w:rFonts w:cs="Times New Roman"/>
          <w:sz w:val="24"/>
          <w:szCs w:val="24"/>
        </w:rPr>
        <w:t>c Literacies’ which</w:t>
      </w:r>
      <w:r w:rsidR="00DA0DEC" w:rsidRPr="00E33DBB">
        <w:rPr>
          <w:rFonts w:cs="Times New Roman"/>
          <w:sz w:val="24"/>
          <w:szCs w:val="24"/>
        </w:rPr>
        <w:t xml:space="preserve"> calls for</w:t>
      </w:r>
      <w:r w:rsidR="00455431" w:rsidRPr="00E33DBB">
        <w:rPr>
          <w:rFonts w:cs="Times New Roman"/>
          <w:sz w:val="24"/>
          <w:szCs w:val="24"/>
        </w:rPr>
        <w:t xml:space="preserve"> attention to</w:t>
      </w:r>
      <w:r w:rsidR="001A1797" w:rsidRPr="00E33DBB">
        <w:rPr>
          <w:rFonts w:cs="Times New Roman"/>
          <w:sz w:val="24"/>
          <w:szCs w:val="24"/>
        </w:rPr>
        <w:t xml:space="preserve"> ‘practices’ surrounding writing such as</w:t>
      </w:r>
      <w:r w:rsidR="00455431" w:rsidRPr="00E33DBB">
        <w:rPr>
          <w:rFonts w:cs="Times New Roman"/>
          <w:sz w:val="24"/>
          <w:szCs w:val="24"/>
        </w:rPr>
        <w:t xml:space="preserve"> power</w:t>
      </w:r>
      <w:r w:rsidR="009F618A" w:rsidRPr="00E33DBB">
        <w:rPr>
          <w:rFonts w:cs="Times New Roman"/>
          <w:sz w:val="24"/>
          <w:szCs w:val="24"/>
        </w:rPr>
        <w:t xml:space="preserve"> relations and identity issues </w:t>
      </w:r>
      <w:r w:rsidR="00455431" w:rsidRPr="00E33DBB">
        <w:rPr>
          <w:rFonts w:cs="Times New Roman"/>
          <w:sz w:val="24"/>
          <w:szCs w:val="24"/>
        </w:rPr>
        <w:t>(e.g. Lillis &amp; Scott 2007)</w:t>
      </w:r>
      <w:r w:rsidR="001D368F" w:rsidRPr="00E33DBB">
        <w:rPr>
          <w:rFonts w:cs="Times New Roman"/>
          <w:sz w:val="24"/>
          <w:szCs w:val="24"/>
        </w:rPr>
        <w:t xml:space="preserve">. However, </w:t>
      </w:r>
      <w:r w:rsidR="009519E5" w:rsidRPr="00E33DBB">
        <w:rPr>
          <w:rFonts w:cs="Times New Roman"/>
          <w:sz w:val="24"/>
          <w:szCs w:val="24"/>
        </w:rPr>
        <w:t>our</w:t>
      </w:r>
      <w:r w:rsidR="00966E13" w:rsidRPr="00E33DBB">
        <w:rPr>
          <w:rFonts w:cs="Times New Roman"/>
          <w:sz w:val="24"/>
          <w:szCs w:val="24"/>
        </w:rPr>
        <w:t xml:space="preserve"> model is mainly based on the genre approaches of English for Specific Purposes (ESP) (e.g</w:t>
      </w:r>
      <w:r w:rsidR="00572158" w:rsidRPr="00E33DBB">
        <w:rPr>
          <w:rFonts w:cs="Times New Roman"/>
          <w:sz w:val="24"/>
          <w:szCs w:val="24"/>
        </w:rPr>
        <w:t>.</w:t>
      </w:r>
      <w:r w:rsidR="000D2CCC" w:rsidRPr="00E33DBB">
        <w:rPr>
          <w:rFonts w:cs="Times New Roman"/>
          <w:sz w:val="24"/>
          <w:szCs w:val="24"/>
        </w:rPr>
        <w:t xml:space="preserve"> </w:t>
      </w:r>
      <w:r w:rsidR="00471FF3" w:rsidRPr="00E33DBB">
        <w:rPr>
          <w:rFonts w:cs="Times New Roman"/>
          <w:sz w:val="24"/>
          <w:szCs w:val="24"/>
        </w:rPr>
        <w:t>Swales 1990</w:t>
      </w:r>
      <w:r w:rsidR="00966E13" w:rsidRPr="00E33DBB">
        <w:rPr>
          <w:rFonts w:cs="Times New Roman"/>
          <w:sz w:val="24"/>
          <w:szCs w:val="24"/>
        </w:rPr>
        <w:t xml:space="preserve">) and  </w:t>
      </w:r>
      <w:r w:rsidR="00F11789" w:rsidRPr="00E33DBB">
        <w:rPr>
          <w:rFonts w:cs="Times New Roman"/>
          <w:sz w:val="24"/>
          <w:szCs w:val="24"/>
        </w:rPr>
        <w:t xml:space="preserve">Systemic Functional Linguistics (SFL) </w:t>
      </w:r>
      <w:r w:rsidR="00966E13" w:rsidRPr="00E33DBB">
        <w:rPr>
          <w:rFonts w:cs="Times New Roman"/>
          <w:sz w:val="24"/>
          <w:szCs w:val="24"/>
        </w:rPr>
        <w:t>(e.g. Mar</w:t>
      </w:r>
      <w:r w:rsidR="00837477" w:rsidRPr="00E33DBB">
        <w:rPr>
          <w:rFonts w:cs="Times New Roman"/>
          <w:sz w:val="24"/>
          <w:szCs w:val="24"/>
        </w:rPr>
        <w:t>t</w:t>
      </w:r>
      <w:r w:rsidR="00966E13" w:rsidRPr="00E33DBB">
        <w:rPr>
          <w:rFonts w:cs="Times New Roman"/>
          <w:sz w:val="24"/>
          <w:szCs w:val="24"/>
        </w:rPr>
        <w:t>in &amp; Rose 2008)</w:t>
      </w:r>
      <w:r w:rsidRPr="00E33DBB">
        <w:rPr>
          <w:rFonts w:cs="Times New Roman"/>
          <w:sz w:val="24"/>
          <w:szCs w:val="24"/>
        </w:rPr>
        <w:t xml:space="preserve">, as I am convinced that </w:t>
      </w:r>
      <w:r w:rsidR="00455431" w:rsidRPr="00E33DBB">
        <w:rPr>
          <w:rFonts w:cs="Times New Roman"/>
          <w:sz w:val="24"/>
          <w:szCs w:val="24"/>
        </w:rPr>
        <w:t>g</w:t>
      </w:r>
      <w:r w:rsidRPr="00E33DBB">
        <w:rPr>
          <w:rFonts w:cs="Times New Roman"/>
          <w:sz w:val="24"/>
          <w:szCs w:val="24"/>
        </w:rPr>
        <w:t xml:space="preserve">enre analysis is the best method for </w:t>
      </w:r>
      <w:r w:rsidR="00455431" w:rsidRPr="00E33DBB">
        <w:rPr>
          <w:rFonts w:cs="Times New Roman"/>
          <w:sz w:val="24"/>
          <w:szCs w:val="24"/>
        </w:rPr>
        <w:t xml:space="preserve"> </w:t>
      </w:r>
      <w:r w:rsidR="005347AF" w:rsidRPr="00E33DBB">
        <w:rPr>
          <w:rFonts w:cs="Times New Roman"/>
          <w:sz w:val="24"/>
          <w:szCs w:val="24"/>
        </w:rPr>
        <w:t>helping</w:t>
      </w:r>
      <w:r w:rsidRPr="00E33DBB">
        <w:rPr>
          <w:rFonts w:cs="Times New Roman"/>
          <w:sz w:val="24"/>
          <w:szCs w:val="24"/>
        </w:rPr>
        <w:t xml:space="preserve"> students understand not only the linguistic and rhetorical features of texts, but also their social function and communicative purpose.</w:t>
      </w:r>
      <w:r w:rsidR="00864303" w:rsidRPr="00E33DBB">
        <w:rPr>
          <w:rFonts w:cs="Times New Roman"/>
          <w:sz w:val="24"/>
          <w:szCs w:val="24"/>
        </w:rPr>
        <w:t xml:space="preserve"> The need for writing curricula to ‘begin with texts and their structures, particularly among novice students’ (Johns 2011: 64) has been recognised by many scholars from the different genre schools (e.g. </w:t>
      </w:r>
      <w:r w:rsidR="00AE1BC8" w:rsidRPr="00E33DBB">
        <w:rPr>
          <w:rFonts w:cs="Times New Roman"/>
          <w:sz w:val="24"/>
          <w:szCs w:val="24"/>
        </w:rPr>
        <w:t>Hyland</w:t>
      </w:r>
      <w:r w:rsidR="00DA0DEC" w:rsidRPr="00E33DBB">
        <w:rPr>
          <w:rFonts w:cs="Times New Roman"/>
          <w:sz w:val="24"/>
          <w:szCs w:val="24"/>
        </w:rPr>
        <w:t xml:space="preserve"> 2004; Gardner 2012)</w:t>
      </w:r>
      <w:r w:rsidR="000A5C2D" w:rsidRPr="00E33DBB">
        <w:rPr>
          <w:rFonts w:cs="Times New Roman"/>
          <w:sz w:val="24"/>
          <w:szCs w:val="24"/>
        </w:rPr>
        <w:t>; in fact, genre has been advocated as ‘the most social constructivist’ (Johns 2008: 237) and the ‘most important and influenti</w:t>
      </w:r>
      <w:r w:rsidR="009F618A" w:rsidRPr="00E33DBB">
        <w:rPr>
          <w:rFonts w:cs="Times New Roman"/>
          <w:sz w:val="24"/>
          <w:szCs w:val="24"/>
        </w:rPr>
        <w:t xml:space="preserve">al’ (Hyland 2008: 543) concept </w:t>
      </w:r>
      <w:r w:rsidR="000A5C2D" w:rsidRPr="00E33DBB">
        <w:rPr>
          <w:rFonts w:cs="Times New Roman"/>
          <w:sz w:val="24"/>
          <w:szCs w:val="24"/>
        </w:rPr>
        <w:t>in literacy instruction</w:t>
      </w:r>
      <w:r w:rsidR="00DA0DEC" w:rsidRPr="00E33DBB">
        <w:rPr>
          <w:rFonts w:cs="Times New Roman"/>
          <w:sz w:val="24"/>
          <w:szCs w:val="24"/>
        </w:rPr>
        <w:t xml:space="preserve">. </w:t>
      </w:r>
      <w:r w:rsidR="00FE5DFE" w:rsidRPr="00E33DBB">
        <w:rPr>
          <w:rFonts w:cs="Times New Roman"/>
          <w:sz w:val="24"/>
          <w:szCs w:val="24"/>
        </w:rPr>
        <w:t>G</w:t>
      </w:r>
      <w:r w:rsidR="00DA0DEC" w:rsidRPr="00E33DBB">
        <w:rPr>
          <w:rFonts w:cs="Times New Roman"/>
          <w:sz w:val="24"/>
          <w:szCs w:val="24"/>
        </w:rPr>
        <w:t>enre analysis</w:t>
      </w:r>
      <w:r w:rsidR="00042AA1" w:rsidRPr="00E33DBB">
        <w:rPr>
          <w:rFonts w:cs="Times New Roman"/>
          <w:sz w:val="24"/>
          <w:szCs w:val="24"/>
        </w:rPr>
        <w:t xml:space="preserve"> in ESP</w:t>
      </w:r>
      <w:r w:rsidR="00DA0DEC" w:rsidRPr="00E33DBB">
        <w:rPr>
          <w:rFonts w:cs="Times New Roman"/>
          <w:sz w:val="24"/>
          <w:szCs w:val="24"/>
        </w:rPr>
        <w:t xml:space="preserve"> is usually carried out on expert texts such</w:t>
      </w:r>
      <w:r w:rsidR="0039698E" w:rsidRPr="00E33DBB">
        <w:rPr>
          <w:rFonts w:cs="Times New Roman"/>
          <w:sz w:val="24"/>
          <w:szCs w:val="24"/>
        </w:rPr>
        <w:t xml:space="preserve"> as published research articles</w:t>
      </w:r>
      <w:r w:rsidR="00BC18E4" w:rsidRPr="00E33DBB">
        <w:rPr>
          <w:rFonts w:cs="Times New Roman"/>
          <w:sz w:val="24"/>
          <w:szCs w:val="24"/>
        </w:rPr>
        <w:t xml:space="preserve"> (for an exception see Nesi &amp; Gardner 2012)</w:t>
      </w:r>
      <w:r w:rsidR="0039698E" w:rsidRPr="00E33DBB">
        <w:rPr>
          <w:rFonts w:cs="Times New Roman"/>
          <w:sz w:val="24"/>
          <w:szCs w:val="24"/>
        </w:rPr>
        <w:t>; however, when we used expert texts in academic writing classes in the past, we often heard from students that they found these texts not only intimidating, but also irrelevant to the assignments they had to write</w:t>
      </w:r>
      <w:r w:rsidR="00042AA1" w:rsidRPr="00E33DBB">
        <w:rPr>
          <w:rFonts w:cs="Times New Roman"/>
          <w:sz w:val="24"/>
          <w:szCs w:val="24"/>
        </w:rPr>
        <w:t xml:space="preserve">. We therefore </w:t>
      </w:r>
      <w:r w:rsidR="00572158" w:rsidRPr="00E33DBB">
        <w:rPr>
          <w:rFonts w:cs="Times New Roman"/>
          <w:sz w:val="24"/>
          <w:szCs w:val="24"/>
        </w:rPr>
        <w:t xml:space="preserve">decided to </w:t>
      </w:r>
      <w:r w:rsidR="0039698E" w:rsidRPr="00E33DBB">
        <w:rPr>
          <w:rFonts w:cs="Times New Roman"/>
          <w:sz w:val="24"/>
          <w:szCs w:val="24"/>
        </w:rPr>
        <w:t xml:space="preserve">draw on student genres for the </w:t>
      </w:r>
      <w:r w:rsidR="00572158" w:rsidRPr="00E33DBB">
        <w:rPr>
          <w:rFonts w:cs="Times New Roman"/>
          <w:sz w:val="24"/>
          <w:szCs w:val="24"/>
        </w:rPr>
        <w:t>develop</w:t>
      </w:r>
      <w:r w:rsidR="009519E5" w:rsidRPr="00E33DBB">
        <w:rPr>
          <w:rFonts w:cs="Times New Roman"/>
          <w:sz w:val="24"/>
          <w:szCs w:val="24"/>
        </w:rPr>
        <w:t>ment of the</w:t>
      </w:r>
      <w:r w:rsidR="00FB68CB" w:rsidRPr="00E33DBB">
        <w:rPr>
          <w:rFonts w:cs="Times New Roman"/>
          <w:sz w:val="24"/>
          <w:szCs w:val="24"/>
        </w:rPr>
        <w:t xml:space="preserve"> writing resources</w:t>
      </w:r>
      <w:r w:rsidR="0039698E" w:rsidRPr="00E33DBB">
        <w:rPr>
          <w:rFonts w:cs="Times New Roman"/>
          <w:sz w:val="24"/>
          <w:szCs w:val="24"/>
        </w:rPr>
        <w:t>.</w:t>
      </w:r>
    </w:p>
    <w:p w:rsidR="00001586" w:rsidRPr="00E33DBB" w:rsidRDefault="00001586" w:rsidP="00E33DBB">
      <w:pPr>
        <w:spacing w:line="276" w:lineRule="auto"/>
        <w:ind w:left="0" w:firstLine="0"/>
        <w:rPr>
          <w:rFonts w:cs="Times New Roman"/>
          <w:sz w:val="24"/>
          <w:szCs w:val="24"/>
        </w:rPr>
      </w:pPr>
    </w:p>
    <w:p w:rsidR="00572158" w:rsidRPr="00E33DBB" w:rsidRDefault="00C35723" w:rsidP="00E33DBB">
      <w:pPr>
        <w:pStyle w:val="ListParagraph"/>
        <w:numPr>
          <w:ilvl w:val="1"/>
          <w:numId w:val="7"/>
        </w:numPr>
        <w:spacing w:line="276" w:lineRule="auto"/>
        <w:rPr>
          <w:rFonts w:cs="Times New Roman"/>
          <w:sz w:val="24"/>
          <w:szCs w:val="24"/>
        </w:rPr>
      </w:pPr>
      <w:r w:rsidRPr="00E33DBB">
        <w:rPr>
          <w:rFonts w:cs="Times New Roman"/>
          <w:sz w:val="24"/>
          <w:szCs w:val="24"/>
        </w:rPr>
        <w:t xml:space="preserve"> </w:t>
      </w:r>
      <w:r w:rsidR="003E5722" w:rsidRPr="00E33DBB">
        <w:rPr>
          <w:rFonts w:cs="Times New Roman"/>
          <w:sz w:val="24"/>
          <w:szCs w:val="24"/>
        </w:rPr>
        <w:t>Development</w:t>
      </w:r>
      <w:r w:rsidR="00617B54" w:rsidRPr="00E33DBB">
        <w:rPr>
          <w:rFonts w:cs="Times New Roman"/>
          <w:sz w:val="24"/>
          <w:szCs w:val="24"/>
        </w:rPr>
        <w:t xml:space="preserve"> </w:t>
      </w:r>
      <w:r w:rsidRPr="00E33DBB">
        <w:rPr>
          <w:rFonts w:cs="Times New Roman"/>
          <w:sz w:val="24"/>
          <w:szCs w:val="24"/>
        </w:rPr>
        <w:t>of R</w:t>
      </w:r>
      <w:r w:rsidR="003E5722" w:rsidRPr="00E33DBB">
        <w:rPr>
          <w:rFonts w:cs="Times New Roman"/>
          <w:sz w:val="24"/>
          <w:szCs w:val="24"/>
        </w:rPr>
        <w:t>esources</w:t>
      </w:r>
    </w:p>
    <w:p w:rsidR="00837477" w:rsidRPr="00E33DBB" w:rsidRDefault="00572158" w:rsidP="00E33DBB">
      <w:pPr>
        <w:spacing w:line="276" w:lineRule="auto"/>
        <w:ind w:left="0" w:firstLine="0"/>
        <w:rPr>
          <w:rFonts w:cs="Times New Roman"/>
          <w:sz w:val="24"/>
          <w:szCs w:val="24"/>
        </w:rPr>
      </w:pPr>
      <w:r w:rsidRPr="00E33DBB">
        <w:rPr>
          <w:rFonts w:cs="Times New Roman"/>
          <w:sz w:val="24"/>
          <w:szCs w:val="24"/>
        </w:rPr>
        <w:t xml:space="preserve">We used our own discipline, Applied Linguistics, as a pilot </w:t>
      </w:r>
      <w:r w:rsidR="003E5722" w:rsidRPr="00E33DBB">
        <w:rPr>
          <w:rFonts w:cs="Times New Roman"/>
          <w:sz w:val="24"/>
          <w:szCs w:val="24"/>
        </w:rPr>
        <w:t>for the development and implementation of the learning/teaching resources. These focused on the key genres that students in this</w:t>
      </w:r>
      <w:r w:rsidR="009519E5" w:rsidRPr="00E33DBB">
        <w:rPr>
          <w:rFonts w:cs="Times New Roman"/>
          <w:sz w:val="24"/>
          <w:szCs w:val="24"/>
        </w:rPr>
        <w:t xml:space="preserve"> programme have to produce, which are</w:t>
      </w:r>
      <w:r w:rsidR="003E5722" w:rsidRPr="00E33DBB">
        <w:rPr>
          <w:rFonts w:cs="Times New Roman"/>
          <w:sz w:val="24"/>
          <w:szCs w:val="24"/>
        </w:rPr>
        <w:t xml:space="preserve"> essay and dissertation. </w:t>
      </w:r>
      <w:r w:rsidR="00C6217E" w:rsidRPr="00E33DBB">
        <w:rPr>
          <w:rFonts w:cs="Times New Roman"/>
          <w:sz w:val="24"/>
          <w:szCs w:val="24"/>
        </w:rPr>
        <w:t>For each genre,</w:t>
      </w:r>
      <w:r w:rsidR="002B3B86" w:rsidRPr="00E33DBB">
        <w:rPr>
          <w:rFonts w:cs="Times New Roman"/>
          <w:sz w:val="24"/>
          <w:szCs w:val="24"/>
        </w:rPr>
        <w:t xml:space="preserve"> we selected</w:t>
      </w:r>
      <w:r w:rsidR="00C6217E" w:rsidRPr="00E33DBB">
        <w:rPr>
          <w:rFonts w:cs="Times New Roman"/>
          <w:sz w:val="24"/>
          <w:szCs w:val="24"/>
        </w:rPr>
        <w:t xml:space="preserve"> </w:t>
      </w:r>
      <w:r w:rsidR="003E5722" w:rsidRPr="00E33DBB">
        <w:rPr>
          <w:rFonts w:cs="Times New Roman"/>
          <w:sz w:val="24"/>
          <w:szCs w:val="24"/>
        </w:rPr>
        <w:t>a set of high-scoring and low-scoring exemplar texts from a corpus of assessed texts written by previous students</w:t>
      </w:r>
      <w:r w:rsidR="002B3B86" w:rsidRPr="00E33DBB">
        <w:rPr>
          <w:rFonts w:cs="Times New Roman"/>
          <w:sz w:val="24"/>
          <w:szCs w:val="24"/>
        </w:rPr>
        <w:t>, and conducted a move analysis of</w:t>
      </w:r>
      <w:r w:rsidR="00C6217E" w:rsidRPr="00E33DBB">
        <w:rPr>
          <w:rFonts w:cs="Times New Roman"/>
          <w:sz w:val="24"/>
          <w:szCs w:val="24"/>
        </w:rPr>
        <w:t xml:space="preserve"> the</w:t>
      </w:r>
      <w:r w:rsidR="002B3B86" w:rsidRPr="00E33DBB">
        <w:rPr>
          <w:rFonts w:cs="Times New Roman"/>
          <w:sz w:val="24"/>
          <w:szCs w:val="24"/>
        </w:rPr>
        <w:t xml:space="preserve"> genre’s</w:t>
      </w:r>
      <w:r w:rsidR="00C6217E" w:rsidRPr="00E33DBB">
        <w:rPr>
          <w:rFonts w:cs="Times New Roman"/>
          <w:sz w:val="24"/>
          <w:szCs w:val="24"/>
        </w:rPr>
        <w:t xml:space="preserve"> different components</w:t>
      </w:r>
      <w:r w:rsidR="00490C84" w:rsidRPr="00E33DBB">
        <w:rPr>
          <w:rFonts w:cs="Times New Roman"/>
          <w:sz w:val="24"/>
          <w:szCs w:val="24"/>
        </w:rPr>
        <w:t xml:space="preserve"> (sub-genres)</w:t>
      </w:r>
      <w:r w:rsidR="00C6217E" w:rsidRPr="00E33DBB">
        <w:rPr>
          <w:rFonts w:cs="Times New Roman"/>
          <w:sz w:val="24"/>
          <w:szCs w:val="24"/>
        </w:rPr>
        <w:t>, such as Introduction, Discussion of Find</w:t>
      </w:r>
      <w:r w:rsidR="002B3B86" w:rsidRPr="00E33DBB">
        <w:rPr>
          <w:rFonts w:cs="Times New Roman"/>
          <w:sz w:val="24"/>
          <w:szCs w:val="24"/>
        </w:rPr>
        <w:t xml:space="preserve">ings, or Conclusion, </w:t>
      </w:r>
      <w:r w:rsidR="00490C84" w:rsidRPr="00E33DBB">
        <w:rPr>
          <w:rFonts w:cs="Times New Roman"/>
          <w:sz w:val="24"/>
          <w:szCs w:val="24"/>
        </w:rPr>
        <w:t>following the ESP tradition</w:t>
      </w:r>
      <w:r w:rsidR="00617B54" w:rsidRPr="00E33DBB">
        <w:rPr>
          <w:rFonts w:cs="Times New Roman"/>
          <w:sz w:val="24"/>
          <w:szCs w:val="24"/>
        </w:rPr>
        <w:t xml:space="preserve"> (Swales, 1990)</w:t>
      </w:r>
      <w:r w:rsidR="00FA43EC" w:rsidRPr="00E33DBB">
        <w:rPr>
          <w:rFonts w:cs="Times New Roman"/>
          <w:sz w:val="24"/>
          <w:szCs w:val="24"/>
        </w:rPr>
        <w:t>.</w:t>
      </w:r>
      <w:r w:rsidR="000B2BC7" w:rsidRPr="00E33DBB">
        <w:rPr>
          <w:rFonts w:cs="Times New Roman"/>
          <w:sz w:val="24"/>
          <w:szCs w:val="24"/>
        </w:rPr>
        <w:t xml:space="preserve"> Our</w:t>
      </w:r>
      <w:r w:rsidR="00914E24" w:rsidRPr="00E33DBB">
        <w:rPr>
          <w:rFonts w:cs="Times New Roman"/>
          <w:sz w:val="24"/>
          <w:szCs w:val="24"/>
        </w:rPr>
        <w:t xml:space="preserve"> move</w:t>
      </w:r>
      <w:r w:rsidR="00490C84" w:rsidRPr="00E33DBB">
        <w:rPr>
          <w:rFonts w:cs="Times New Roman"/>
          <w:sz w:val="24"/>
          <w:szCs w:val="24"/>
        </w:rPr>
        <w:t xml:space="preserve"> analysis </w:t>
      </w:r>
      <w:r w:rsidR="000B2BC7" w:rsidRPr="00E33DBB">
        <w:rPr>
          <w:rFonts w:cs="Times New Roman"/>
          <w:sz w:val="24"/>
          <w:szCs w:val="24"/>
        </w:rPr>
        <w:t xml:space="preserve">is presented in </w:t>
      </w:r>
      <w:r w:rsidR="00697B06" w:rsidRPr="00E33DBB">
        <w:rPr>
          <w:rFonts w:cs="Times New Roman"/>
          <w:sz w:val="24"/>
          <w:szCs w:val="24"/>
        </w:rPr>
        <w:t xml:space="preserve">the form of </w:t>
      </w:r>
      <w:r w:rsidR="000B2BC7" w:rsidRPr="00E33DBB">
        <w:rPr>
          <w:rFonts w:cs="Times New Roman"/>
          <w:sz w:val="24"/>
          <w:szCs w:val="24"/>
        </w:rPr>
        <w:t>a</w:t>
      </w:r>
      <w:r w:rsidR="002B3B86" w:rsidRPr="00E33DBB">
        <w:rPr>
          <w:rFonts w:cs="Times New Roman"/>
          <w:sz w:val="24"/>
          <w:szCs w:val="24"/>
        </w:rPr>
        <w:t xml:space="preserve"> ‘commentary’</w:t>
      </w:r>
      <w:r w:rsidR="0039698E" w:rsidRPr="00E33DBB">
        <w:rPr>
          <w:rFonts w:cs="Times New Roman"/>
          <w:sz w:val="24"/>
          <w:szCs w:val="24"/>
        </w:rPr>
        <w:t xml:space="preserve"> in the learning/teaching resources</w:t>
      </w:r>
      <w:r w:rsidR="002B3B86" w:rsidRPr="00E33DBB">
        <w:rPr>
          <w:rFonts w:cs="Times New Roman"/>
          <w:sz w:val="24"/>
          <w:szCs w:val="24"/>
        </w:rPr>
        <w:t>, describing</w:t>
      </w:r>
      <w:r w:rsidR="00914E24" w:rsidRPr="00E33DBB">
        <w:rPr>
          <w:rFonts w:cs="Times New Roman"/>
          <w:sz w:val="24"/>
          <w:szCs w:val="24"/>
        </w:rPr>
        <w:t xml:space="preserve"> the move</w:t>
      </w:r>
      <w:r w:rsidR="002B3B86" w:rsidRPr="00E33DBB">
        <w:rPr>
          <w:rFonts w:cs="Times New Roman"/>
          <w:sz w:val="24"/>
          <w:szCs w:val="24"/>
        </w:rPr>
        <w:t>s and their communicative purpose</w:t>
      </w:r>
      <w:r w:rsidR="000B2BC7" w:rsidRPr="00E33DBB">
        <w:rPr>
          <w:rFonts w:cs="Times New Roman"/>
          <w:sz w:val="24"/>
          <w:szCs w:val="24"/>
        </w:rPr>
        <w:t xml:space="preserve">, </w:t>
      </w:r>
      <w:r w:rsidR="0039698E" w:rsidRPr="00E33DBB">
        <w:rPr>
          <w:rFonts w:cs="Times New Roman"/>
          <w:sz w:val="24"/>
          <w:szCs w:val="24"/>
        </w:rPr>
        <w:t xml:space="preserve">in order to </w:t>
      </w:r>
      <w:r w:rsidR="000B2BC7" w:rsidRPr="00E33DBB">
        <w:rPr>
          <w:rFonts w:cs="Times New Roman"/>
          <w:sz w:val="24"/>
          <w:szCs w:val="24"/>
        </w:rPr>
        <w:t xml:space="preserve">enable students to conduct their own </w:t>
      </w:r>
      <w:r w:rsidR="00914E24" w:rsidRPr="00E33DBB">
        <w:rPr>
          <w:rFonts w:cs="Times New Roman"/>
          <w:sz w:val="24"/>
          <w:szCs w:val="24"/>
        </w:rPr>
        <w:t>genre analysis</w:t>
      </w:r>
      <w:r w:rsidR="000B2BC7" w:rsidRPr="00E33DBB">
        <w:rPr>
          <w:rFonts w:cs="Times New Roman"/>
          <w:sz w:val="24"/>
          <w:szCs w:val="24"/>
        </w:rPr>
        <w:t xml:space="preserve"> during academic writing workshops</w:t>
      </w:r>
      <w:r w:rsidR="00914E24" w:rsidRPr="00E33DBB">
        <w:rPr>
          <w:rFonts w:cs="Times New Roman"/>
          <w:sz w:val="24"/>
          <w:szCs w:val="24"/>
        </w:rPr>
        <w:t>.</w:t>
      </w:r>
      <w:r w:rsidR="000B2BC7" w:rsidRPr="00E33DBB">
        <w:rPr>
          <w:rFonts w:cs="Times New Roman"/>
          <w:sz w:val="24"/>
          <w:szCs w:val="24"/>
        </w:rPr>
        <w:t xml:space="preserve">  The </w:t>
      </w:r>
      <w:r w:rsidR="008411CA" w:rsidRPr="00E33DBB">
        <w:rPr>
          <w:rFonts w:cs="Times New Roman"/>
          <w:sz w:val="24"/>
          <w:szCs w:val="24"/>
        </w:rPr>
        <w:t>intention was that students</w:t>
      </w:r>
      <w:r w:rsidR="00A46B6F" w:rsidRPr="00E33DBB">
        <w:rPr>
          <w:rFonts w:cs="Times New Roman"/>
          <w:sz w:val="24"/>
          <w:szCs w:val="24"/>
        </w:rPr>
        <w:t xml:space="preserve"> would work out the expected features of a genre through the </w:t>
      </w:r>
      <w:r w:rsidR="000B2BC7" w:rsidRPr="00E33DBB">
        <w:rPr>
          <w:rFonts w:cs="Times New Roman"/>
          <w:sz w:val="24"/>
          <w:szCs w:val="24"/>
        </w:rPr>
        <w:t xml:space="preserve">comparison of several examples of </w:t>
      </w:r>
      <w:r w:rsidR="00490C84" w:rsidRPr="00E33DBB">
        <w:rPr>
          <w:rFonts w:cs="Times New Roman"/>
          <w:sz w:val="24"/>
          <w:szCs w:val="24"/>
        </w:rPr>
        <w:t xml:space="preserve">high and </w:t>
      </w:r>
      <w:r w:rsidR="000B2BC7" w:rsidRPr="00E33DBB">
        <w:rPr>
          <w:rFonts w:cs="Times New Roman"/>
          <w:sz w:val="24"/>
          <w:szCs w:val="24"/>
        </w:rPr>
        <w:t>low quality texts and the accompanying commentaries</w:t>
      </w:r>
      <w:r w:rsidR="008411CA" w:rsidRPr="00E33DBB">
        <w:rPr>
          <w:rFonts w:cs="Times New Roman"/>
          <w:sz w:val="24"/>
          <w:szCs w:val="24"/>
        </w:rPr>
        <w:t xml:space="preserve"> –without us having to t</w:t>
      </w:r>
      <w:r w:rsidR="009519E5" w:rsidRPr="00E33DBB">
        <w:rPr>
          <w:rFonts w:cs="Times New Roman"/>
          <w:sz w:val="24"/>
          <w:szCs w:val="24"/>
        </w:rPr>
        <w:t>ell them how to write the genre</w:t>
      </w:r>
      <w:r w:rsidR="00490C84" w:rsidRPr="00E33DBB">
        <w:rPr>
          <w:rFonts w:cs="Times New Roman"/>
          <w:sz w:val="24"/>
          <w:szCs w:val="24"/>
        </w:rPr>
        <w:t>.</w:t>
      </w:r>
      <w:r w:rsidR="00AC01BA" w:rsidRPr="00E33DBB">
        <w:rPr>
          <w:rFonts w:cs="Times New Roman"/>
          <w:sz w:val="24"/>
          <w:szCs w:val="24"/>
        </w:rPr>
        <w:t xml:space="preserve"> Table 1 presents an extract of</w:t>
      </w:r>
      <w:r w:rsidR="00837477" w:rsidRPr="00E33DBB">
        <w:rPr>
          <w:rFonts w:cs="Times New Roman"/>
          <w:sz w:val="24"/>
          <w:szCs w:val="24"/>
        </w:rPr>
        <w:t xml:space="preserve"> the materials on Introductions. </w:t>
      </w:r>
      <w:r w:rsidR="00AC01BA" w:rsidRPr="00E33DBB">
        <w:rPr>
          <w:rFonts w:cs="Times New Roman"/>
          <w:sz w:val="24"/>
          <w:szCs w:val="24"/>
        </w:rPr>
        <w:t xml:space="preserve"> </w:t>
      </w:r>
    </w:p>
    <w:p w:rsidR="00E33DBB" w:rsidRDefault="00E33DBB" w:rsidP="00E33DBB">
      <w:pPr>
        <w:spacing w:line="276" w:lineRule="auto"/>
        <w:ind w:left="0"/>
        <w:rPr>
          <w:rFonts w:cs="Times New Roman"/>
          <w:b/>
          <w:sz w:val="24"/>
          <w:szCs w:val="24"/>
        </w:rPr>
      </w:pPr>
    </w:p>
    <w:p w:rsidR="000B74B3" w:rsidRPr="00E33DBB" w:rsidRDefault="000B74B3" w:rsidP="00E33DBB">
      <w:pPr>
        <w:spacing w:line="276" w:lineRule="auto"/>
        <w:ind w:left="0"/>
        <w:rPr>
          <w:rFonts w:cs="Times New Roman"/>
          <w:b/>
          <w:sz w:val="24"/>
          <w:szCs w:val="24"/>
        </w:rPr>
      </w:pPr>
      <w:r w:rsidRPr="00E33DBB">
        <w:rPr>
          <w:rFonts w:cs="Times New Roman"/>
          <w:b/>
          <w:sz w:val="24"/>
          <w:szCs w:val="24"/>
        </w:rPr>
        <w:t>Table 1: Move analysis in Applied Linguistics resources</w:t>
      </w:r>
    </w:p>
    <w:p w:rsidR="00E33DBB" w:rsidRPr="00E33DBB" w:rsidRDefault="00E33DBB" w:rsidP="00E33DBB">
      <w:pPr>
        <w:pStyle w:val="Heading2"/>
        <w:spacing w:line="276" w:lineRule="auto"/>
        <w:ind w:left="0"/>
        <w:rPr>
          <w:rFonts w:asciiTheme="minorHAnsi" w:hAnsiTheme="minorHAnsi"/>
          <w:color w:val="auto"/>
          <w:sz w:val="24"/>
          <w:szCs w:val="24"/>
        </w:rPr>
      </w:pPr>
      <w:bookmarkStart w:id="1" w:name="_Toc299086196"/>
      <w:bookmarkStart w:id="2" w:name="_Toc299086499"/>
      <w:bookmarkStart w:id="3" w:name="_Toc299086656"/>
      <w:bookmarkStart w:id="4" w:name="_Toc299086910"/>
      <w:bookmarkStart w:id="5" w:name="_Toc299087006"/>
      <w:bookmarkStart w:id="6" w:name="_Toc338320041"/>
      <w:r w:rsidRPr="00E33DBB">
        <w:rPr>
          <w:rFonts w:asciiTheme="minorHAnsi" w:hAnsiTheme="minorHAnsi"/>
          <w:color w:val="auto"/>
          <w:sz w:val="24"/>
          <w:szCs w:val="24"/>
        </w:rPr>
        <w:t>INTRODUCTIONS in high scoring assignments</w:t>
      </w:r>
      <w:bookmarkEnd w:id="1"/>
      <w:bookmarkEnd w:id="2"/>
      <w:bookmarkEnd w:id="3"/>
      <w:bookmarkEnd w:id="4"/>
      <w:bookmarkEnd w:id="5"/>
      <w:bookmarkEnd w:id="6"/>
    </w:p>
    <w:p w:rsidR="00E33DBB" w:rsidRPr="00E33DBB" w:rsidRDefault="00E33DBB" w:rsidP="00E33DBB">
      <w:pPr>
        <w:pStyle w:val="BodyText"/>
        <w:spacing w:line="276" w:lineRule="auto"/>
        <w:jc w:val="both"/>
        <w:rPr>
          <w:rFonts w:asciiTheme="minorHAnsi" w:hAnsiTheme="minorHAnsi"/>
          <w:b/>
        </w:rPr>
      </w:pPr>
      <w:r w:rsidRPr="00E33DBB">
        <w:rPr>
          <w:rFonts w:asciiTheme="minorHAnsi" w:hAnsiTheme="minorHAnsi"/>
          <w:b/>
        </w:rPr>
        <w:t xml:space="preserve">TASK </w:t>
      </w:r>
      <w:r w:rsidRPr="00E33DBB">
        <w:rPr>
          <w:rFonts w:asciiTheme="minorHAnsi" w:hAnsiTheme="minorHAnsi"/>
        </w:rPr>
        <w:fldChar w:fldCharType="begin"/>
      </w:r>
      <w:r w:rsidRPr="00E33DBB">
        <w:rPr>
          <w:rFonts w:asciiTheme="minorHAnsi" w:hAnsiTheme="minorHAnsi"/>
        </w:rPr>
        <w:instrText xml:space="preserve"> SEQ task \* MERGEFORMAT \r 1 \* MERGEFORMAT </w:instrText>
      </w:r>
      <w:r w:rsidRPr="00E33DBB">
        <w:rPr>
          <w:rFonts w:asciiTheme="minorHAnsi" w:hAnsiTheme="minorHAnsi"/>
        </w:rPr>
        <w:fldChar w:fldCharType="separate"/>
      </w:r>
      <w:r w:rsidRPr="00E33DBB">
        <w:rPr>
          <w:rFonts w:asciiTheme="minorHAnsi" w:hAnsiTheme="minorHAnsi"/>
          <w:b/>
          <w:noProof/>
        </w:rPr>
        <w:t>1</w:t>
      </w:r>
      <w:r w:rsidRPr="00E33DBB">
        <w:rPr>
          <w:rFonts w:asciiTheme="minorHAnsi" w:hAnsiTheme="minorHAnsi"/>
          <w:b/>
          <w:noProof/>
        </w:rPr>
        <w:fldChar w:fldCharType="end"/>
      </w:r>
    </w:p>
    <w:p w:rsidR="00E33DBB" w:rsidRPr="00E33DBB" w:rsidRDefault="00E33DBB" w:rsidP="00E33DBB">
      <w:pPr>
        <w:pStyle w:val="ListBullet2"/>
        <w:spacing w:line="276" w:lineRule="auto"/>
        <w:jc w:val="both"/>
        <w:rPr>
          <w:rFonts w:asciiTheme="minorHAnsi" w:hAnsiTheme="minorHAnsi"/>
        </w:rPr>
      </w:pPr>
      <w:r w:rsidRPr="00E33DBB">
        <w:rPr>
          <w:rFonts w:asciiTheme="minorHAnsi" w:hAnsiTheme="minorHAnsi"/>
        </w:rPr>
        <w:t xml:space="preserve">Review the analyses for the first three introductions in high scoring assignments.  </w:t>
      </w:r>
    </w:p>
    <w:p w:rsidR="00E33DBB" w:rsidRPr="00E33DBB" w:rsidRDefault="00E33DBB" w:rsidP="00E33DBB">
      <w:pPr>
        <w:pStyle w:val="ListBullet2"/>
        <w:spacing w:line="276" w:lineRule="auto"/>
        <w:jc w:val="both"/>
        <w:rPr>
          <w:rFonts w:asciiTheme="minorHAnsi" w:hAnsiTheme="minorHAnsi"/>
        </w:rPr>
      </w:pPr>
      <w:r w:rsidRPr="00E33DBB">
        <w:rPr>
          <w:rFonts w:asciiTheme="minorHAnsi" w:hAnsiTheme="minorHAnsi"/>
        </w:rPr>
        <w:t>Complete your own analysis of Example 4.</w:t>
      </w:r>
    </w:p>
    <w:p w:rsidR="00E33DBB" w:rsidRPr="00E33DBB" w:rsidRDefault="00E33DBB" w:rsidP="00E33DBB">
      <w:pPr>
        <w:pStyle w:val="ListBullet2"/>
        <w:spacing w:line="276" w:lineRule="auto"/>
        <w:jc w:val="both"/>
        <w:rPr>
          <w:rFonts w:asciiTheme="minorHAnsi" w:hAnsiTheme="minorHAnsi"/>
        </w:rPr>
      </w:pPr>
      <w:r w:rsidRPr="00E33DBB">
        <w:rPr>
          <w:rFonts w:asciiTheme="minorHAnsi" w:hAnsiTheme="minorHAnsi"/>
        </w:rPr>
        <w:t>Summarise what would appear to be the desirable features of assignment Introductions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2"/>
        <w:gridCol w:w="2260"/>
      </w:tblGrid>
      <w:tr w:rsidR="00E33DBB" w:rsidRPr="00E33DBB" w:rsidTr="00B0108A">
        <w:tc>
          <w:tcPr>
            <w:tcW w:w="7218" w:type="dxa"/>
            <w:tcBorders>
              <w:top w:val="single" w:sz="4" w:space="0" w:color="auto"/>
              <w:left w:val="single" w:sz="4" w:space="0" w:color="auto"/>
              <w:bottom w:val="single" w:sz="4" w:space="0" w:color="auto"/>
              <w:right w:val="single" w:sz="4" w:space="0" w:color="auto"/>
            </w:tcBorders>
            <w:hideMark/>
          </w:tcPr>
          <w:p w:rsidR="00E33DBB" w:rsidRPr="00E33DBB" w:rsidRDefault="00E33DBB" w:rsidP="00E33DBB">
            <w:pPr>
              <w:pStyle w:val="Tablefont"/>
              <w:spacing w:line="276" w:lineRule="auto"/>
              <w:jc w:val="both"/>
              <w:rPr>
                <w:rFonts w:asciiTheme="minorHAnsi" w:hAnsiTheme="minorHAnsi"/>
                <w:b/>
                <w:szCs w:val="22"/>
              </w:rPr>
            </w:pPr>
            <w:r w:rsidRPr="00E33DBB">
              <w:rPr>
                <w:rFonts w:asciiTheme="minorHAnsi" w:hAnsiTheme="minorHAnsi"/>
                <w:b/>
                <w:szCs w:val="22"/>
              </w:rPr>
              <w:t xml:space="preserve">EXAMPLE A. </w:t>
            </w:r>
            <w:r w:rsidRPr="00E33DBB">
              <w:rPr>
                <w:rFonts w:asciiTheme="minorHAnsi" w:hAnsiTheme="minorHAnsi"/>
                <w:i/>
                <w:szCs w:val="22"/>
              </w:rPr>
              <w:t>Assignment title: What counts as validity in formative assessment?</w:t>
            </w:r>
          </w:p>
          <w:p w:rsidR="00E33DBB" w:rsidRPr="00E33DBB" w:rsidRDefault="00E33DBB" w:rsidP="00E33DBB">
            <w:pPr>
              <w:pStyle w:val="Tablefont"/>
              <w:spacing w:line="276" w:lineRule="auto"/>
              <w:jc w:val="both"/>
              <w:rPr>
                <w:rFonts w:asciiTheme="minorHAnsi" w:hAnsiTheme="minorHAnsi"/>
                <w:b/>
                <w:szCs w:val="22"/>
              </w:rPr>
            </w:pPr>
            <w:r w:rsidRPr="00E33DBB">
              <w:rPr>
                <w:rFonts w:asciiTheme="minorHAnsi" w:hAnsiTheme="minorHAnsi"/>
                <w:b/>
                <w:szCs w:val="22"/>
              </w:rPr>
              <w:t>Introduction</w:t>
            </w:r>
          </w:p>
          <w:p w:rsidR="00E33DBB" w:rsidRPr="00E33DBB" w:rsidRDefault="00E33DBB" w:rsidP="00E33DBB">
            <w:pPr>
              <w:pStyle w:val="Tablefont"/>
              <w:spacing w:line="276" w:lineRule="auto"/>
              <w:rPr>
                <w:rFonts w:asciiTheme="minorHAnsi" w:hAnsiTheme="minorHAnsi"/>
                <w:szCs w:val="22"/>
              </w:rPr>
            </w:pPr>
            <w:r w:rsidRPr="00E33DBB">
              <w:rPr>
                <w:rFonts w:asciiTheme="minorHAnsi" w:hAnsiTheme="minorHAnsi"/>
                <w:szCs w:val="22"/>
              </w:rPr>
              <w:t xml:space="preserve">The role of assessment in language teaching and learning is complex and often politically-charged. In recent years, many researchers have promoted a more socially and democratically equitable conception of assessment (i.e. Shohamy 2001, Lynch 2001), that is non-psychometric and non-standardised. This has led to the promotion, endorsement and implementation of various classroom-based alternatives, many of which have shared characteristics and concerns (cf. Leung 2005, p. 870 for a brief overview). </w:t>
            </w:r>
            <w:r w:rsidRPr="00E33DBB">
              <w:rPr>
                <w:rFonts w:asciiTheme="minorHAnsi" w:hAnsiTheme="minorHAnsi"/>
                <w:b/>
                <w:color w:val="FF0000"/>
                <w:szCs w:val="22"/>
              </w:rPr>
              <w:t>[</w:t>
            </w:r>
            <w:r w:rsidRPr="00E33DBB">
              <w:rPr>
                <w:rFonts w:asciiTheme="minorHAnsi" w:hAnsiTheme="minorHAnsi"/>
                <w:color w:val="FF0000"/>
                <w:szCs w:val="22"/>
              </w:rPr>
              <w:t>1</w:t>
            </w:r>
            <w:r w:rsidRPr="00E33DBB">
              <w:rPr>
                <w:rFonts w:asciiTheme="minorHAnsi" w:hAnsiTheme="minorHAnsi"/>
                <w:b/>
                <w:color w:val="FF0000"/>
                <w:szCs w:val="22"/>
              </w:rPr>
              <w:t>]</w:t>
            </w:r>
            <w:r w:rsidRPr="00E33DBB">
              <w:rPr>
                <w:rFonts w:asciiTheme="minorHAnsi" w:hAnsiTheme="minorHAnsi"/>
                <w:szCs w:val="22"/>
              </w:rPr>
              <w:t xml:space="preserve"> Despite this change in tide, however, a number of old questions rightly persist. In particular the issues of validity and reliability, which Leung (2005) refers to as “the quality and soundness” of the assessment approach, are still prevalent (p. 869). Interestingly, these questions are posed by those spearheading this new movement in an attempt to ensure theoretical, empirical and epistemological robustness (i.e. Leung 2004). </w:t>
            </w:r>
            <w:r w:rsidRPr="00E33DBB">
              <w:rPr>
                <w:rFonts w:asciiTheme="minorHAnsi" w:hAnsiTheme="minorHAnsi"/>
                <w:b/>
                <w:color w:val="FF0000"/>
                <w:szCs w:val="22"/>
              </w:rPr>
              <w:t>[</w:t>
            </w:r>
            <w:r w:rsidRPr="00E33DBB">
              <w:rPr>
                <w:rFonts w:asciiTheme="minorHAnsi" w:hAnsiTheme="minorHAnsi"/>
                <w:color w:val="FF0000"/>
                <w:szCs w:val="22"/>
              </w:rPr>
              <w:t>2</w:t>
            </w:r>
            <w:r w:rsidRPr="00E33DBB">
              <w:rPr>
                <w:rFonts w:asciiTheme="minorHAnsi" w:hAnsiTheme="minorHAnsi"/>
                <w:b/>
                <w:color w:val="FF0000"/>
                <w:szCs w:val="22"/>
              </w:rPr>
              <w:t>]</w:t>
            </w:r>
            <w:r w:rsidRPr="00E33DBB">
              <w:rPr>
                <w:rFonts w:asciiTheme="minorHAnsi" w:hAnsiTheme="minorHAnsi"/>
                <w:szCs w:val="22"/>
              </w:rPr>
              <w:t xml:space="preserve">  In this discussion I shall address the issue of validity in regard to Formative Assessment (FA). In the first section, I shall define, examine and then problematise the central tenets of FA; this problematisation will raise three key questions in regard to validity in FA. In the second section, I will begin by briefly delineating some of the underlying assumptions of validity in conventional assessment practice. Following this, I shall return to the three crucial and interrelated questions previously identified, through which I argue for a reconceptualised understanding of validity in FA that acknowledges its complex and contingent nature. In my conclusion I shall argue that subscription to this viewpoint will enable FA to attain a more prominent position in educational assessment. </w:t>
            </w:r>
            <w:r w:rsidRPr="00E33DBB">
              <w:rPr>
                <w:rFonts w:asciiTheme="minorHAnsi" w:hAnsiTheme="minorHAnsi"/>
                <w:b/>
                <w:color w:val="FF0000"/>
                <w:szCs w:val="22"/>
              </w:rPr>
              <w:t>[</w:t>
            </w:r>
            <w:r w:rsidRPr="00E33DBB">
              <w:rPr>
                <w:rFonts w:asciiTheme="minorHAnsi" w:hAnsiTheme="minorHAnsi"/>
                <w:color w:val="FF0000"/>
                <w:szCs w:val="22"/>
              </w:rPr>
              <w:t>3</w:t>
            </w:r>
            <w:r w:rsidRPr="00E33DBB">
              <w:rPr>
                <w:rFonts w:asciiTheme="minorHAnsi" w:hAnsiTheme="minorHAnsi"/>
                <w:b/>
                <w:color w:val="FF0000"/>
                <w:szCs w:val="22"/>
              </w:rPr>
              <w:t>]</w:t>
            </w:r>
          </w:p>
        </w:tc>
        <w:tc>
          <w:tcPr>
            <w:tcW w:w="2304" w:type="dxa"/>
            <w:tcBorders>
              <w:top w:val="single" w:sz="4" w:space="0" w:color="auto"/>
              <w:left w:val="single" w:sz="4" w:space="0" w:color="auto"/>
              <w:bottom w:val="single" w:sz="4" w:space="0" w:color="auto"/>
              <w:right w:val="single" w:sz="4" w:space="0" w:color="auto"/>
            </w:tcBorders>
          </w:tcPr>
          <w:p w:rsidR="00E33DBB" w:rsidRPr="00E33DBB" w:rsidRDefault="00E33DBB" w:rsidP="00E33DBB">
            <w:pPr>
              <w:pStyle w:val="Tablefont"/>
              <w:spacing w:line="276" w:lineRule="auto"/>
              <w:jc w:val="both"/>
              <w:rPr>
                <w:rFonts w:asciiTheme="minorHAnsi" w:hAnsiTheme="minorHAnsi"/>
                <w:szCs w:val="22"/>
              </w:rPr>
            </w:pPr>
          </w:p>
          <w:p w:rsidR="00E33DBB" w:rsidRPr="00E33DBB" w:rsidRDefault="00E33DBB" w:rsidP="00E33DBB">
            <w:pPr>
              <w:pStyle w:val="Tablefont"/>
              <w:spacing w:line="276" w:lineRule="auto"/>
              <w:jc w:val="both"/>
              <w:rPr>
                <w:rFonts w:asciiTheme="minorHAnsi" w:hAnsiTheme="minorHAnsi"/>
                <w:szCs w:val="22"/>
              </w:rPr>
            </w:pPr>
          </w:p>
          <w:p w:rsidR="00E33DBB" w:rsidRPr="00E33DBB" w:rsidRDefault="00E33DBB" w:rsidP="00E33DBB">
            <w:pPr>
              <w:pStyle w:val="Tablefont"/>
              <w:spacing w:line="276" w:lineRule="auto"/>
              <w:jc w:val="both"/>
              <w:rPr>
                <w:rFonts w:asciiTheme="minorHAnsi" w:hAnsiTheme="minorHAnsi"/>
                <w:szCs w:val="22"/>
              </w:rPr>
            </w:pPr>
          </w:p>
          <w:p w:rsidR="00E33DBB" w:rsidRPr="00E33DBB" w:rsidRDefault="00E33DBB" w:rsidP="00E33DBB">
            <w:pPr>
              <w:pStyle w:val="Tablefont"/>
              <w:spacing w:line="276" w:lineRule="auto"/>
              <w:jc w:val="both"/>
              <w:rPr>
                <w:rFonts w:asciiTheme="minorHAnsi" w:hAnsiTheme="minorHAnsi"/>
                <w:szCs w:val="22"/>
              </w:rPr>
            </w:pPr>
          </w:p>
          <w:p w:rsidR="00E33DBB" w:rsidRPr="00E33DBB" w:rsidRDefault="00E33DBB" w:rsidP="00E33DBB">
            <w:pPr>
              <w:pStyle w:val="Tablefont"/>
              <w:spacing w:line="276" w:lineRule="auto"/>
              <w:jc w:val="both"/>
              <w:rPr>
                <w:rFonts w:asciiTheme="minorHAnsi" w:hAnsiTheme="minorHAnsi"/>
                <w:szCs w:val="22"/>
              </w:rPr>
            </w:pPr>
          </w:p>
          <w:p w:rsidR="00E33DBB" w:rsidRPr="00E33DBB" w:rsidRDefault="00E33DBB" w:rsidP="00E33DBB">
            <w:pPr>
              <w:pStyle w:val="Tablefont"/>
              <w:spacing w:line="276" w:lineRule="auto"/>
              <w:jc w:val="both"/>
              <w:rPr>
                <w:rFonts w:asciiTheme="minorHAnsi" w:hAnsiTheme="minorHAnsi"/>
                <w:szCs w:val="22"/>
              </w:rPr>
            </w:pPr>
          </w:p>
          <w:p w:rsidR="00E33DBB" w:rsidRPr="00E33DBB" w:rsidRDefault="00E33DBB" w:rsidP="00E33DBB">
            <w:pPr>
              <w:pStyle w:val="Tablefont"/>
              <w:spacing w:line="276" w:lineRule="auto"/>
              <w:jc w:val="both"/>
              <w:rPr>
                <w:rFonts w:asciiTheme="minorHAnsi" w:hAnsiTheme="minorHAnsi"/>
                <w:szCs w:val="22"/>
              </w:rPr>
            </w:pPr>
          </w:p>
          <w:p w:rsidR="00E33DBB" w:rsidRPr="00E33DBB" w:rsidRDefault="00E33DBB" w:rsidP="00E33DBB">
            <w:pPr>
              <w:pStyle w:val="Tablefont"/>
              <w:spacing w:line="276" w:lineRule="auto"/>
              <w:jc w:val="both"/>
              <w:rPr>
                <w:rFonts w:asciiTheme="minorHAnsi" w:hAnsiTheme="minorHAnsi"/>
                <w:szCs w:val="22"/>
              </w:rPr>
            </w:pPr>
          </w:p>
          <w:p w:rsidR="00E33DBB" w:rsidRPr="00E33DBB" w:rsidRDefault="00E33DBB" w:rsidP="00E33DBB">
            <w:pPr>
              <w:pStyle w:val="Tablefont"/>
              <w:spacing w:line="276" w:lineRule="auto"/>
              <w:ind w:firstLine="0"/>
              <w:rPr>
                <w:rFonts w:asciiTheme="minorHAnsi" w:hAnsiTheme="minorHAnsi"/>
                <w:szCs w:val="22"/>
              </w:rPr>
            </w:pPr>
            <w:r w:rsidRPr="00E33DBB">
              <w:rPr>
                <w:rFonts w:asciiTheme="minorHAnsi" w:hAnsiTheme="minorHAnsi"/>
                <w:b/>
                <w:szCs w:val="22"/>
              </w:rPr>
              <w:t>[</w:t>
            </w:r>
            <w:r w:rsidRPr="00E33DBB">
              <w:rPr>
                <w:rFonts w:asciiTheme="minorHAnsi" w:hAnsiTheme="minorHAnsi"/>
                <w:szCs w:val="22"/>
              </w:rPr>
              <w:t>1</w:t>
            </w:r>
            <w:r w:rsidRPr="00E33DBB">
              <w:rPr>
                <w:rFonts w:asciiTheme="minorHAnsi" w:hAnsiTheme="minorHAnsi"/>
                <w:b/>
                <w:szCs w:val="22"/>
              </w:rPr>
              <w:t>]</w:t>
            </w:r>
            <w:r w:rsidRPr="00E33DBB">
              <w:rPr>
                <w:rFonts w:asciiTheme="minorHAnsi" w:hAnsiTheme="minorHAnsi"/>
                <w:szCs w:val="22"/>
              </w:rPr>
              <w:t xml:space="preserve"> This section establishes the intellectual context and refer to relevant authorities.</w:t>
            </w:r>
          </w:p>
          <w:p w:rsidR="00E33DBB" w:rsidRPr="00E33DBB" w:rsidRDefault="00E33DBB" w:rsidP="00621A1D">
            <w:pPr>
              <w:pStyle w:val="Tablefont"/>
              <w:spacing w:line="276" w:lineRule="auto"/>
              <w:ind w:firstLine="0"/>
              <w:jc w:val="both"/>
              <w:rPr>
                <w:rFonts w:asciiTheme="minorHAnsi" w:hAnsiTheme="minorHAnsi"/>
                <w:szCs w:val="22"/>
              </w:rPr>
            </w:pPr>
          </w:p>
          <w:p w:rsidR="00E33DBB" w:rsidRPr="00E33DBB" w:rsidRDefault="00E33DBB" w:rsidP="00E33DBB">
            <w:pPr>
              <w:pStyle w:val="Tablefont"/>
              <w:spacing w:line="276" w:lineRule="auto"/>
              <w:ind w:firstLine="0"/>
              <w:rPr>
                <w:rFonts w:asciiTheme="minorHAnsi" w:hAnsiTheme="minorHAnsi"/>
                <w:szCs w:val="22"/>
              </w:rPr>
            </w:pPr>
            <w:r w:rsidRPr="00E33DBB">
              <w:rPr>
                <w:rFonts w:asciiTheme="minorHAnsi" w:hAnsiTheme="minorHAnsi"/>
                <w:b/>
                <w:szCs w:val="22"/>
              </w:rPr>
              <w:t>[</w:t>
            </w:r>
            <w:r w:rsidRPr="00E33DBB">
              <w:rPr>
                <w:rFonts w:asciiTheme="minorHAnsi" w:hAnsiTheme="minorHAnsi"/>
                <w:szCs w:val="22"/>
              </w:rPr>
              <w:t>2</w:t>
            </w:r>
            <w:r w:rsidRPr="00E33DBB">
              <w:rPr>
                <w:rFonts w:asciiTheme="minorHAnsi" w:hAnsiTheme="minorHAnsi"/>
                <w:b/>
                <w:szCs w:val="22"/>
              </w:rPr>
              <w:t>]</w:t>
            </w:r>
            <w:r w:rsidRPr="00E33DBB">
              <w:rPr>
                <w:rFonts w:asciiTheme="minorHAnsi" w:hAnsiTheme="minorHAnsi"/>
                <w:szCs w:val="22"/>
              </w:rPr>
              <w:t xml:space="preserve"> Refers to the issue or problem that is going to be the focus of the assignment.</w:t>
            </w:r>
          </w:p>
          <w:p w:rsidR="00E33DBB" w:rsidRPr="00E33DBB" w:rsidRDefault="00E33DBB" w:rsidP="00E33DBB">
            <w:pPr>
              <w:pStyle w:val="Tablefont"/>
              <w:spacing w:line="276" w:lineRule="auto"/>
              <w:ind w:firstLine="0"/>
              <w:jc w:val="both"/>
              <w:rPr>
                <w:rFonts w:asciiTheme="minorHAnsi" w:hAnsiTheme="minorHAnsi"/>
                <w:szCs w:val="22"/>
              </w:rPr>
            </w:pPr>
          </w:p>
          <w:p w:rsidR="00E33DBB" w:rsidRPr="00E33DBB" w:rsidRDefault="00E33DBB" w:rsidP="00E33DBB">
            <w:pPr>
              <w:pStyle w:val="Tablefont"/>
              <w:spacing w:line="276" w:lineRule="auto"/>
              <w:ind w:firstLine="0"/>
              <w:rPr>
                <w:rFonts w:asciiTheme="minorHAnsi" w:hAnsiTheme="minorHAnsi"/>
                <w:b/>
                <w:szCs w:val="22"/>
              </w:rPr>
            </w:pPr>
            <w:r w:rsidRPr="00E33DBB">
              <w:rPr>
                <w:rFonts w:asciiTheme="minorHAnsi" w:hAnsiTheme="minorHAnsi"/>
                <w:b/>
                <w:szCs w:val="22"/>
              </w:rPr>
              <w:t>[</w:t>
            </w:r>
            <w:r w:rsidRPr="00E33DBB">
              <w:rPr>
                <w:rFonts w:asciiTheme="minorHAnsi" w:hAnsiTheme="minorHAnsi"/>
                <w:szCs w:val="22"/>
              </w:rPr>
              <w:t>3</w:t>
            </w:r>
            <w:r w:rsidRPr="00E33DBB">
              <w:rPr>
                <w:rFonts w:asciiTheme="minorHAnsi" w:hAnsiTheme="minorHAnsi"/>
                <w:b/>
                <w:szCs w:val="22"/>
              </w:rPr>
              <w:t>]</w:t>
            </w:r>
            <w:r w:rsidRPr="00E33DBB">
              <w:rPr>
                <w:rFonts w:asciiTheme="minorHAnsi" w:hAnsiTheme="minorHAnsi"/>
                <w:szCs w:val="22"/>
              </w:rPr>
              <w:t xml:space="preserve"> Provides a map / set of signposts which guide the reader through the rest of the assignment.</w:t>
            </w:r>
          </w:p>
        </w:tc>
      </w:tr>
    </w:tbl>
    <w:p w:rsidR="00837477" w:rsidRPr="00E33DBB" w:rsidRDefault="00837477" w:rsidP="00E33DBB">
      <w:pPr>
        <w:spacing w:line="276" w:lineRule="auto"/>
        <w:ind w:left="0" w:firstLine="0"/>
        <w:rPr>
          <w:rFonts w:cs="Times New Roman"/>
          <w:i/>
          <w:sz w:val="24"/>
          <w:szCs w:val="24"/>
        </w:rPr>
      </w:pPr>
    </w:p>
    <w:p w:rsidR="00914E24" w:rsidRPr="00E33DBB" w:rsidRDefault="00837477" w:rsidP="009C7B21">
      <w:pPr>
        <w:spacing w:line="276" w:lineRule="auto"/>
        <w:ind w:left="0" w:firstLine="0"/>
        <w:rPr>
          <w:rFonts w:cs="Times New Roman"/>
          <w:sz w:val="24"/>
          <w:szCs w:val="24"/>
        </w:rPr>
      </w:pPr>
      <w:r w:rsidRPr="00E33DBB">
        <w:rPr>
          <w:rFonts w:cs="Times New Roman"/>
          <w:sz w:val="24"/>
          <w:szCs w:val="24"/>
        </w:rPr>
        <w:t>In addition to move analysis,</w:t>
      </w:r>
      <w:r w:rsidR="00F11789" w:rsidRPr="00E33DBB">
        <w:rPr>
          <w:rFonts w:cs="Times New Roman"/>
          <w:sz w:val="24"/>
          <w:szCs w:val="24"/>
        </w:rPr>
        <w:t xml:space="preserve"> we drew on SFL for the lexico-grammatical analysis of texts to illustrate to students devices used for textual organisation.  </w:t>
      </w:r>
      <w:r w:rsidR="00914E24" w:rsidRPr="00E33DBB">
        <w:rPr>
          <w:rFonts w:cs="Times New Roman"/>
          <w:sz w:val="24"/>
          <w:szCs w:val="24"/>
        </w:rPr>
        <w:t>We also</w:t>
      </w:r>
      <w:r w:rsidR="00F11789" w:rsidRPr="00E33DBB">
        <w:rPr>
          <w:rFonts w:cs="Times New Roman"/>
          <w:sz w:val="24"/>
          <w:szCs w:val="24"/>
        </w:rPr>
        <w:t xml:space="preserve"> used discourse-semantic analysis </w:t>
      </w:r>
      <w:r w:rsidR="00914E24" w:rsidRPr="00E33DBB">
        <w:rPr>
          <w:rFonts w:cs="Times New Roman"/>
          <w:sz w:val="24"/>
          <w:szCs w:val="24"/>
        </w:rPr>
        <w:t xml:space="preserve">of </w:t>
      </w:r>
      <w:r w:rsidR="00F76BE3" w:rsidRPr="00E33DBB">
        <w:rPr>
          <w:rFonts w:cs="Times New Roman"/>
          <w:sz w:val="24"/>
          <w:szCs w:val="24"/>
        </w:rPr>
        <w:t xml:space="preserve">Themes </w:t>
      </w:r>
      <w:r w:rsidR="00F11789" w:rsidRPr="00E33DBB">
        <w:rPr>
          <w:rFonts w:cs="Times New Roman"/>
          <w:sz w:val="24"/>
          <w:szCs w:val="24"/>
        </w:rPr>
        <w:t>and</w:t>
      </w:r>
      <w:r w:rsidR="00914E24" w:rsidRPr="00E33DBB">
        <w:rPr>
          <w:rFonts w:cs="Times New Roman"/>
          <w:sz w:val="24"/>
          <w:szCs w:val="24"/>
        </w:rPr>
        <w:t xml:space="preserve"> </w:t>
      </w:r>
      <w:r w:rsidR="00F11789" w:rsidRPr="00E33DBB">
        <w:rPr>
          <w:rFonts w:cs="Times New Roman"/>
          <w:sz w:val="24"/>
          <w:szCs w:val="24"/>
        </w:rPr>
        <w:t>paragraph relations to uncover the argumentative structure, or ‘chains of reasoning’ (Rave</w:t>
      </w:r>
      <w:r w:rsidR="005D0E4B" w:rsidRPr="00E33DBB">
        <w:rPr>
          <w:rFonts w:cs="Times New Roman"/>
          <w:sz w:val="24"/>
          <w:szCs w:val="24"/>
        </w:rPr>
        <w:t xml:space="preserve">lli 2004: 107) in texts. </w:t>
      </w:r>
      <w:r w:rsidR="00F43B1A" w:rsidRPr="00E33DBB">
        <w:rPr>
          <w:rFonts w:cs="Times New Roman"/>
          <w:sz w:val="24"/>
          <w:szCs w:val="24"/>
        </w:rPr>
        <w:t>In the learning resources, we visualised the development of argument through synoptic figures of paragraph arrangements.</w:t>
      </w:r>
      <w:r w:rsidR="00F43B1A" w:rsidRPr="00E33DBB">
        <w:rPr>
          <w:b/>
        </w:rPr>
        <w:t xml:space="preserve"> </w:t>
      </w:r>
      <w:r w:rsidR="00CD20AF" w:rsidRPr="00E33DBB">
        <w:rPr>
          <w:rFonts w:cs="Times New Roman"/>
          <w:sz w:val="24"/>
          <w:szCs w:val="24"/>
        </w:rPr>
        <w:t xml:space="preserve">I cannot go into further detail </w:t>
      </w:r>
      <w:r w:rsidR="00241FC5" w:rsidRPr="00E33DBB">
        <w:rPr>
          <w:rFonts w:cs="Times New Roman"/>
          <w:sz w:val="24"/>
          <w:szCs w:val="24"/>
        </w:rPr>
        <w:t xml:space="preserve">here </w:t>
      </w:r>
      <w:r w:rsidR="00CD20AF" w:rsidRPr="00E33DBB">
        <w:rPr>
          <w:rFonts w:cs="Times New Roman"/>
          <w:sz w:val="24"/>
          <w:szCs w:val="24"/>
        </w:rPr>
        <w:t xml:space="preserve">about </w:t>
      </w:r>
      <w:r w:rsidR="00626A0E" w:rsidRPr="00E33DBB">
        <w:rPr>
          <w:rFonts w:cs="Times New Roman"/>
          <w:sz w:val="24"/>
          <w:szCs w:val="24"/>
        </w:rPr>
        <w:t xml:space="preserve">the various genre-analytical tools we used, but this </w:t>
      </w:r>
      <w:r w:rsidR="00CD20AF" w:rsidRPr="00E33DBB">
        <w:rPr>
          <w:rFonts w:cs="Times New Roman"/>
          <w:sz w:val="24"/>
          <w:szCs w:val="24"/>
        </w:rPr>
        <w:t xml:space="preserve">information </w:t>
      </w:r>
      <w:r w:rsidR="00626A0E" w:rsidRPr="00E33DBB">
        <w:rPr>
          <w:rFonts w:cs="Times New Roman"/>
          <w:sz w:val="24"/>
          <w:szCs w:val="24"/>
        </w:rPr>
        <w:t xml:space="preserve">is provided </w:t>
      </w:r>
      <w:r w:rsidR="00914E24" w:rsidRPr="00E33DBB">
        <w:rPr>
          <w:rFonts w:cs="Times New Roman"/>
          <w:sz w:val="24"/>
          <w:szCs w:val="24"/>
        </w:rPr>
        <w:t>elsewhere (Tribble &amp; Wingate 2013; Wingate 2015).</w:t>
      </w:r>
    </w:p>
    <w:p w:rsidR="00A46B6F" w:rsidRPr="00E33DBB" w:rsidRDefault="00A46B6F" w:rsidP="00E33DBB">
      <w:pPr>
        <w:spacing w:line="276" w:lineRule="auto"/>
        <w:ind w:left="0"/>
        <w:rPr>
          <w:rFonts w:cs="Times New Roman"/>
          <w:sz w:val="24"/>
          <w:szCs w:val="24"/>
        </w:rPr>
      </w:pPr>
      <w:r w:rsidRPr="00E33DBB">
        <w:rPr>
          <w:rFonts w:cs="Times New Roman"/>
          <w:sz w:val="24"/>
          <w:szCs w:val="24"/>
        </w:rPr>
        <w:t xml:space="preserve">As insiders in the discipline of Applied Linguistics, developing </w:t>
      </w:r>
      <w:r w:rsidR="008411CA" w:rsidRPr="00E33DBB">
        <w:rPr>
          <w:rFonts w:cs="Times New Roman"/>
          <w:sz w:val="24"/>
          <w:szCs w:val="24"/>
        </w:rPr>
        <w:t xml:space="preserve">these </w:t>
      </w:r>
      <w:r w:rsidRPr="00E33DBB">
        <w:rPr>
          <w:rFonts w:cs="Times New Roman"/>
          <w:sz w:val="24"/>
          <w:szCs w:val="24"/>
        </w:rPr>
        <w:t>teaching/learning resources was relatively easy for us. Developing resources for unfamiliar disciplines was a harder challenge, for which we relied on the collaboration with the subject experts.</w:t>
      </w:r>
    </w:p>
    <w:p w:rsidR="00FB68CB" w:rsidRPr="00E33DBB" w:rsidRDefault="00C35723" w:rsidP="00E33DBB">
      <w:pPr>
        <w:pStyle w:val="ListParagraph"/>
        <w:numPr>
          <w:ilvl w:val="1"/>
          <w:numId w:val="7"/>
        </w:numPr>
        <w:spacing w:line="276" w:lineRule="auto"/>
        <w:rPr>
          <w:rFonts w:cs="Times New Roman"/>
          <w:sz w:val="24"/>
          <w:szCs w:val="24"/>
        </w:rPr>
      </w:pPr>
      <w:r w:rsidRPr="00E33DBB">
        <w:rPr>
          <w:rFonts w:cs="Times New Roman"/>
          <w:sz w:val="24"/>
          <w:szCs w:val="24"/>
        </w:rPr>
        <w:t xml:space="preserve"> </w:t>
      </w:r>
      <w:r w:rsidR="003E5722" w:rsidRPr="00E33DBB">
        <w:rPr>
          <w:rFonts w:cs="Times New Roman"/>
          <w:sz w:val="24"/>
          <w:szCs w:val="24"/>
        </w:rPr>
        <w:t>Collaboration</w:t>
      </w:r>
      <w:r w:rsidR="006C0123" w:rsidRPr="00E33DBB">
        <w:rPr>
          <w:rFonts w:cs="Times New Roman"/>
          <w:sz w:val="24"/>
          <w:szCs w:val="24"/>
        </w:rPr>
        <w:t xml:space="preserve"> </w:t>
      </w:r>
      <w:r w:rsidRPr="00E33DBB">
        <w:rPr>
          <w:rFonts w:cs="Times New Roman"/>
          <w:sz w:val="24"/>
          <w:szCs w:val="24"/>
        </w:rPr>
        <w:t xml:space="preserve">with Subject Lecturers </w:t>
      </w:r>
    </w:p>
    <w:p w:rsidR="001E330B" w:rsidRPr="00E33DBB" w:rsidRDefault="006C0123" w:rsidP="00E33DBB">
      <w:pPr>
        <w:spacing w:line="276" w:lineRule="auto"/>
        <w:ind w:left="0" w:firstLine="0"/>
        <w:rPr>
          <w:rFonts w:cs="Times New Roman"/>
          <w:sz w:val="24"/>
          <w:szCs w:val="24"/>
        </w:rPr>
      </w:pPr>
      <w:r w:rsidRPr="00E33DBB">
        <w:rPr>
          <w:rFonts w:cs="Times New Roman"/>
          <w:sz w:val="24"/>
          <w:szCs w:val="24"/>
        </w:rPr>
        <w:t>In the current climate of higher education, where engagement with student learning is not rewarded and lecturers are under constant pressure to prod</w:t>
      </w:r>
      <w:r w:rsidR="00424010" w:rsidRPr="00E33DBB">
        <w:rPr>
          <w:rFonts w:cs="Times New Roman"/>
          <w:sz w:val="24"/>
          <w:szCs w:val="24"/>
        </w:rPr>
        <w:t xml:space="preserve">uce </w:t>
      </w:r>
      <w:r w:rsidR="002F33F3" w:rsidRPr="00E33DBB">
        <w:rPr>
          <w:rFonts w:cs="Times New Roman"/>
          <w:sz w:val="24"/>
          <w:szCs w:val="24"/>
        </w:rPr>
        <w:t>high impact research, it proved</w:t>
      </w:r>
      <w:r w:rsidRPr="00E33DBB">
        <w:rPr>
          <w:rFonts w:cs="Times New Roman"/>
          <w:sz w:val="24"/>
          <w:szCs w:val="24"/>
        </w:rPr>
        <w:t xml:space="preserve"> difficult</w:t>
      </w:r>
      <w:r w:rsidR="002F33F3" w:rsidRPr="00E33DBB">
        <w:rPr>
          <w:rFonts w:cs="Times New Roman"/>
          <w:sz w:val="24"/>
          <w:szCs w:val="24"/>
        </w:rPr>
        <w:t xml:space="preserve"> to entice academic staff to collaborate in a learning-oriented project. </w:t>
      </w:r>
      <w:r w:rsidR="004A0CA1" w:rsidRPr="00E33DBB">
        <w:rPr>
          <w:rFonts w:cs="Times New Roman"/>
          <w:sz w:val="24"/>
          <w:szCs w:val="24"/>
        </w:rPr>
        <w:t>We relied on</w:t>
      </w:r>
      <w:r w:rsidR="002F33F3" w:rsidRPr="00E33DBB">
        <w:rPr>
          <w:rFonts w:cs="Times New Roman"/>
          <w:sz w:val="24"/>
          <w:szCs w:val="24"/>
        </w:rPr>
        <w:t xml:space="preserve"> </w:t>
      </w:r>
      <w:r w:rsidR="00301A1B" w:rsidRPr="00E33DBB">
        <w:rPr>
          <w:rFonts w:cs="Times New Roman"/>
          <w:sz w:val="24"/>
          <w:szCs w:val="24"/>
        </w:rPr>
        <w:t>our contacts in the participating departments and recruited</w:t>
      </w:r>
      <w:r w:rsidR="002F33F3" w:rsidRPr="00E33DBB">
        <w:rPr>
          <w:rFonts w:cs="Times New Roman"/>
          <w:sz w:val="24"/>
          <w:szCs w:val="24"/>
        </w:rPr>
        <w:t xml:space="preserve"> lecturers </w:t>
      </w:r>
      <w:r w:rsidR="00301A1B" w:rsidRPr="00E33DBB">
        <w:rPr>
          <w:rFonts w:cs="Times New Roman"/>
          <w:sz w:val="24"/>
          <w:szCs w:val="24"/>
        </w:rPr>
        <w:t xml:space="preserve">who </w:t>
      </w:r>
      <w:r w:rsidR="004A0CA1" w:rsidRPr="00E33DBB">
        <w:rPr>
          <w:rFonts w:cs="Times New Roman"/>
          <w:sz w:val="24"/>
          <w:szCs w:val="24"/>
        </w:rPr>
        <w:t xml:space="preserve">we knew </w:t>
      </w:r>
      <w:r w:rsidR="00586174" w:rsidRPr="00E33DBB">
        <w:rPr>
          <w:rFonts w:cs="Times New Roman"/>
          <w:sz w:val="24"/>
          <w:szCs w:val="24"/>
        </w:rPr>
        <w:t>were interested in</w:t>
      </w:r>
      <w:r w:rsidR="002F33F3" w:rsidRPr="00E33DBB">
        <w:rPr>
          <w:rFonts w:cs="Times New Roman"/>
          <w:sz w:val="24"/>
          <w:szCs w:val="24"/>
        </w:rPr>
        <w:t xml:space="preserve"> students’ learning development</w:t>
      </w:r>
      <w:r w:rsidR="00301A1B" w:rsidRPr="00E33DBB">
        <w:rPr>
          <w:rFonts w:cs="Times New Roman"/>
          <w:sz w:val="24"/>
          <w:szCs w:val="24"/>
        </w:rPr>
        <w:t xml:space="preserve">. The lecturers were </w:t>
      </w:r>
      <w:r w:rsidR="00241FC5" w:rsidRPr="00E33DBB">
        <w:rPr>
          <w:rFonts w:cs="Times New Roman"/>
          <w:sz w:val="24"/>
          <w:szCs w:val="24"/>
        </w:rPr>
        <w:t xml:space="preserve">asked to identify a </w:t>
      </w:r>
      <w:r w:rsidR="001E330B" w:rsidRPr="00E33DBB">
        <w:rPr>
          <w:rFonts w:cs="Times New Roman"/>
          <w:sz w:val="24"/>
          <w:szCs w:val="24"/>
        </w:rPr>
        <w:t>target</w:t>
      </w:r>
      <w:r w:rsidR="00241FC5" w:rsidRPr="00E33DBB">
        <w:rPr>
          <w:rFonts w:cs="Times New Roman"/>
          <w:sz w:val="24"/>
          <w:szCs w:val="24"/>
        </w:rPr>
        <w:t xml:space="preserve"> genre for which they </w:t>
      </w:r>
      <w:r w:rsidR="00C53871" w:rsidRPr="00E33DBB">
        <w:rPr>
          <w:rFonts w:cs="Times New Roman"/>
          <w:sz w:val="24"/>
          <w:szCs w:val="24"/>
        </w:rPr>
        <w:t>felt</w:t>
      </w:r>
      <w:r w:rsidR="001E330B" w:rsidRPr="00E33DBB">
        <w:rPr>
          <w:rFonts w:cs="Times New Roman"/>
          <w:sz w:val="24"/>
          <w:szCs w:val="24"/>
        </w:rPr>
        <w:t xml:space="preserve"> teaching support</w:t>
      </w:r>
      <w:r w:rsidR="00C53871" w:rsidRPr="00E33DBB">
        <w:rPr>
          <w:rFonts w:cs="Times New Roman"/>
          <w:sz w:val="24"/>
          <w:szCs w:val="24"/>
        </w:rPr>
        <w:t xml:space="preserve"> was needed</w:t>
      </w:r>
      <w:r w:rsidR="00301A1B" w:rsidRPr="00E33DBB">
        <w:rPr>
          <w:rFonts w:cs="Times New Roman"/>
          <w:sz w:val="24"/>
          <w:szCs w:val="24"/>
        </w:rPr>
        <w:t xml:space="preserve">, and </w:t>
      </w:r>
      <w:r w:rsidR="00697B06" w:rsidRPr="00E33DBB">
        <w:rPr>
          <w:rFonts w:cs="Times New Roman"/>
          <w:sz w:val="24"/>
          <w:szCs w:val="24"/>
        </w:rPr>
        <w:t xml:space="preserve">to </w:t>
      </w:r>
      <w:r w:rsidR="00301A1B" w:rsidRPr="00E33DBB">
        <w:rPr>
          <w:rFonts w:cs="Times New Roman"/>
          <w:sz w:val="24"/>
          <w:szCs w:val="24"/>
        </w:rPr>
        <w:t>provide us with text examples that we</w:t>
      </w:r>
      <w:r w:rsidR="00C53871" w:rsidRPr="00E33DBB">
        <w:rPr>
          <w:rFonts w:cs="Times New Roman"/>
          <w:sz w:val="24"/>
          <w:szCs w:val="24"/>
        </w:rPr>
        <w:t>re assessed and accompanied by</w:t>
      </w:r>
      <w:r w:rsidR="00301A1B" w:rsidRPr="00E33DBB">
        <w:rPr>
          <w:rFonts w:cs="Times New Roman"/>
          <w:sz w:val="24"/>
          <w:szCs w:val="24"/>
        </w:rPr>
        <w:t xml:space="preserve"> f</w:t>
      </w:r>
      <w:r w:rsidR="00241FC5" w:rsidRPr="00E33DBB">
        <w:rPr>
          <w:rFonts w:cs="Times New Roman"/>
          <w:sz w:val="24"/>
          <w:szCs w:val="24"/>
        </w:rPr>
        <w:t>eedback comments.  The genres selected by the lecturers were</w:t>
      </w:r>
      <w:r w:rsidR="00301A1B" w:rsidRPr="00E33DBB">
        <w:rPr>
          <w:rFonts w:cs="Times New Roman"/>
          <w:sz w:val="24"/>
          <w:szCs w:val="24"/>
        </w:rPr>
        <w:t xml:space="preserve"> (1)</w:t>
      </w:r>
      <w:r w:rsidR="001E330B" w:rsidRPr="00E33DBB">
        <w:rPr>
          <w:rFonts w:cs="Times New Roman"/>
          <w:sz w:val="24"/>
          <w:szCs w:val="24"/>
        </w:rPr>
        <w:t xml:space="preserve"> the</w:t>
      </w:r>
      <w:r w:rsidR="00301A1B" w:rsidRPr="00E33DBB">
        <w:rPr>
          <w:rFonts w:cs="Times New Roman"/>
          <w:sz w:val="24"/>
          <w:szCs w:val="24"/>
        </w:rPr>
        <w:t xml:space="preserve"> argumentative </w:t>
      </w:r>
      <w:r w:rsidR="004A0E90" w:rsidRPr="00E33DBB">
        <w:rPr>
          <w:rFonts w:cs="Times New Roman"/>
          <w:sz w:val="24"/>
          <w:szCs w:val="24"/>
        </w:rPr>
        <w:t>essay</w:t>
      </w:r>
      <w:r w:rsidR="001E330B" w:rsidRPr="00E33DBB">
        <w:rPr>
          <w:rFonts w:cs="Times New Roman"/>
          <w:sz w:val="24"/>
          <w:szCs w:val="24"/>
        </w:rPr>
        <w:t xml:space="preserve"> for History, (2) the</w:t>
      </w:r>
      <w:r w:rsidR="00301A1B" w:rsidRPr="00E33DBB">
        <w:rPr>
          <w:rFonts w:cs="Times New Roman"/>
          <w:sz w:val="24"/>
          <w:szCs w:val="24"/>
        </w:rPr>
        <w:t xml:space="preserve"> </w:t>
      </w:r>
      <w:r w:rsidR="00682D5F" w:rsidRPr="00E33DBB">
        <w:rPr>
          <w:rFonts w:cs="Times New Roman"/>
          <w:sz w:val="24"/>
          <w:szCs w:val="24"/>
        </w:rPr>
        <w:t>critique</w:t>
      </w:r>
      <w:r w:rsidR="00B528FA" w:rsidRPr="00E33DBB">
        <w:rPr>
          <w:rStyle w:val="EndnoteReference"/>
          <w:rFonts w:cs="Times New Roman"/>
          <w:sz w:val="24"/>
          <w:szCs w:val="24"/>
        </w:rPr>
        <w:endnoteReference w:id="2"/>
      </w:r>
      <w:r w:rsidR="00DD5D88" w:rsidRPr="00E33DBB">
        <w:rPr>
          <w:rFonts w:cs="Times New Roman"/>
          <w:sz w:val="24"/>
          <w:szCs w:val="24"/>
        </w:rPr>
        <w:t xml:space="preserve"> </w:t>
      </w:r>
      <w:r w:rsidR="001E330B" w:rsidRPr="00E33DBB">
        <w:rPr>
          <w:rFonts w:cs="Times New Roman"/>
          <w:sz w:val="24"/>
          <w:szCs w:val="24"/>
        </w:rPr>
        <w:t>for Management, and (3) the</w:t>
      </w:r>
      <w:r w:rsidR="004A0E90" w:rsidRPr="00E33DBB">
        <w:rPr>
          <w:rFonts w:cs="Times New Roman"/>
          <w:sz w:val="24"/>
          <w:szCs w:val="24"/>
        </w:rPr>
        <w:t xml:space="preserve"> laboratory report for Pharmacy.</w:t>
      </w:r>
      <w:r w:rsidR="001E330B" w:rsidRPr="00E33DBB">
        <w:rPr>
          <w:rFonts w:cs="Times New Roman"/>
          <w:sz w:val="24"/>
          <w:szCs w:val="24"/>
        </w:rPr>
        <w:t xml:space="preserve"> The lecturers then gave us sets of high- and low-scoring exemplar texts together with their grades and feedback comments. </w:t>
      </w:r>
    </w:p>
    <w:p w:rsidR="006C0123" w:rsidRPr="00E33DBB" w:rsidRDefault="001E330B" w:rsidP="00E33DBB">
      <w:pPr>
        <w:spacing w:line="276" w:lineRule="auto"/>
        <w:ind w:left="0"/>
        <w:rPr>
          <w:rFonts w:cs="Times New Roman"/>
          <w:sz w:val="24"/>
          <w:szCs w:val="24"/>
        </w:rPr>
      </w:pPr>
      <w:r w:rsidRPr="00E33DBB">
        <w:rPr>
          <w:rFonts w:cs="Times New Roman"/>
          <w:sz w:val="24"/>
          <w:szCs w:val="24"/>
        </w:rPr>
        <w:t xml:space="preserve">Our task as EAP specialists was to analyse these exemplar texts and identify textual features and patterns that distinguished the quality </w:t>
      </w:r>
      <w:r w:rsidR="00B9207B" w:rsidRPr="00E33DBB">
        <w:rPr>
          <w:rFonts w:cs="Times New Roman"/>
          <w:sz w:val="24"/>
          <w:szCs w:val="24"/>
        </w:rPr>
        <w:t xml:space="preserve">of the texts. </w:t>
      </w:r>
      <w:r w:rsidRPr="00E33DBB">
        <w:rPr>
          <w:rFonts w:cs="Times New Roman"/>
          <w:sz w:val="24"/>
          <w:szCs w:val="24"/>
        </w:rPr>
        <w:t xml:space="preserve"> </w:t>
      </w:r>
      <w:r w:rsidR="00F02DF9" w:rsidRPr="00E33DBB">
        <w:rPr>
          <w:rFonts w:cs="Times New Roman"/>
          <w:sz w:val="24"/>
          <w:szCs w:val="24"/>
        </w:rPr>
        <w:t>Our way into the texts from unfamiliar disciplines began with a move analysis which gave us a sense of the schematic st</w:t>
      </w:r>
      <w:r w:rsidR="00755709" w:rsidRPr="00E33DBB">
        <w:rPr>
          <w:rFonts w:cs="Times New Roman"/>
          <w:sz w:val="24"/>
          <w:szCs w:val="24"/>
        </w:rPr>
        <w:t>ructure expected in the genre. T</w:t>
      </w:r>
      <w:r w:rsidR="00F02DF9" w:rsidRPr="00E33DBB">
        <w:rPr>
          <w:rFonts w:cs="Times New Roman"/>
          <w:sz w:val="24"/>
          <w:szCs w:val="24"/>
        </w:rPr>
        <w:t>he</w:t>
      </w:r>
      <w:r w:rsidR="00C53871" w:rsidRPr="00E33DBB">
        <w:rPr>
          <w:rFonts w:cs="Times New Roman"/>
          <w:sz w:val="24"/>
          <w:szCs w:val="24"/>
        </w:rPr>
        <w:t xml:space="preserve"> next step</w:t>
      </w:r>
      <w:r w:rsidR="00755709" w:rsidRPr="00E33DBB">
        <w:rPr>
          <w:rFonts w:cs="Times New Roman"/>
          <w:sz w:val="24"/>
          <w:szCs w:val="24"/>
        </w:rPr>
        <w:t xml:space="preserve"> </w:t>
      </w:r>
      <w:r w:rsidR="00C53871" w:rsidRPr="00E33DBB">
        <w:rPr>
          <w:rFonts w:cs="Times New Roman"/>
          <w:sz w:val="24"/>
          <w:szCs w:val="24"/>
        </w:rPr>
        <w:t>was</w:t>
      </w:r>
      <w:r w:rsidR="004A0CA1" w:rsidRPr="00E33DBB">
        <w:rPr>
          <w:rFonts w:cs="Times New Roman"/>
          <w:sz w:val="24"/>
          <w:szCs w:val="24"/>
        </w:rPr>
        <w:t xml:space="preserve"> </w:t>
      </w:r>
      <w:r w:rsidR="00E2174F" w:rsidRPr="00E33DBB">
        <w:rPr>
          <w:rFonts w:cs="Times New Roman"/>
          <w:sz w:val="24"/>
          <w:szCs w:val="24"/>
        </w:rPr>
        <w:t xml:space="preserve">a fine-grained analysis of </w:t>
      </w:r>
      <w:r w:rsidR="00C53871" w:rsidRPr="00E33DBB">
        <w:rPr>
          <w:rFonts w:cs="Times New Roman"/>
          <w:sz w:val="24"/>
          <w:szCs w:val="24"/>
        </w:rPr>
        <w:t>rhetorical</w:t>
      </w:r>
      <w:r w:rsidR="00F02DF9" w:rsidRPr="00E33DBB">
        <w:rPr>
          <w:rFonts w:cs="Times New Roman"/>
          <w:sz w:val="24"/>
          <w:szCs w:val="24"/>
        </w:rPr>
        <w:t xml:space="preserve"> and linguistic features </w:t>
      </w:r>
      <w:r w:rsidR="00C53871" w:rsidRPr="00E33DBB">
        <w:rPr>
          <w:rFonts w:cs="Times New Roman"/>
          <w:sz w:val="24"/>
          <w:szCs w:val="24"/>
        </w:rPr>
        <w:t>within the moves</w:t>
      </w:r>
      <w:r w:rsidR="00755709" w:rsidRPr="00E33DBB">
        <w:rPr>
          <w:rFonts w:cs="Times New Roman"/>
          <w:sz w:val="24"/>
          <w:szCs w:val="24"/>
        </w:rPr>
        <w:t xml:space="preserve">, in the same way as we did with the Applied Linguistics texts; however, in the other disciplines </w:t>
      </w:r>
      <w:r w:rsidR="00DA1F85" w:rsidRPr="00E33DBB">
        <w:rPr>
          <w:rFonts w:cs="Times New Roman"/>
          <w:sz w:val="24"/>
          <w:szCs w:val="24"/>
        </w:rPr>
        <w:t>we much relied</w:t>
      </w:r>
      <w:r w:rsidR="00AB7CDE" w:rsidRPr="00E33DBB">
        <w:rPr>
          <w:rFonts w:cs="Times New Roman"/>
          <w:sz w:val="24"/>
          <w:szCs w:val="24"/>
        </w:rPr>
        <w:t xml:space="preserve"> </w:t>
      </w:r>
      <w:r w:rsidR="00DA1F85" w:rsidRPr="00E33DBB">
        <w:rPr>
          <w:rFonts w:cs="Times New Roman"/>
          <w:sz w:val="24"/>
          <w:szCs w:val="24"/>
        </w:rPr>
        <w:t>on the additional information, such as grades and feedback comments</w:t>
      </w:r>
      <w:r w:rsidR="00AB7CDE" w:rsidRPr="00E33DBB">
        <w:rPr>
          <w:rFonts w:cs="Times New Roman"/>
          <w:sz w:val="24"/>
          <w:szCs w:val="24"/>
        </w:rPr>
        <w:t>, and</w:t>
      </w:r>
      <w:r w:rsidR="00DA1F85" w:rsidRPr="00E33DBB">
        <w:rPr>
          <w:rFonts w:cs="Times New Roman"/>
          <w:sz w:val="24"/>
          <w:szCs w:val="24"/>
        </w:rPr>
        <w:t xml:space="preserve"> on consultation with the subject lecturers for clarification of the discourse-specific conventions.</w:t>
      </w:r>
      <w:r w:rsidR="00AB7CDE" w:rsidRPr="00E33DBB">
        <w:rPr>
          <w:rFonts w:cs="Times New Roman"/>
          <w:sz w:val="24"/>
          <w:szCs w:val="24"/>
        </w:rPr>
        <w:t xml:space="preserve"> It is i</w:t>
      </w:r>
      <w:r w:rsidR="000C0C74" w:rsidRPr="00E33DBB">
        <w:rPr>
          <w:rFonts w:cs="Times New Roman"/>
          <w:sz w:val="24"/>
          <w:szCs w:val="24"/>
        </w:rPr>
        <w:t>mportant to remember</w:t>
      </w:r>
      <w:r w:rsidR="00AB7CDE" w:rsidRPr="00E33DBB">
        <w:rPr>
          <w:rFonts w:cs="Times New Roman"/>
          <w:sz w:val="24"/>
          <w:szCs w:val="24"/>
        </w:rPr>
        <w:t xml:space="preserve"> that all this crucial information is usually not available to novice stude</w:t>
      </w:r>
      <w:r w:rsidR="00C53871" w:rsidRPr="00E33DBB">
        <w:rPr>
          <w:rFonts w:cs="Times New Roman"/>
          <w:sz w:val="24"/>
          <w:szCs w:val="24"/>
        </w:rPr>
        <w:t>nts.</w:t>
      </w:r>
      <w:r w:rsidR="006A59FC" w:rsidRPr="00E33DBB">
        <w:rPr>
          <w:rFonts w:cs="Times New Roman"/>
          <w:sz w:val="24"/>
          <w:szCs w:val="24"/>
        </w:rPr>
        <w:t xml:space="preserve"> We regarded it as beneficial that we were ‘novices’ in three of the </w:t>
      </w:r>
      <w:r w:rsidR="009C2768" w:rsidRPr="00E33DBB">
        <w:rPr>
          <w:rFonts w:cs="Times New Roman"/>
          <w:sz w:val="24"/>
          <w:szCs w:val="24"/>
        </w:rPr>
        <w:t>disciplinary genres for which we developed resources, as this s</w:t>
      </w:r>
      <w:r w:rsidR="000C0C74" w:rsidRPr="00E33DBB">
        <w:rPr>
          <w:rFonts w:cs="Times New Roman"/>
          <w:sz w:val="24"/>
          <w:szCs w:val="24"/>
        </w:rPr>
        <w:t>ituation provided us with a clear</w:t>
      </w:r>
      <w:r w:rsidR="009C2768" w:rsidRPr="00E33DBB">
        <w:rPr>
          <w:rFonts w:cs="Times New Roman"/>
          <w:sz w:val="24"/>
          <w:szCs w:val="24"/>
        </w:rPr>
        <w:t xml:space="preserve"> understanding of students’ learning needs. </w:t>
      </w:r>
      <w:r w:rsidR="00755709" w:rsidRPr="00E33DBB">
        <w:rPr>
          <w:rFonts w:cs="Times New Roman"/>
          <w:sz w:val="24"/>
          <w:szCs w:val="24"/>
        </w:rPr>
        <w:t>Interestingly, our genre-analytical work was more or less identical to the tasks we set students in the learning/teaching resources.</w:t>
      </w:r>
    </w:p>
    <w:p w:rsidR="003E5722" w:rsidRPr="00E33DBB" w:rsidRDefault="00C53871" w:rsidP="00E33DBB">
      <w:pPr>
        <w:spacing w:line="276" w:lineRule="auto"/>
        <w:ind w:left="0"/>
        <w:rPr>
          <w:rFonts w:cs="Times New Roman"/>
          <w:sz w:val="24"/>
          <w:szCs w:val="24"/>
        </w:rPr>
      </w:pPr>
      <w:r w:rsidRPr="00E33DBB">
        <w:rPr>
          <w:rFonts w:cs="Times New Roman"/>
          <w:sz w:val="24"/>
          <w:szCs w:val="24"/>
        </w:rPr>
        <w:t xml:space="preserve">In addition to providing text examples and information on disciplinary conventions, the </w:t>
      </w:r>
      <w:r w:rsidR="0005404E" w:rsidRPr="00E33DBB">
        <w:rPr>
          <w:rFonts w:cs="Times New Roman"/>
          <w:sz w:val="24"/>
          <w:szCs w:val="24"/>
        </w:rPr>
        <w:t xml:space="preserve">subject lecturers were also asked to co-teach in </w:t>
      </w:r>
      <w:r w:rsidRPr="00E33DBB">
        <w:rPr>
          <w:rFonts w:cs="Times New Roman"/>
          <w:sz w:val="24"/>
          <w:szCs w:val="24"/>
        </w:rPr>
        <w:t>the</w:t>
      </w:r>
      <w:r w:rsidR="00025715" w:rsidRPr="00E33DBB">
        <w:rPr>
          <w:rFonts w:cs="Times New Roman"/>
          <w:sz w:val="24"/>
          <w:szCs w:val="24"/>
        </w:rPr>
        <w:t xml:space="preserve"> academic literacy workshops</w:t>
      </w:r>
      <w:r w:rsidRPr="00E33DBB">
        <w:rPr>
          <w:rFonts w:cs="Times New Roman"/>
          <w:sz w:val="24"/>
          <w:szCs w:val="24"/>
        </w:rPr>
        <w:t xml:space="preserve"> where the </w:t>
      </w:r>
      <w:r w:rsidR="0005404E" w:rsidRPr="00E33DBB">
        <w:rPr>
          <w:rFonts w:cs="Times New Roman"/>
          <w:sz w:val="24"/>
          <w:szCs w:val="24"/>
        </w:rPr>
        <w:t>teaching/learning resources were presented</w:t>
      </w:r>
      <w:r w:rsidR="00025715" w:rsidRPr="00E33DBB">
        <w:rPr>
          <w:rFonts w:cs="Times New Roman"/>
          <w:sz w:val="24"/>
          <w:szCs w:val="24"/>
        </w:rPr>
        <w:t xml:space="preserve">. </w:t>
      </w:r>
    </w:p>
    <w:p w:rsidR="003E5722" w:rsidRPr="00E33DBB" w:rsidRDefault="00C35723" w:rsidP="00E33DBB">
      <w:pPr>
        <w:pStyle w:val="ListParagraph"/>
        <w:numPr>
          <w:ilvl w:val="1"/>
          <w:numId w:val="7"/>
        </w:numPr>
        <w:spacing w:line="276" w:lineRule="auto"/>
        <w:rPr>
          <w:rFonts w:cs="Times New Roman"/>
          <w:sz w:val="24"/>
          <w:szCs w:val="24"/>
        </w:rPr>
      </w:pPr>
      <w:r w:rsidRPr="00E33DBB">
        <w:rPr>
          <w:rFonts w:cs="Times New Roman"/>
          <w:sz w:val="24"/>
          <w:szCs w:val="24"/>
        </w:rPr>
        <w:t xml:space="preserve"> </w:t>
      </w:r>
      <w:r w:rsidR="003E5722" w:rsidRPr="00E33DBB">
        <w:rPr>
          <w:rFonts w:cs="Times New Roman"/>
          <w:sz w:val="24"/>
          <w:szCs w:val="24"/>
        </w:rPr>
        <w:t>Implementation</w:t>
      </w:r>
      <w:r w:rsidRPr="00E33DBB">
        <w:rPr>
          <w:rFonts w:cs="Times New Roman"/>
          <w:sz w:val="24"/>
          <w:szCs w:val="24"/>
        </w:rPr>
        <w:t xml:space="preserve"> and E</w:t>
      </w:r>
      <w:r w:rsidR="003E5722" w:rsidRPr="00E33DBB">
        <w:rPr>
          <w:rFonts w:cs="Times New Roman"/>
          <w:sz w:val="24"/>
          <w:szCs w:val="24"/>
        </w:rPr>
        <w:t>valuation</w:t>
      </w:r>
    </w:p>
    <w:p w:rsidR="003E5722" w:rsidRPr="00E33DBB" w:rsidRDefault="009C2768" w:rsidP="00E33DBB">
      <w:pPr>
        <w:spacing w:line="276" w:lineRule="auto"/>
        <w:ind w:left="0" w:firstLine="0"/>
        <w:rPr>
          <w:rFonts w:cs="Times New Roman"/>
          <w:sz w:val="24"/>
          <w:szCs w:val="24"/>
        </w:rPr>
      </w:pPr>
      <w:r w:rsidRPr="00E33DBB">
        <w:rPr>
          <w:rFonts w:cs="Times New Roman"/>
          <w:sz w:val="24"/>
          <w:szCs w:val="24"/>
        </w:rPr>
        <w:t xml:space="preserve">The academic literacy workshops were an extra-curricular offer to all students in the respective study programmes. </w:t>
      </w:r>
      <w:r w:rsidR="00D43EB0" w:rsidRPr="00E33DBB">
        <w:rPr>
          <w:rFonts w:cs="Times New Roman"/>
          <w:sz w:val="24"/>
          <w:szCs w:val="24"/>
        </w:rPr>
        <w:t xml:space="preserve">They were strategically timed at the periods when the students were working on an assignment in the target genre. </w:t>
      </w:r>
      <w:r w:rsidRPr="00E33DBB">
        <w:rPr>
          <w:rFonts w:cs="Times New Roman"/>
          <w:sz w:val="24"/>
          <w:szCs w:val="24"/>
        </w:rPr>
        <w:t xml:space="preserve">Students were given a </w:t>
      </w:r>
      <w:r w:rsidR="008952E0" w:rsidRPr="00E33DBB">
        <w:rPr>
          <w:rFonts w:cs="Times New Roman"/>
          <w:sz w:val="24"/>
          <w:szCs w:val="24"/>
        </w:rPr>
        <w:t>mat</w:t>
      </w:r>
      <w:r w:rsidR="00FF36EE" w:rsidRPr="00E33DBB">
        <w:rPr>
          <w:rFonts w:cs="Times New Roman"/>
          <w:sz w:val="24"/>
          <w:szCs w:val="24"/>
        </w:rPr>
        <w:t>erials pack</w:t>
      </w:r>
      <w:r w:rsidR="008952E0" w:rsidRPr="00E33DBB">
        <w:rPr>
          <w:rFonts w:cs="Times New Roman"/>
          <w:sz w:val="24"/>
          <w:szCs w:val="24"/>
        </w:rPr>
        <w:t xml:space="preserve">, consisting of (1) three high-scoring text examples with commentary, (2) one high-scoring text example for which students had to write a commentary, (3) a ‘Notes’ section in which students were asked to list their observations of expected features of successful writing, (4) two low-scoring text examples with commentary, and (5) a reflection section. The instructional approach </w:t>
      </w:r>
      <w:r w:rsidR="00E76F9E" w:rsidRPr="00E33DBB">
        <w:rPr>
          <w:rFonts w:cs="Times New Roman"/>
          <w:sz w:val="24"/>
          <w:szCs w:val="24"/>
        </w:rPr>
        <w:t>was underpinned by social constructivist theory</w:t>
      </w:r>
      <w:r w:rsidR="00FF36EE" w:rsidRPr="00E33DBB">
        <w:rPr>
          <w:rFonts w:cs="Times New Roman"/>
          <w:sz w:val="24"/>
          <w:szCs w:val="24"/>
        </w:rPr>
        <w:t>,</w:t>
      </w:r>
      <w:r w:rsidR="00E76F9E" w:rsidRPr="00E33DBB">
        <w:rPr>
          <w:rFonts w:cs="Times New Roman"/>
          <w:sz w:val="24"/>
          <w:szCs w:val="24"/>
        </w:rPr>
        <w:t xml:space="preserve"> which understand</w:t>
      </w:r>
      <w:r w:rsidR="000C0C74" w:rsidRPr="00E33DBB">
        <w:rPr>
          <w:rFonts w:cs="Times New Roman"/>
          <w:sz w:val="24"/>
          <w:szCs w:val="24"/>
        </w:rPr>
        <w:t>s</w:t>
      </w:r>
      <w:r w:rsidR="00E76F9E" w:rsidRPr="00E33DBB">
        <w:rPr>
          <w:rFonts w:cs="Times New Roman"/>
          <w:sz w:val="24"/>
          <w:szCs w:val="24"/>
        </w:rPr>
        <w:t xml:space="preserve"> learning as occurring through so</w:t>
      </w:r>
      <w:r w:rsidR="00AF055C" w:rsidRPr="00E33DBB">
        <w:rPr>
          <w:rFonts w:cs="Times New Roman"/>
          <w:sz w:val="24"/>
          <w:szCs w:val="24"/>
        </w:rPr>
        <w:t>cial interaction</w:t>
      </w:r>
      <w:r w:rsidR="002B1CD3" w:rsidRPr="00E33DBB">
        <w:rPr>
          <w:rFonts w:cs="Times New Roman"/>
          <w:sz w:val="24"/>
          <w:szCs w:val="24"/>
        </w:rPr>
        <w:t xml:space="preserve"> (e.g. Bruner 1966)</w:t>
      </w:r>
      <w:r w:rsidR="00FF36EE" w:rsidRPr="00E33DBB">
        <w:rPr>
          <w:rFonts w:cs="Times New Roman"/>
          <w:sz w:val="24"/>
          <w:szCs w:val="24"/>
        </w:rPr>
        <w:t>,</w:t>
      </w:r>
      <w:r w:rsidR="00E76F9E" w:rsidRPr="00E33DBB">
        <w:rPr>
          <w:rFonts w:cs="Times New Roman"/>
          <w:sz w:val="24"/>
          <w:szCs w:val="24"/>
        </w:rPr>
        <w:t xml:space="preserve"> and </w:t>
      </w:r>
      <w:r w:rsidR="008952E0" w:rsidRPr="00E33DBB">
        <w:rPr>
          <w:rFonts w:cs="Times New Roman"/>
          <w:sz w:val="24"/>
          <w:szCs w:val="24"/>
        </w:rPr>
        <w:t>followed the Sydney School’s teaching/learning cycle (</w:t>
      </w:r>
      <w:r w:rsidR="00E76F9E" w:rsidRPr="00E33DBB">
        <w:rPr>
          <w:rFonts w:cs="Times New Roman"/>
          <w:sz w:val="24"/>
          <w:szCs w:val="24"/>
        </w:rPr>
        <w:t>Rothery 1996).</w:t>
      </w:r>
      <w:r w:rsidR="00DB6C49" w:rsidRPr="00E33DBB">
        <w:rPr>
          <w:rFonts w:cs="Times New Roman"/>
          <w:sz w:val="24"/>
          <w:szCs w:val="24"/>
        </w:rPr>
        <w:t xml:space="preserve"> </w:t>
      </w:r>
      <w:r w:rsidR="00284962" w:rsidRPr="00E33DBB">
        <w:rPr>
          <w:rFonts w:cs="Times New Roman"/>
          <w:sz w:val="24"/>
          <w:szCs w:val="24"/>
        </w:rPr>
        <w:t xml:space="preserve">The cycle moves from the teacher-supported phases of ‘Deconstruction’  and ‘Joint Construction’ to ‘Independent Construction’. </w:t>
      </w:r>
      <w:r w:rsidR="000C0C74" w:rsidRPr="00E33DBB">
        <w:rPr>
          <w:rFonts w:cs="Times New Roman"/>
          <w:sz w:val="24"/>
          <w:szCs w:val="24"/>
        </w:rPr>
        <w:t>In the deconstruction phase, the student groups analysed and discussed the text examples; the EAP and subject specialist were available for advice and were frequently cons</w:t>
      </w:r>
      <w:r w:rsidR="00D43EB0" w:rsidRPr="00E33DBB">
        <w:rPr>
          <w:rFonts w:cs="Times New Roman"/>
          <w:sz w:val="24"/>
          <w:szCs w:val="24"/>
        </w:rPr>
        <w:t>ulted and involved in the discussions</w:t>
      </w:r>
      <w:r w:rsidR="000C0C74" w:rsidRPr="00E33DBB">
        <w:rPr>
          <w:rFonts w:cs="Times New Roman"/>
          <w:sz w:val="24"/>
          <w:szCs w:val="24"/>
        </w:rPr>
        <w:t xml:space="preserve">. </w:t>
      </w:r>
      <w:r w:rsidR="00FF36EE" w:rsidRPr="00E33DBB">
        <w:rPr>
          <w:rFonts w:cs="Times New Roman"/>
          <w:sz w:val="24"/>
          <w:szCs w:val="24"/>
        </w:rPr>
        <w:t>The s</w:t>
      </w:r>
      <w:r w:rsidR="000C0C74" w:rsidRPr="00E33DBB">
        <w:rPr>
          <w:rFonts w:cs="Times New Roman"/>
          <w:sz w:val="24"/>
          <w:szCs w:val="24"/>
        </w:rPr>
        <w:t xml:space="preserve">tudents had been asked to bring </w:t>
      </w:r>
      <w:r w:rsidR="00D43EB0" w:rsidRPr="00E33DBB">
        <w:rPr>
          <w:rFonts w:cs="Times New Roman"/>
          <w:sz w:val="24"/>
          <w:szCs w:val="24"/>
        </w:rPr>
        <w:t xml:space="preserve">their assignment </w:t>
      </w:r>
      <w:r w:rsidR="000C0C74" w:rsidRPr="00E33DBB">
        <w:rPr>
          <w:rFonts w:cs="Times New Roman"/>
          <w:sz w:val="24"/>
          <w:szCs w:val="24"/>
        </w:rPr>
        <w:t>dra</w:t>
      </w:r>
      <w:r w:rsidR="00D43EB0" w:rsidRPr="00E33DBB">
        <w:rPr>
          <w:rFonts w:cs="Times New Roman"/>
          <w:sz w:val="24"/>
          <w:szCs w:val="24"/>
        </w:rPr>
        <w:t xml:space="preserve">fts </w:t>
      </w:r>
      <w:r w:rsidR="000C0C74" w:rsidRPr="00E33DBB">
        <w:rPr>
          <w:rFonts w:cs="Times New Roman"/>
          <w:sz w:val="24"/>
          <w:szCs w:val="24"/>
        </w:rPr>
        <w:t>to the workshop</w:t>
      </w:r>
      <w:r w:rsidR="00FF36EE" w:rsidRPr="00E33DBB">
        <w:rPr>
          <w:rFonts w:cs="Times New Roman"/>
          <w:sz w:val="24"/>
          <w:szCs w:val="24"/>
        </w:rPr>
        <w:t>, and in the joint construction phase, they applied what they had learned in the deconstruction phase in peer-editing the drafts</w:t>
      </w:r>
      <w:r w:rsidR="00D43EB0" w:rsidRPr="00E33DBB">
        <w:rPr>
          <w:rFonts w:cs="Times New Roman"/>
          <w:sz w:val="24"/>
          <w:szCs w:val="24"/>
        </w:rPr>
        <w:t>. Independent construction would then happen outside the classroom, when students finalised their assignments.</w:t>
      </w:r>
      <w:r w:rsidR="006A67AD" w:rsidRPr="00E33DBB">
        <w:rPr>
          <w:rFonts w:cs="Times New Roman"/>
          <w:sz w:val="24"/>
          <w:szCs w:val="24"/>
        </w:rPr>
        <w:t xml:space="preserve"> </w:t>
      </w:r>
    </w:p>
    <w:p w:rsidR="003B1530" w:rsidRPr="00E33DBB" w:rsidRDefault="00E21812" w:rsidP="00E33DBB">
      <w:pPr>
        <w:spacing w:line="276" w:lineRule="auto"/>
        <w:ind w:left="0"/>
        <w:rPr>
          <w:rFonts w:cs="Times New Roman"/>
          <w:sz w:val="24"/>
          <w:szCs w:val="24"/>
        </w:rPr>
      </w:pPr>
      <w:r w:rsidRPr="00E33DBB">
        <w:rPr>
          <w:rFonts w:cs="Times New Roman"/>
          <w:sz w:val="24"/>
          <w:szCs w:val="24"/>
        </w:rPr>
        <w:t>Three methods were used to evaluate this approach</w:t>
      </w:r>
      <w:r w:rsidR="003B1530" w:rsidRPr="00E33DBB">
        <w:rPr>
          <w:rFonts w:cs="Times New Roman"/>
          <w:sz w:val="24"/>
          <w:szCs w:val="24"/>
        </w:rPr>
        <w:t>, i.e. questionnaires, recordings of the group interactions, and tracking the changes that students made to their drafts in the joint construction phase</w:t>
      </w:r>
      <w:r w:rsidR="00C5245C" w:rsidRPr="00E33DBB">
        <w:rPr>
          <w:rFonts w:cs="Times New Roman"/>
          <w:sz w:val="24"/>
          <w:szCs w:val="24"/>
        </w:rPr>
        <w:t>. The q</w:t>
      </w:r>
      <w:r w:rsidR="001A2BAC" w:rsidRPr="00E33DBB">
        <w:rPr>
          <w:rFonts w:cs="Times New Roman"/>
          <w:sz w:val="24"/>
          <w:szCs w:val="24"/>
        </w:rPr>
        <w:t xml:space="preserve">uestionnaire responses were highly positive; </w:t>
      </w:r>
      <w:r w:rsidR="002719B3" w:rsidRPr="00E33DBB">
        <w:rPr>
          <w:rFonts w:cs="Times New Roman"/>
          <w:sz w:val="24"/>
          <w:szCs w:val="24"/>
        </w:rPr>
        <w:t>a</w:t>
      </w:r>
      <w:r w:rsidR="002719B3" w:rsidRPr="00E33DBB">
        <w:rPr>
          <w:rFonts w:cs="Times New Roman"/>
          <w:sz w:val="24"/>
          <w:szCs w:val="24"/>
          <w:lang w:eastAsia="en-US"/>
        </w:rPr>
        <w:t>lmost all respondents regarded the materials as very useful/useful fo</w:t>
      </w:r>
      <w:r w:rsidR="006A67AD" w:rsidRPr="00E33DBB">
        <w:rPr>
          <w:rFonts w:cs="Times New Roman"/>
          <w:sz w:val="24"/>
          <w:szCs w:val="24"/>
          <w:lang w:eastAsia="en-US"/>
        </w:rPr>
        <w:t>r writing their next assignments</w:t>
      </w:r>
      <w:r w:rsidR="002719B3" w:rsidRPr="00E33DBB">
        <w:rPr>
          <w:rFonts w:cs="Times New Roman"/>
          <w:sz w:val="24"/>
          <w:szCs w:val="24"/>
          <w:lang w:eastAsia="en-US"/>
        </w:rPr>
        <w:t xml:space="preserve">. </w:t>
      </w:r>
      <w:r w:rsidR="002719B3" w:rsidRPr="00E33DBB">
        <w:rPr>
          <w:rFonts w:cs="Times New Roman"/>
          <w:sz w:val="24"/>
          <w:szCs w:val="24"/>
        </w:rPr>
        <w:t>Comments in</w:t>
      </w:r>
      <w:r w:rsidRPr="00E33DBB">
        <w:rPr>
          <w:rFonts w:cs="Times New Roman"/>
          <w:sz w:val="24"/>
          <w:szCs w:val="24"/>
        </w:rPr>
        <w:t xml:space="preserve"> the</w:t>
      </w:r>
      <w:r w:rsidR="001A2BAC" w:rsidRPr="00E33DBB">
        <w:rPr>
          <w:rFonts w:cs="Times New Roman"/>
          <w:sz w:val="24"/>
          <w:szCs w:val="24"/>
        </w:rPr>
        <w:t xml:space="preserve"> open</w:t>
      </w:r>
      <w:r w:rsidR="002719B3" w:rsidRPr="00E33DBB">
        <w:rPr>
          <w:rFonts w:cs="Times New Roman"/>
          <w:sz w:val="24"/>
          <w:szCs w:val="24"/>
        </w:rPr>
        <w:t xml:space="preserve">-ended questions </w:t>
      </w:r>
      <w:r w:rsidR="001A2BAC" w:rsidRPr="00E33DBB">
        <w:rPr>
          <w:rFonts w:cs="Times New Roman"/>
          <w:sz w:val="24"/>
          <w:szCs w:val="24"/>
        </w:rPr>
        <w:t>valued</w:t>
      </w:r>
      <w:r w:rsidRPr="00E33DBB">
        <w:rPr>
          <w:rFonts w:cs="Times New Roman"/>
          <w:sz w:val="24"/>
          <w:szCs w:val="24"/>
        </w:rPr>
        <w:t xml:space="preserve"> </w:t>
      </w:r>
      <w:r w:rsidR="002719B3" w:rsidRPr="00E33DBB">
        <w:rPr>
          <w:rFonts w:cs="Times New Roman"/>
          <w:sz w:val="24"/>
          <w:szCs w:val="24"/>
        </w:rPr>
        <w:t xml:space="preserve">in particular </w:t>
      </w:r>
      <w:r w:rsidR="003E3E79" w:rsidRPr="00E33DBB">
        <w:rPr>
          <w:rFonts w:cs="Times New Roman"/>
          <w:sz w:val="24"/>
          <w:szCs w:val="24"/>
        </w:rPr>
        <w:t>the use</w:t>
      </w:r>
      <w:r w:rsidR="001428F5" w:rsidRPr="00E33DBB">
        <w:rPr>
          <w:rFonts w:cs="Times New Roman"/>
          <w:sz w:val="24"/>
          <w:szCs w:val="24"/>
        </w:rPr>
        <w:t xml:space="preserve"> of </w:t>
      </w:r>
      <w:r w:rsidR="00380161" w:rsidRPr="00E33DBB">
        <w:rPr>
          <w:rFonts w:cs="Times New Roman"/>
          <w:sz w:val="24"/>
          <w:szCs w:val="24"/>
        </w:rPr>
        <w:t>student</w:t>
      </w:r>
      <w:r w:rsidR="001428F5" w:rsidRPr="00E33DBB">
        <w:rPr>
          <w:rFonts w:cs="Times New Roman"/>
          <w:sz w:val="24"/>
          <w:szCs w:val="24"/>
        </w:rPr>
        <w:t xml:space="preserve"> (rather than expert)</w:t>
      </w:r>
      <w:r w:rsidR="00380161" w:rsidRPr="00E33DBB">
        <w:rPr>
          <w:rFonts w:cs="Times New Roman"/>
          <w:sz w:val="24"/>
          <w:szCs w:val="24"/>
        </w:rPr>
        <w:t xml:space="preserve"> texts, </w:t>
      </w:r>
      <w:r w:rsidRPr="00E33DBB">
        <w:rPr>
          <w:rFonts w:cs="Times New Roman"/>
          <w:sz w:val="24"/>
          <w:szCs w:val="24"/>
        </w:rPr>
        <w:t>the presentatio</w:t>
      </w:r>
      <w:r w:rsidR="00E75A72" w:rsidRPr="00E33DBB">
        <w:rPr>
          <w:rFonts w:cs="Times New Roman"/>
          <w:sz w:val="24"/>
          <w:szCs w:val="24"/>
        </w:rPr>
        <w:t>n of ‘bad’ examples</w:t>
      </w:r>
      <w:r w:rsidR="001A2BAC" w:rsidRPr="00E33DBB">
        <w:rPr>
          <w:rFonts w:cs="Times New Roman"/>
          <w:sz w:val="24"/>
          <w:szCs w:val="24"/>
        </w:rPr>
        <w:t xml:space="preserve">, and </w:t>
      </w:r>
      <w:r w:rsidRPr="00E33DBB">
        <w:rPr>
          <w:rFonts w:cs="Times New Roman"/>
          <w:sz w:val="24"/>
          <w:szCs w:val="24"/>
        </w:rPr>
        <w:t xml:space="preserve">the fact that the subject lecturer was available </w:t>
      </w:r>
      <w:r w:rsidR="006A67AD" w:rsidRPr="00E33DBB">
        <w:rPr>
          <w:rFonts w:cs="Times New Roman"/>
          <w:sz w:val="24"/>
          <w:szCs w:val="24"/>
        </w:rPr>
        <w:t xml:space="preserve">for consultation. We transcribed the </w:t>
      </w:r>
      <w:r w:rsidR="003B1530" w:rsidRPr="00E33DBB">
        <w:rPr>
          <w:rFonts w:cs="Times New Roman"/>
          <w:sz w:val="24"/>
          <w:szCs w:val="24"/>
        </w:rPr>
        <w:t>recordings of the group interacti</w:t>
      </w:r>
      <w:r w:rsidR="00B7077D" w:rsidRPr="00E33DBB">
        <w:rPr>
          <w:rFonts w:cs="Times New Roman"/>
          <w:sz w:val="24"/>
          <w:szCs w:val="24"/>
        </w:rPr>
        <w:t>o</w:t>
      </w:r>
      <w:r w:rsidR="006A67AD" w:rsidRPr="00E33DBB">
        <w:rPr>
          <w:rFonts w:cs="Times New Roman"/>
          <w:sz w:val="24"/>
          <w:szCs w:val="24"/>
        </w:rPr>
        <w:t>ns</w:t>
      </w:r>
      <w:r w:rsidR="007D7D9D" w:rsidRPr="00E33DBB">
        <w:rPr>
          <w:rFonts w:cs="Times New Roman"/>
          <w:sz w:val="24"/>
          <w:szCs w:val="24"/>
        </w:rPr>
        <w:t xml:space="preserve"> and analysed </w:t>
      </w:r>
      <w:r w:rsidR="006A67AD" w:rsidRPr="00E33DBB">
        <w:rPr>
          <w:rFonts w:cs="Times New Roman"/>
          <w:sz w:val="24"/>
          <w:szCs w:val="24"/>
        </w:rPr>
        <w:t xml:space="preserve">them </w:t>
      </w:r>
      <w:r w:rsidR="007D7D9D" w:rsidRPr="00E33DBB">
        <w:rPr>
          <w:rFonts w:cs="Times New Roman"/>
          <w:sz w:val="24"/>
          <w:szCs w:val="24"/>
        </w:rPr>
        <w:t xml:space="preserve">for </w:t>
      </w:r>
      <w:r w:rsidR="007D7D9D" w:rsidRPr="00E33DBB">
        <w:rPr>
          <w:rFonts w:cs="Times New Roman"/>
          <w:sz w:val="24"/>
          <w:szCs w:val="24"/>
          <w:lang w:eastAsia="en-US"/>
        </w:rPr>
        <w:t xml:space="preserve">utterances which revealed that the </w:t>
      </w:r>
      <w:r w:rsidR="00364CAC" w:rsidRPr="00E33DBB">
        <w:rPr>
          <w:rFonts w:cs="Times New Roman"/>
          <w:sz w:val="24"/>
          <w:szCs w:val="24"/>
          <w:lang w:eastAsia="en-US"/>
        </w:rPr>
        <w:t>students ga</w:t>
      </w:r>
      <w:r w:rsidR="006A67AD" w:rsidRPr="00E33DBB">
        <w:rPr>
          <w:rFonts w:cs="Times New Roman"/>
          <w:sz w:val="24"/>
          <w:szCs w:val="24"/>
          <w:lang w:eastAsia="en-US"/>
        </w:rPr>
        <w:t xml:space="preserve">ined new insights </w:t>
      </w:r>
      <w:r w:rsidR="00364CAC" w:rsidRPr="00E33DBB">
        <w:rPr>
          <w:rFonts w:cs="Times New Roman"/>
          <w:sz w:val="24"/>
          <w:szCs w:val="24"/>
          <w:lang w:eastAsia="en-US"/>
        </w:rPr>
        <w:t>from the text analysis. We found evidence of learning in each recording, as well as in the tr</w:t>
      </w:r>
      <w:r w:rsidR="00BF609F" w:rsidRPr="00E33DBB">
        <w:rPr>
          <w:rFonts w:cs="Times New Roman"/>
          <w:sz w:val="24"/>
          <w:szCs w:val="24"/>
          <w:lang w:eastAsia="en-US"/>
        </w:rPr>
        <w:t>a</w:t>
      </w:r>
      <w:r w:rsidR="00364CAC" w:rsidRPr="00E33DBB">
        <w:rPr>
          <w:rFonts w:cs="Times New Roman"/>
          <w:sz w:val="24"/>
          <w:szCs w:val="24"/>
          <w:lang w:eastAsia="en-US"/>
        </w:rPr>
        <w:t>cked changes that students had made to their drafts (examples</w:t>
      </w:r>
      <w:r w:rsidR="00357646" w:rsidRPr="00E33DBB">
        <w:rPr>
          <w:rFonts w:cs="Times New Roman"/>
          <w:sz w:val="24"/>
          <w:szCs w:val="24"/>
          <w:lang w:eastAsia="en-US"/>
        </w:rPr>
        <w:t xml:space="preserve"> are given in Tribble &amp; Wingate</w:t>
      </w:r>
      <w:r w:rsidR="00364CAC" w:rsidRPr="00E33DBB">
        <w:rPr>
          <w:rFonts w:cs="Times New Roman"/>
          <w:sz w:val="24"/>
          <w:szCs w:val="24"/>
          <w:lang w:eastAsia="en-US"/>
        </w:rPr>
        <w:t xml:space="preserve"> 2013). </w:t>
      </w:r>
      <w:r w:rsidR="00357646" w:rsidRPr="00E33DBB">
        <w:rPr>
          <w:rFonts w:cs="Times New Roman"/>
          <w:sz w:val="24"/>
          <w:szCs w:val="24"/>
          <w:lang w:eastAsia="en-US"/>
        </w:rPr>
        <w:t>A drawback in the eval</w:t>
      </w:r>
      <w:r w:rsidR="006A67AD" w:rsidRPr="00E33DBB">
        <w:rPr>
          <w:rFonts w:cs="Times New Roman"/>
          <w:sz w:val="24"/>
          <w:szCs w:val="24"/>
          <w:lang w:eastAsia="en-US"/>
        </w:rPr>
        <w:t>uation was that we could not obtain</w:t>
      </w:r>
      <w:r w:rsidR="00357646" w:rsidRPr="00E33DBB">
        <w:rPr>
          <w:rFonts w:cs="Times New Roman"/>
          <w:sz w:val="24"/>
          <w:szCs w:val="24"/>
          <w:lang w:eastAsia="en-US"/>
        </w:rPr>
        <w:t xml:space="preserve"> performance data to gather evidence</w:t>
      </w:r>
      <w:r w:rsidR="006A67AD" w:rsidRPr="00E33DBB">
        <w:rPr>
          <w:rFonts w:cs="Times New Roman"/>
          <w:sz w:val="24"/>
          <w:szCs w:val="24"/>
          <w:lang w:eastAsia="en-US"/>
        </w:rPr>
        <w:t xml:space="preserve"> of the impact of our method on students’ assignments</w:t>
      </w:r>
      <w:r w:rsidR="00E146ED" w:rsidRPr="00E33DBB">
        <w:rPr>
          <w:rFonts w:cs="Times New Roman"/>
          <w:sz w:val="24"/>
          <w:szCs w:val="24"/>
          <w:lang w:eastAsia="en-US"/>
        </w:rPr>
        <w:t xml:space="preserve">. This was due to restrictions in the collaboration with the subject lecturers, which I </w:t>
      </w:r>
      <w:r w:rsidR="006A67AD" w:rsidRPr="00E33DBB">
        <w:rPr>
          <w:rFonts w:cs="Times New Roman"/>
          <w:sz w:val="24"/>
          <w:szCs w:val="24"/>
          <w:lang w:eastAsia="en-US"/>
        </w:rPr>
        <w:t>will explain next</w:t>
      </w:r>
      <w:r w:rsidR="00E146ED" w:rsidRPr="00E33DBB">
        <w:rPr>
          <w:rFonts w:cs="Times New Roman"/>
          <w:sz w:val="24"/>
          <w:szCs w:val="24"/>
          <w:lang w:eastAsia="en-US"/>
        </w:rPr>
        <w:t>.</w:t>
      </w:r>
    </w:p>
    <w:p w:rsidR="00E76F9E" w:rsidRPr="00E33DBB" w:rsidRDefault="00C35723" w:rsidP="00E33DBB">
      <w:pPr>
        <w:pStyle w:val="ListParagraph"/>
        <w:numPr>
          <w:ilvl w:val="1"/>
          <w:numId w:val="7"/>
        </w:numPr>
        <w:spacing w:line="276" w:lineRule="auto"/>
        <w:rPr>
          <w:rFonts w:cs="Times New Roman"/>
          <w:sz w:val="24"/>
          <w:szCs w:val="24"/>
        </w:rPr>
      </w:pPr>
      <w:r w:rsidRPr="00E33DBB">
        <w:rPr>
          <w:rFonts w:cs="Times New Roman"/>
          <w:sz w:val="24"/>
          <w:szCs w:val="24"/>
        </w:rPr>
        <w:t xml:space="preserve"> </w:t>
      </w:r>
      <w:r w:rsidR="00FD39DF" w:rsidRPr="00E33DBB">
        <w:rPr>
          <w:rFonts w:cs="Times New Roman"/>
          <w:sz w:val="24"/>
          <w:szCs w:val="24"/>
        </w:rPr>
        <w:t xml:space="preserve">Limitations </w:t>
      </w:r>
      <w:r w:rsidRPr="00E33DBB">
        <w:rPr>
          <w:rFonts w:cs="Times New Roman"/>
          <w:sz w:val="24"/>
          <w:szCs w:val="24"/>
        </w:rPr>
        <w:t>of the Academic Writing Intervention</w:t>
      </w:r>
    </w:p>
    <w:p w:rsidR="00A070AA" w:rsidRPr="00E33DBB" w:rsidRDefault="00B33E4D" w:rsidP="00E33DBB">
      <w:pPr>
        <w:spacing w:line="276" w:lineRule="auto"/>
        <w:ind w:left="0" w:firstLine="0"/>
        <w:rPr>
          <w:rFonts w:cs="Times New Roman"/>
          <w:sz w:val="24"/>
          <w:szCs w:val="24"/>
        </w:rPr>
      </w:pPr>
      <w:r w:rsidRPr="00E33DBB">
        <w:rPr>
          <w:rFonts w:cs="Times New Roman"/>
          <w:sz w:val="24"/>
          <w:szCs w:val="24"/>
        </w:rPr>
        <w:t xml:space="preserve">The project met </w:t>
      </w:r>
      <w:r w:rsidR="00380161" w:rsidRPr="00E33DBB">
        <w:rPr>
          <w:rFonts w:cs="Times New Roman"/>
          <w:sz w:val="24"/>
          <w:szCs w:val="24"/>
        </w:rPr>
        <w:t>the objectives, as</w:t>
      </w:r>
      <w:r w:rsidR="00DC0CA9" w:rsidRPr="00E33DBB">
        <w:rPr>
          <w:rFonts w:cs="Times New Roman"/>
          <w:sz w:val="24"/>
          <w:szCs w:val="24"/>
        </w:rPr>
        <w:t xml:space="preserve"> we identified </w:t>
      </w:r>
      <w:r w:rsidR="003E55ED" w:rsidRPr="00E33DBB">
        <w:rPr>
          <w:rFonts w:cs="Times New Roman"/>
          <w:sz w:val="24"/>
          <w:szCs w:val="24"/>
        </w:rPr>
        <w:t>a specific method for academic literacy instruc</w:t>
      </w:r>
      <w:r w:rsidR="00DC0CA9" w:rsidRPr="00E33DBB">
        <w:rPr>
          <w:rFonts w:cs="Times New Roman"/>
          <w:sz w:val="24"/>
          <w:szCs w:val="24"/>
        </w:rPr>
        <w:t>tion, which can easily be applied to other disciplines</w:t>
      </w:r>
      <w:r w:rsidR="003E55ED" w:rsidRPr="00E33DBB">
        <w:rPr>
          <w:rFonts w:cs="Times New Roman"/>
          <w:sz w:val="24"/>
          <w:szCs w:val="24"/>
        </w:rPr>
        <w:t xml:space="preserve">.  We </w:t>
      </w:r>
      <w:r w:rsidR="00DC0CA9" w:rsidRPr="00E33DBB">
        <w:rPr>
          <w:rFonts w:cs="Times New Roman"/>
          <w:sz w:val="24"/>
          <w:szCs w:val="24"/>
        </w:rPr>
        <w:t>also identified</w:t>
      </w:r>
      <w:r w:rsidR="003E55ED" w:rsidRPr="00E33DBB">
        <w:rPr>
          <w:rFonts w:cs="Times New Roman"/>
          <w:sz w:val="24"/>
          <w:szCs w:val="24"/>
        </w:rPr>
        <w:t xml:space="preserve"> po</w:t>
      </w:r>
      <w:r w:rsidR="00273FB1" w:rsidRPr="00E33DBB">
        <w:rPr>
          <w:rFonts w:cs="Times New Roman"/>
          <w:sz w:val="24"/>
          <w:szCs w:val="24"/>
        </w:rPr>
        <w:t>ssible contributions that writing</w:t>
      </w:r>
      <w:r w:rsidR="003E55ED" w:rsidRPr="00E33DBB">
        <w:rPr>
          <w:rFonts w:cs="Times New Roman"/>
          <w:sz w:val="24"/>
          <w:szCs w:val="24"/>
        </w:rPr>
        <w:t xml:space="preserve"> experts and subject lecturers can make in a collaborative approach. </w:t>
      </w:r>
      <w:r w:rsidR="00543D6B" w:rsidRPr="00E33DBB">
        <w:rPr>
          <w:rFonts w:cs="Times New Roman"/>
          <w:sz w:val="24"/>
          <w:szCs w:val="24"/>
        </w:rPr>
        <w:t xml:space="preserve">Although genre pedagogies have been widely used </w:t>
      </w:r>
      <w:r w:rsidR="00273FB1" w:rsidRPr="00E33DBB">
        <w:rPr>
          <w:rFonts w:cs="Times New Roman"/>
          <w:sz w:val="24"/>
          <w:szCs w:val="24"/>
        </w:rPr>
        <w:t>since Swales’ (1981, 1990) seminal work</w:t>
      </w:r>
      <w:r w:rsidR="00543D6B" w:rsidRPr="00E33DBB">
        <w:rPr>
          <w:rFonts w:cs="Times New Roman"/>
          <w:sz w:val="24"/>
          <w:szCs w:val="24"/>
        </w:rPr>
        <w:t xml:space="preserve"> in move analysis, </w:t>
      </w:r>
      <w:r w:rsidR="00DC67DF" w:rsidRPr="00E33DBB">
        <w:rPr>
          <w:rFonts w:cs="Times New Roman"/>
          <w:sz w:val="24"/>
          <w:szCs w:val="24"/>
        </w:rPr>
        <w:t xml:space="preserve">our </w:t>
      </w:r>
      <w:r w:rsidR="00380161" w:rsidRPr="00E33DBB">
        <w:rPr>
          <w:rFonts w:cs="Times New Roman"/>
          <w:sz w:val="24"/>
          <w:szCs w:val="24"/>
        </w:rPr>
        <w:t xml:space="preserve">approach </w:t>
      </w:r>
      <w:r w:rsidR="003E3E79" w:rsidRPr="00E33DBB">
        <w:rPr>
          <w:rFonts w:cs="Times New Roman"/>
          <w:sz w:val="24"/>
          <w:szCs w:val="24"/>
        </w:rPr>
        <w:t>is original in the use of</w:t>
      </w:r>
      <w:r w:rsidR="00DC67DF" w:rsidRPr="00E33DBB">
        <w:rPr>
          <w:rFonts w:cs="Times New Roman"/>
          <w:sz w:val="24"/>
          <w:szCs w:val="24"/>
        </w:rPr>
        <w:t xml:space="preserve"> student genres, a feature that was highly </w:t>
      </w:r>
      <w:r w:rsidR="009C4569" w:rsidRPr="00E33DBB">
        <w:rPr>
          <w:rFonts w:cs="Times New Roman"/>
          <w:sz w:val="24"/>
          <w:szCs w:val="24"/>
        </w:rPr>
        <w:t xml:space="preserve">appreciated </w:t>
      </w:r>
      <w:r w:rsidR="00DC67DF" w:rsidRPr="00E33DBB">
        <w:rPr>
          <w:rFonts w:cs="Times New Roman"/>
          <w:sz w:val="24"/>
          <w:szCs w:val="24"/>
        </w:rPr>
        <w:t xml:space="preserve">by the students because of the relevance to their own writing. </w:t>
      </w:r>
      <w:r w:rsidR="00F7573A" w:rsidRPr="00E33DBB">
        <w:rPr>
          <w:rFonts w:cs="Times New Roman"/>
          <w:sz w:val="24"/>
          <w:szCs w:val="24"/>
        </w:rPr>
        <w:t xml:space="preserve">The positive </w:t>
      </w:r>
      <w:r w:rsidR="009C4569" w:rsidRPr="00E33DBB">
        <w:rPr>
          <w:rFonts w:cs="Times New Roman"/>
          <w:sz w:val="24"/>
          <w:szCs w:val="24"/>
        </w:rPr>
        <w:t>evaluation</w:t>
      </w:r>
      <w:r w:rsidR="00F7573A" w:rsidRPr="00E33DBB">
        <w:rPr>
          <w:rFonts w:cs="Times New Roman"/>
          <w:sz w:val="24"/>
          <w:szCs w:val="24"/>
        </w:rPr>
        <w:t xml:space="preserve"> results</w:t>
      </w:r>
      <w:r w:rsidR="009C4569" w:rsidRPr="00E33DBB">
        <w:rPr>
          <w:rFonts w:cs="Times New Roman"/>
          <w:sz w:val="24"/>
          <w:szCs w:val="24"/>
        </w:rPr>
        <w:t xml:space="preserve"> </w:t>
      </w:r>
      <w:r w:rsidR="00F7573A" w:rsidRPr="00E33DBB">
        <w:rPr>
          <w:rFonts w:cs="Times New Roman"/>
          <w:sz w:val="24"/>
          <w:szCs w:val="24"/>
        </w:rPr>
        <w:t>certainly encouraged us to recommend this instructional approach</w:t>
      </w:r>
      <w:r w:rsidR="008E3F90" w:rsidRPr="00E33DBB">
        <w:rPr>
          <w:rFonts w:cs="Times New Roman"/>
          <w:sz w:val="24"/>
          <w:szCs w:val="24"/>
        </w:rPr>
        <w:t xml:space="preserve"> within and beyond our institution through publications and staff development</w:t>
      </w:r>
      <w:r w:rsidR="00DD5D88" w:rsidRPr="00E33DBB">
        <w:rPr>
          <w:rFonts w:cs="Times New Roman"/>
          <w:sz w:val="24"/>
          <w:szCs w:val="24"/>
        </w:rPr>
        <w:t xml:space="preserve"> </w:t>
      </w:r>
      <w:r w:rsidR="008E3F90" w:rsidRPr="00E33DBB">
        <w:rPr>
          <w:rFonts w:cs="Times New Roman"/>
          <w:sz w:val="24"/>
          <w:szCs w:val="24"/>
        </w:rPr>
        <w:t>events</w:t>
      </w:r>
      <w:r w:rsidR="00F7573A" w:rsidRPr="00E33DBB">
        <w:rPr>
          <w:rFonts w:cs="Times New Roman"/>
          <w:sz w:val="24"/>
          <w:szCs w:val="24"/>
        </w:rPr>
        <w:t xml:space="preserve">. However, in view of student learning needs, </w:t>
      </w:r>
      <w:r w:rsidR="000C7F01" w:rsidRPr="00E33DBB">
        <w:rPr>
          <w:rFonts w:cs="Times New Roman"/>
          <w:sz w:val="24"/>
          <w:szCs w:val="24"/>
        </w:rPr>
        <w:t xml:space="preserve">which I </w:t>
      </w:r>
      <w:r w:rsidR="00F7573A" w:rsidRPr="00E33DBB">
        <w:rPr>
          <w:rFonts w:cs="Times New Roman"/>
          <w:sz w:val="24"/>
          <w:szCs w:val="24"/>
        </w:rPr>
        <w:t>discussed earlier, the approach has clear shortcomin</w:t>
      </w:r>
      <w:r w:rsidR="008E3F90" w:rsidRPr="00E33DBB">
        <w:rPr>
          <w:rFonts w:cs="Times New Roman"/>
          <w:sz w:val="24"/>
          <w:szCs w:val="24"/>
        </w:rPr>
        <w:t>gs. One is that it only partially addressed student needs by fo</w:t>
      </w:r>
      <w:r w:rsidR="000C7F01" w:rsidRPr="00E33DBB">
        <w:rPr>
          <w:rFonts w:cs="Times New Roman"/>
          <w:sz w:val="24"/>
          <w:szCs w:val="24"/>
        </w:rPr>
        <w:t xml:space="preserve">cusing on writing and </w:t>
      </w:r>
      <w:r w:rsidR="00DC0CA9" w:rsidRPr="00E33DBB">
        <w:rPr>
          <w:rFonts w:cs="Times New Roman"/>
          <w:sz w:val="24"/>
          <w:szCs w:val="24"/>
        </w:rPr>
        <w:t>excluding the steps that precede writing</w:t>
      </w:r>
      <w:r w:rsidR="008E3F90" w:rsidRPr="00E33DBB">
        <w:rPr>
          <w:rFonts w:cs="Times New Roman"/>
          <w:sz w:val="24"/>
          <w:szCs w:val="24"/>
        </w:rPr>
        <w:t xml:space="preserve">. Another shortcoming is that, although the instruction was discipline-specific, it was </w:t>
      </w:r>
      <w:r w:rsidR="00825EF1" w:rsidRPr="00E33DBB">
        <w:rPr>
          <w:rFonts w:cs="Times New Roman"/>
          <w:sz w:val="24"/>
          <w:szCs w:val="24"/>
        </w:rPr>
        <w:t xml:space="preserve">‘additional’ (Wingate 2011), that is </w:t>
      </w:r>
      <w:r w:rsidR="008E3F90" w:rsidRPr="00E33DBB">
        <w:rPr>
          <w:rFonts w:cs="Times New Roman"/>
          <w:sz w:val="24"/>
          <w:szCs w:val="24"/>
        </w:rPr>
        <w:t>offered in extra workshops rather than being embedded into students’ regular curriculum. Although the workshops enjoyed high levels of student participation, they did not include all students in the respective study programmes</w:t>
      </w:r>
      <w:r w:rsidR="006C4539" w:rsidRPr="00E33DBB">
        <w:rPr>
          <w:rFonts w:cs="Times New Roman"/>
          <w:sz w:val="24"/>
          <w:szCs w:val="24"/>
        </w:rPr>
        <w:t>, and might have left out some students who would have needed academic literacy support most</w:t>
      </w:r>
      <w:r w:rsidR="008E3F90" w:rsidRPr="00E33DBB">
        <w:rPr>
          <w:rFonts w:cs="Times New Roman"/>
          <w:sz w:val="24"/>
          <w:szCs w:val="24"/>
        </w:rPr>
        <w:t xml:space="preserve">. </w:t>
      </w:r>
      <w:r w:rsidR="006C4539" w:rsidRPr="00E33DBB">
        <w:rPr>
          <w:rFonts w:cs="Times New Roman"/>
          <w:sz w:val="24"/>
          <w:szCs w:val="24"/>
        </w:rPr>
        <w:t>Research has shown that successful and ambitious students tend to take advantage of this type of support provision (Durkin and Main, 2002), whilst weaker st</w:t>
      </w:r>
      <w:r w:rsidR="000C7F01" w:rsidRPr="00E33DBB">
        <w:rPr>
          <w:rFonts w:cs="Times New Roman"/>
          <w:sz w:val="24"/>
          <w:szCs w:val="24"/>
        </w:rPr>
        <w:t>udents, burdened with the requirements of the main curriculum</w:t>
      </w:r>
      <w:r w:rsidR="006C4539" w:rsidRPr="00E33DBB">
        <w:rPr>
          <w:rFonts w:cs="Times New Roman"/>
          <w:sz w:val="24"/>
          <w:szCs w:val="24"/>
        </w:rPr>
        <w:t>, do not.</w:t>
      </w:r>
      <w:r w:rsidR="000A5C2D" w:rsidRPr="00E33DBB">
        <w:rPr>
          <w:rFonts w:cs="Times New Roman"/>
          <w:sz w:val="24"/>
          <w:szCs w:val="24"/>
        </w:rPr>
        <w:t xml:space="preserve">  Lastly, collaboration w</w:t>
      </w:r>
      <w:r w:rsidR="00F95EA9" w:rsidRPr="00E33DBB">
        <w:rPr>
          <w:rFonts w:cs="Times New Roman"/>
          <w:sz w:val="24"/>
          <w:szCs w:val="24"/>
        </w:rPr>
        <w:t>ith subject lecturers was difficult and required a lot of persistence</w:t>
      </w:r>
      <w:r w:rsidR="0011246A" w:rsidRPr="00E33DBB">
        <w:rPr>
          <w:rFonts w:cs="Times New Roman"/>
          <w:sz w:val="24"/>
          <w:szCs w:val="24"/>
        </w:rPr>
        <w:t xml:space="preserve">. </w:t>
      </w:r>
      <w:r w:rsidR="00726341" w:rsidRPr="00E33DBB">
        <w:rPr>
          <w:rFonts w:cs="Times New Roman"/>
          <w:sz w:val="24"/>
          <w:szCs w:val="24"/>
        </w:rPr>
        <w:t>Although the</w:t>
      </w:r>
      <w:r w:rsidR="0011246A" w:rsidRPr="00E33DBB">
        <w:rPr>
          <w:rFonts w:cs="Times New Roman"/>
          <w:sz w:val="24"/>
          <w:szCs w:val="24"/>
        </w:rPr>
        <w:t xml:space="preserve"> project funding </w:t>
      </w:r>
      <w:r w:rsidR="00726341" w:rsidRPr="00E33DBB">
        <w:rPr>
          <w:rFonts w:cs="Times New Roman"/>
          <w:sz w:val="24"/>
          <w:szCs w:val="24"/>
        </w:rPr>
        <w:t>included some incentives for the participating lecturers, information from them was difficult to obtain, and, as mentioned earlier, we were not given access to student</w:t>
      </w:r>
      <w:r w:rsidR="00A4377A" w:rsidRPr="00E33DBB">
        <w:rPr>
          <w:rFonts w:cs="Times New Roman"/>
          <w:sz w:val="24"/>
          <w:szCs w:val="24"/>
        </w:rPr>
        <w:t>s’</w:t>
      </w:r>
      <w:r w:rsidR="00726341" w:rsidRPr="00E33DBB">
        <w:rPr>
          <w:rFonts w:cs="Times New Roman"/>
          <w:sz w:val="24"/>
          <w:szCs w:val="24"/>
        </w:rPr>
        <w:t xml:space="preserve"> writing after the intervention in order to gain performance data. </w:t>
      </w:r>
      <w:r w:rsidR="00A4377A" w:rsidRPr="00E33DBB">
        <w:rPr>
          <w:rFonts w:cs="Times New Roman"/>
          <w:sz w:val="24"/>
          <w:szCs w:val="24"/>
        </w:rPr>
        <w:t>Whilst this lack of input is understandable given the workloads and research priorities of academic staff, i</w:t>
      </w:r>
      <w:r w:rsidR="00DC0CA9" w:rsidRPr="00E33DBB">
        <w:rPr>
          <w:rFonts w:cs="Times New Roman"/>
          <w:sz w:val="24"/>
          <w:szCs w:val="24"/>
        </w:rPr>
        <w:t xml:space="preserve">t also highlights the need for </w:t>
      </w:r>
      <w:r w:rsidR="00631B40" w:rsidRPr="00E33DBB">
        <w:rPr>
          <w:rFonts w:cs="Times New Roman"/>
          <w:sz w:val="24"/>
          <w:szCs w:val="24"/>
        </w:rPr>
        <w:t xml:space="preserve">an </w:t>
      </w:r>
      <w:r w:rsidR="007D0319" w:rsidRPr="00E33DBB">
        <w:rPr>
          <w:rFonts w:cs="Times New Roman"/>
          <w:sz w:val="24"/>
          <w:szCs w:val="24"/>
        </w:rPr>
        <w:t>institutional</w:t>
      </w:r>
      <w:r w:rsidR="00631B40" w:rsidRPr="00E33DBB">
        <w:rPr>
          <w:rFonts w:cs="Times New Roman"/>
          <w:sz w:val="24"/>
          <w:szCs w:val="24"/>
        </w:rPr>
        <w:t xml:space="preserve"> culture that values lecturers’ engagement with student</w:t>
      </w:r>
      <w:r w:rsidR="00A070AA" w:rsidRPr="00E33DBB">
        <w:rPr>
          <w:rFonts w:cs="Times New Roman"/>
          <w:sz w:val="24"/>
          <w:szCs w:val="24"/>
        </w:rPr>
        <w:t xml:space="preserve"> learning and</w:t>
      </w:r>
      <w:r w:rsidR="00631B40" w:rsidRPr="00E33DBB">
        <w:rPr>
          <w:rFonts w:cs="Times New Roman"/>
          <w:sz w:val="24"/>
          <w:szCs w:val="24"/>
        </w:rPr>
        <w:t xml:space="preserve"> academic literacy</w:t>
      </w:r>
      <w:r w:rsidR="00A070AA" w:rsidRPr="00E33DBB">
        <w:rPr>
          <w:rFonts w:cs="Times New Roman"/>
          <w:sz w:val="24"/>
          <w:szCs w:val="24"/>
        </w:rPr>
        <w:t>.</w:t>
      </w:r>
      <w:r w:rsidR="00A616A3" w:rsidRPr="00E33DBB">
        <w:rPr>
          <w:rFonts w:cs="Times New Roman"/>
          <w:sz w:val="24"/>
          <w:szCs w:val="24"/>
        </w:rPr>
        <w:t xml:space="preserve"> </w:t>
      </w:r>
    </w:p>
    <w:p w:rsidR="003B3C37" w:rsidRPr="00E33DBB" w:rsidRDefault="00A070AA" w:rsidP="00E33DBB">
      <w:pPr>
        <w:spacing w:line="276" w:lineRule="auto"/>
        <w:ind w:left="0"/>
        <w:rPr>
          <w:rFonts w:cs="Times New Roman"/>
          <w:sz w:val="24"/>
          <w:szCs w:val="24"/>
        </w:rPr>
      </w:pPr>
      <w:r w:rsidRPr="00E33DBB">
        <w:rPr>
          <w:rFonts w:cs="Times New Roman"/>
          <w:sz w:val="24"/>
          <w:szCs w:val="24"/>
        </w:rPr>
        <w:t>There</w:t>
      </w:r>
      <w:r w:rsidR="00E052AD" w:rsidRPr="00E33DBB">
        <w:rPr>
          <w:rFonts w:cs="Times New Roman"/>
          <w:sz w:val="24"/>
          <w:szCs w:val="24"/>
        </w:rPr>
        <w:t xml:space="preserve"> is </w:t>
      </w:r>
      <w:r w:rsidR="00530744" w:rsidRPr="00E33DBB">
        <w:rPr>
          <w:rFonts w:cs="Times New Roman"/>
          <w:sz w:val="24"/>
          <w:szCs w:val="24"/>
        </w:rPr>
        <w:t xml:space="preserve">currently </w:t>
      </w:r>
      <w:r w:rsidR="00E052AD" w:rsidRPr="00E33DBB">
        <w:rPr>
          <w:rFonts w:cs="Times New Roman"/>
          <w:sz w:val="24"/>
          <w:szCs w:val="24"/>
        </w:rPr>
        <w:t xml:space="preserve">little sign of </w:t>
      </w:r>
      <w:r w:rsidR="00530744" w:rsidRPr="00E33DBB">
        <w:rPr>
          <w:rFonts w:cs="Times New Roman"/>
          <w:sz w:val="24"/>
          <w:szCs w:val="24"/>
        </w:rPr>
        <w:t xml:space="preserve">change </w:t>
      </w:r>
      <w:r w:rsidR="00E052AD" w:rsidRPr="00E33DBB">
        <w:rPr>
          <w:rFonts w:cs="Times New Roman"/>
          <w:sz w:val="24"/>
          <w:szCs w:val="24"/>
        </w:rPr>
        <w:t xml:space="preserve">in </w:t>
      </w:r>
      <w:r w:rsidR="00530744" w:rsidRPr="00E33DBB">
        <w:rPr>
          <w:rFonts w:cs="Times New Roman"/>
          <w:sz w:val="24"/>
          <w:szCs w:val="24"/>
        </w:rPr>
        <w:t xml:space="preserve">the institutional culture of </w:t>
      </w:r>
      <w:r w:rsidR="00E052AD" w:rsidRPr="00E33DBB">
        <w:rPr>
          <w:rFonts w:cs="Times New Roman"/>
          <w:sz w:val="24"/>
          <w:szCs w:val="24"/>
        </w:rPr>
        <w:t>universities</w:t>
      </w:r>
      <w:r w:rsidR="00530744" w:rsidRPr="00E33DBB">
        <w:rPr>
          <w:rFonts w:cs="Times New Roman"/>
          <w:sz w:val="24"/>
          <w:szCs w:val="24"/>
        </w:rPr>
        <w:t xml:space="preserve"> in the UK and other Anglophone countries</w:t>
      </w:r>
      <w:r w:rsidR="00E052AD" w:rsidRPr="00E33DBB">
        <w:rPr>
          <w:rFonts w:cs="Times New Roman"/>
          <w:sz w:val="24"/>
          <w:szCs w:val="24"/>
        </w:rPr>
        <w:t>, where</w:t>
      </w:r>
      <w:r w:rsidR="000800DB" w:rsidRPr="00E33DBB">
        <w:rPr>
          <w:rFonts w:cs="Times New Roman"/>
          <w:sz w:val="24"/>
          <w:szCs w:val="24"/>
        </w:rPr>
        <w:t xml:space="preserve"> the old model of extra-curricular, generic literacy support persists. </w:t>
      </w:r>
      <w:r w:rsidR="006C026F" w:rsidRPr="00E33DBB">
        <w:rPr>
          <w:rFonts w:cs="Times New Roman"/>
          <w:sz w:val="24"/>
          <w:szCs w:val="24"/>
        </w:rPr>
        <w:t>Moving from the current extra-curricular model an</w:t>
      </w:r>
      <w:r w:rsidR="0039191B" w:rsidRPr="00E33DBB">
        <w:rPr>
          <w:rFonts w:cs="Times New Roman"/>
          <w:sz w:val="24"/>
          <w:szCs w:val="24"/>
        </w:rPr>
        <w:t xml:space="preserve">d from </w:t>
      </w:r>
      <w:r w:rsidR="00825EF1" w:rsidRPr="00E33DBB">
        <w:rPr>
          <w:rFonts w:cs="Times New Roman"/>
          <w:sz w:val="24"/>
          <w:szCs w:val="24"/>
        </w:rPr>
        <w:t xml:space="preserve">‘additional’ </w:t>
      </w:r>
      <w:r w:rsidR="0039191B" w:rsidRPr="00E33DBB">
        <w:rPr>
          <w:rFonts w:cs="Times New Roman"/>
          <w:sz w:val="24"/>
          <w:szCs w:val="24"/>
        </w:rPr>
        <w:t>models, such as the intervention that I have just presented, would require ‘top-down’ policies, meaning that university managements would first need to be convinced of the long-term benefits of a curriculum-integrated approach to academic literacy instruction, and su</w:t>
      </w:r>
      <w:r w:rsidR="000C7F01" w:rsidRPr="00E33DBB">
        <w:rPr>
          <w:rFonts w:cs="Times New Roman"/>
          <w:sz w:val="24"/>
          <w:szCs w:val="24"/>
        </w:rPr>
        <w:t>bsequently would need to invest in</w:t>
      </w:r>
      <w:r w:rsidR="0039191B" w:rsidRPr="00E33DBB">
        <w:rPr>
          <w:rFonts w:cs="Times New Roman"/>
          <w:sz w:val="24"/>
          <w:szCs w:val="24"/>
        </w:rPr>
        <w:t xml:space="preserve"> the approach by (1) </w:t>
      </w:r>
      <w:r w:rsidR="003B3C37" w:rsidRPr="00E33DBB">
        <w:rPr>
          <w:rFonts w:cs="Times New Roman"/>
          <w:sz w:val="24"/>
          <w:szCs w:val="24"/>
        </w:rPr>
        <w:t xml:space="preserve">providing workload space to academics to follow this approach, (2) restructuring the current EAP service to enable collaboration and (3) </w:t>
      </w:r>
      <w:r w:rsidR="0039191B" w:rsidRPr="00E33DBB">
        <w:rPr>
          <w:rFonts w:cs="Times New Roman"/>
          <w:sz w:val="24"/>
          <w:szCs w:val="24"/>
        </w:rPr>
        <w:t xml:space="preserve">acknowledging </w:t>
      </w:r>
      <w:r w:rsidR="003B3C37" w:rsidRPr="00E33DBB">
        <w:rPr>
          <w:rFonts w:cs="Times New Roman"/>
          <w:sz w:val="24"/>
          <w:szCs w:val="24"/>
        </w:rPr>
        <w:t>improved</w:t>
      </w:r>
      <w:r w:rsidR="0039191B" w:rsidRPr="00E33DBB">
        <w:rPr>
          <w:rFonts w:cs="Times New Roman"/>
          <w:sz w:val="24"/>
          <w:szCs w:val="24"/>
        </w:rPr>
        <w:t xml:space="preserve"> teaching practice in their reward and promotion systems.  </w:t>
      </w:r>
      <w:r w:rsidR="003B3C37" w:rsidRPr="00E33DBB">
        <w:rPr>
          <w:rFonts w:cs="Times New Roman"/>
          <w:sz w:val="24"/>
          <w:szCs w:val="24"/>
        </w:rPr>
        <w:t>Convincing university managers to make such polic</w:t>
      </w:r>
      <w:r w:rsidR="000C7F01" w:rsidRPr="00E33DBB">
        <w:rPr>
          <w:rFonts w:cs="Times New Roman"/>
          <w:sz w:val="24"/>
          <w:szCs w:val="24"/>
        </w:rPr>
        <w:t xml:space="preserve">y changes is a long-term goal, </w:t>
      </w:r>
      <w:r w:rsidR="003B3C37" w:rsidRPr="00E33DBB">
        <w:rPr>
          <w:rFonts w:cs="Times New Roman"/>
          <w:sz w:val="24"/>
          <w:szCs w:val="24"/>
        </w:rPr>
        <w:t xml:space="preserve">which </w:t>
      </w:r>
      <w:r w:rsidR="00F95EA9" w:rsidRPr="00E33DBB">
        <w:rPr>
          <w:rFonts w:cs="Times New Roman"/>
          <w:sz w:val="24"/>
          <w:szCs w:val="24"/>
        </w:rPr>
        <w:t xml:space="preserve">in my view can only be achieved if we accumulate resounding </w:t>
      </w:r>
      <w:r w:rsidR="003B3C37" w:rsidRPr="00E33DBB">
        <w:rPr>
          <w:rFonts w:cs="Times New Roman"/>
          <w:sz w:val="24"/>
          <w:szCs w:val="24"/>
        </w:rPr>
        <w:t xml:space="preserve">evidence </w:t>
      </w:r>
      <w:r w:rsidR="00F43FAD" w:rsidRPr="00E33DBB">
        <w:rPr>
          <w:rFonts w:cs="Times New Roman"/>
          <w:sz w:val="24"/>
          <w:szCs w:val="24"/>
        </w:rPr>
        <w:t>from ‘bottom-up’ projects</w:t>
      </w:r>
      <w:r w:rsidR="00F95EA9" w:rsidRPr="00E33DBB">
        <w:rPr>
          <w:rFonts w:cs="Times New Roman"/>
          <w:sz w:val="24"/>
          <w:szCs w:val="24"/>
        </w:rPr>
        <w:t xml:space="preserve"> to </w:t>
      </w:r>
      <w:r w:rsidR="00F43FAD" w:rsidRPr="00E33DBB">
        <w:rPr>
          <w:rFonts w:cs="Times New Roman"/>
          <w:sz w:val="24"/>
          <w:szCs w:val="24"/>
        </w:rPr>
        <w:t>demonstrate that curriculum-integrated academic literacy instruction leads to improvements in student learning.</w:t>
      </w:r>
    </w:p>
    <w:p w:rsidR="004D4E8E" w:rsidRPr="00E33DBB" w:rsidRDefault="003B3C37" w:rsidP="00E33DBB">
      <w:pPr>
        <w:spacing w:line="276" w:lineRule="auto"/>
        <w:ind w:left="0"/>
        <w:rPr>
          <w:rFonts w:cs="Times New Roman"/>
          <w:sz w:val="24"/>
          <w:szCs w:val="24"/>
        </w:rPr>
      </w:pPr>
      <w:r w:rsidRPr="00E33DBB">
        <w:rPr>
          <w:rFonts w:cs="Times New Roman"/>
          <w:sz w:val="24"/>
          <w:szCs w:val="24"/>
        </w:rPr>
        <w:t>T</w:t>
      </w:r>
      <w:r w:rsidR="00F0172B" w:rsidRPr="00E33DBB">
        <w:rPr>
          <w:rFonts w:cs="Times New Roman"/>
          <w:sz w:val="24"/>
          <w:szCs w:val="24"/>
        </w:rPr>
        <w:t>he Australian example shows that policy change</w:t>
      </w:r>
      <w:r w:rsidRPr="00E33DBB">
        <w:rPr>
          <w:rFonts w:cs="Times New Roman"/>
          <w:sz w:val="24"/>
          <w:szCs w:val="24"/>
        </w:rPr>
        <w:t>s</w:t>
      </w:r>
      <w:r w:rsidR="00F0172B" w:rsidRPr="00E33DBB">
        <w:rPr>
          <w:rFonts w:cs="Times New Roman"/>
          <w:sz w:val="24"/>
          <w:szCs w:val="24"/>
        </w:rPr>
        <w:t xml:space="preserve"> at institutional and national levels can be brought about ‘bottom-up’, starting from </w:t>
      </w:r>
      <w:r w:rsidR="00CE38D1" w:rsidRPr="00E33DBB">
        <w:rPr>
          <w:rFonts w:cs="Times New Roman"/>
          <w:sz w:val="24"/>
          <w:szCs w:val="24"/>
        </w:rPr>
        <w:t xml:space="preserve">a </w:t>
      </w:r>
      <w:r w:rsidR="00F0172B" w:rsidRPr="00E33DBB">
        <w:rPr>
          <w:rFonts w:cs="Times New Roman"/>
          <w:sz w:val="24"/>
          <w:szCs w:val="24"/>
        </w:rPr>
        <w:t>small-scale init</w:t>
      </w:r>
      <w:r w:rsidR="00CE38D1" w:rsidRPr="00E33DBB">
        <w:rPr>
          <w:rFonts w:cs="Times New Roman"/>
          <w:sz w:val="24"/>
          <w:szCs w:val="24"/>
        </w:rPr>
        <w:t>iative</w:t>
      </w:r>
      <w:r w:rsidR="00F0172B" w:rsidRPr="00E33DBB">
        <w:rPr>
          <w:rFonts w:cs="Times New Roman"/>
          <w:sz w:val="24"/>
          <w:szCs w:val="24"/>
        </w:rPr>
        <w:t xml:space="preserve">. </w:t>
      </w:r>
      <w:r w:rsidR="00530744" w:rsidRPr="00E33DBB">
        <w:rPr>
          <w:rFonts w:cs="Times New Roman"/>
          <w:sz w:val="24"/>
          <w:szCs w:val="24"/>
        </w:rPr>
        <w:t xml:space="preserve">Plenty of initiatives aimed at enhancing academic literacy support or student writing </w:t>
      </w:r>
      <w:r w:rsidR="005061A5" w:rsidRPr="00E33DBB">
        <w:rPr>
          <w:rFonts w:cs="Times New Roman"/>
          <w:sz w:val="24"/>
          <w:szCs w:val="24"/>
        </w:rPr>
        <w:t xml:space="preserve">have been reported in the literature (for the most recent </w:t>
      </w:r>
      <w:r w:rsidR="00DD5D88" w:rsidRPr="00E33DBB">
        <w:rPr>
          <w:rFonts w:cs="Times New Roman"/>
          <w:sz w:val="24"/>
          <w:szCs w:val="24"/>
        </w:rPr>
        <w:t xml:space="preserve">examples see Lillis, Harrington, Lea &amp; Mitchell </w:t>
      </w:r>
      <w:r w:rsidR="00F114AF" w:rsidRPr="00E33DBB">
        <w:rPr>
          <w:rFonts w:cs="Times New Roman"/>
          <w:sz w:val="24"/>
          <w:szCs w:val="24"/>
        </w:rPr>
        <w:t xml:space="preserve">2015); however, an </w:t>
      </w:r>
      <w:r w:rsidR="007A2E0A" w:rsidRPr="00E33DBB">
        <w:rPr>
          <w:rFonts w:cs="Times New Roman"/>
          <w:sz w:val="24"/>
          <w:szCs w:val="24"/>
        </w:rPr>
        <w:t>inherent limitation of many</w:t>
      </w:r>
      <w:r w:rsidR="00F114AF" w:rsidRPr="00E33DBB">
        <w:rPr>
          <w:rFonts w:cs="Times New Roman"/>
          <w:sz w:val="24"/>
          <w:szCs w:val="24"/>
        </w:rPr>
        <w:t xml:space="preserve"> </w:t>
      </w:r>
      <w:r w:rsidR="00FE617D" w:rsidRPr="00E33DBB">
        <w:rPr>
          <w:rFonts w:cs="Times New Roman"/>
          <w:sz w:val="24"/>
          <w:szCs w:val="24"/>
        </w:rPr>
        <w:t xml:space="preserve">is that they tend to </w:t>
      </w:r>
      <w:r w:rsidR="00500749" w:rsidRPr="00E33DBB">
        <w:rPr>
          <w:rFonts w:cs="Times New Roman"/>
          <w:sz w:val="24"/>
          <w:szCs w:val="24"/>
        </w:rPr>
        <w:t xml:space="preserve"> take place </w:t>
      </w:r>
      <w:r w:rsidR="00271F5D" w:rsidRPr="00E33DBB">
        <w:rPr>
          <w:rFonts w:cs="Times New Roman"/>
          <w:sz w:val="24"/>
          <w:szCs w:val="24"/>
        </w:rPr>
        <w:t xml:space="preserve"> in specific settings,</w:t>
      </w:r>
      <w:r w:rsidR="00530744" w:rsidRPr="00E33DBB">
        <w:rPr>
          <w:rFonts w:cs="Times New Roman"/>
          <w:sz w:val="24"/>
          <w:szCs w:val="24"/>
        </w:rPr>
        <w:t xml:space="preserve"> </w:t>
      </w:r>
      <w:r w:rsidR="00C64FD4" w:rsidRPr="00E33DBB">
        <w:rPr>
          <w:rFonts w:cs="Times New Roman"/>
          <w:sz w:val="24"/>
          <w:szCs w:val="24"/>
        </w:rPr>
        <w:t xml:space="preserve">represent </w:t>
      </w:r>
      <w:r w:rsidR="0077235B" w:rsidRPr="00E33DBB">
        <w:rPr>
          <w:rFonts w:cs="Times New Roman"/>
          <w:sz w:val="24"/>
          <w:szCs w:val="24"/>
        </w:rPr>
        <w:t xml:space="preserve">individual efforts and </w:t>
      </w:r>
      <w:r w:rsidR="00790217" w:rsidRPr="00E33DBB">
        <w:rPr>
          <w:rFonts w:cs="Times New Roman"/>
          <w:sz w:val="24"/>
          <w:szCs w:val="24"/>
        </w:rPr>
        <w:t xml:space="preserve">one-off </w:t>
      </w:r>
      <w:r w:rsidR="0077235B" w:rsidRPr="00E33DBB">
        <w:rPr>
          <w:rFonts w:cs="Times New Roman"/>
          <w:sz w:val="24"/>
          <w:szCs w:val="24"/>
        </w:rPr>
        <w:t>‘additional’ activities</w:t>
      </w:r>
      <w:r w:rsidR="000C7F01" w:rsidRPr="00E33DBB">
        <w:rPr>
          <w:rFonts w:cs="Times New Roman"/>
          <w:sz w:val="24"/>
          <w:szCs w:val="24"/>
        </w:rPr>
        <w:t>, and</w:t>
      </w:r>
      <w:r w:rsidR="007A2E0A" w:rsidRPr="00E33DBB">
        <w:rPr>
          <w:rFonts w:cs="Times New Roman"/>
          <w:sz w:val="24"/>
          <w:szCs w:val="24"/>
        </w:rPr>
        <w:t xml:space="preserve"> are insufficiently explicit about </w:t>
      </w:r>
      <w:r w:rsidR="0063338A" w:rsidRPr="00E33DBB">
        <w:rPr>
          <w:rFonts w:cs="Times New Roman"/>
          <w:sz w:val="24"/>
          <w:szCs w:val="24"/>
        </w:rPr>
        <w:t>the methods used</w:t>
      </w:r>
      <w:r w:rsidR="00F114AF" w:rsidRPr="00E33DBB">
        <w:rPr>
          <w:rFonts w:cs="Times New Roman"/>
          <w:sz w:val="24"/>
          <w:szCs w:val="24"/>
        </w:rPr>
        <w:t>, which limits their transferability</w:t>
      </w:r>
      <w:r w:rsidR="00790217" w:rsidRPr="00E33DBB">
        <w:rPr>
          <w:rFonts w:cs="Times New Roman"/>
          <w:sz w:val="24"/>
          <w:szCs w:val="24"/>
        </w:rPr>
        <w:t xml:space="preserve"> to</w:t>
      </w:r>
      <w:r w:rsidR="007A2E0A" w:rsidRPr="00E33DBB">
        <w:rPr>
          <w:rFonts w:cs="Times New Roman"/>
          <w:sz w:val="24"/>
          <w:szCs w:val="24"/>
        </w:rPr>
        <w:t xml:space="preserve"> other contexts. </w:t>
      </w:r>
      <w:r w:rsidR="009D0F94" w:rsidRPr="00E33DBB">
        <w:rPr>
          <w:rFonts w:cs="Times New Roman"/>
          <w:sz w:val="24"/>
          <w:szCs w:val="24"/>
        </w:rPr>
        <w:t>W</w:t>
      </w:r>
      <w:r w:rsidR="00C25484" w:rsidRPr="00E33DBB">
        <w:rPr>
          <w:rFonts w:cs="Times New Roman"/>
          <w:sz w:val="24"/>
          <w:szCs w:val="24"/>
        </w:rPr>
        <w:t xml:space="preserve">hat makes </w:t>
      </w:r>
      <w:r w:rsidR="009D0F94" w:rsidRPr="00E33DBB">
        <w:rPr>
          <w:rFonts w:cs="Times New Roman"/>
          <w:sz w:val="24"/>
          <w:szCs w:val="24"/>
        </w:rPr>
        <w:t>the</w:t>
      </w:r>
      <w:r w:rsidR="00034667" w:rsidRPr="00E33DBB">
        <w:rPr>
          <w:rFonts w:cs="Times New Roman"/>
          <w:sz w:val="24"/>
          <w:szCs w:val="24"/>
        </w:rPr>
        <w:t xml:space="preserve"> Australian example</w:t>
      </w:r>
      <w:r w:rsidR="009D0F94" w:rsidRPr="00E33DBB">
        <w:rPr>
          <w:rFonts w:cs="Times New Roman"/>
          <w:sz w:val="24"/>
          <w:szCs w:val="24"/>
        </w:rPr>
        <w:t xml:space="preserve"> </w:t>
      </w:r>
      <w:r w:rsidR="00C25484" w:rsidRPr="00E33DBB">
        <w:rPr>
          <w:rFonts w:cs="Times New Roman"/>
          <w:sz w:val="24"/>
          <w:szCs w:val="24"/>
        </w:rPr>
        <w:t xml:space="preserve">stand out </w:t>
      </w:r>
      <w:r w:rsidR="00F114AF" w:rsidRPr="00E33DBB">
        <w:rPr>
          <w:rFonts w:cs="Times New Roman"/>
          <w:sz w:val="24"/>
          <w:szCs w:val="24"/>
        </w:rPr>
        <w:t xml:space="preserve">is that evidence </w:t>
      </w:r>
      <w:r w:rsidR="00562C17" w:rsidRPr="00E33DBB">
        <w:rPr>
          <w:rFonts w:cs="Times New Roman"/>
          <w:sz w:val="24"/>
          <w:szCs w:val="24"/>
        </w:rPr>
        <w:t xml:space="preserve">of the positive impact of curriculum-integration of literacy instruction on student writing and learning in general at Wollongong convinced other </w:t>
      </w:r>
      <w:r w:rsidR="00C25484" w:rsidRPr="00E33DBB">
        <w:rPr>
          <w:rFonts w:cs="Times New Roman"/>
          <w:sz w:val="24"/>
          <w:szCs w:val="24"/>
        </w:rPr>
        <w:t xml:space="preserve"> universities</w:t>
      </w:r>
      <w:r w:rsidR="00562C17" w:rsidRPr="00E33DBB">
        <w:rPr>
          <w:rFonts w:cs="Times New Roman"/>
          <w:sz w:val="24"/>
          <w:szCs w:val="24"/>
        </w:rPr>
        <w:t xml:space="preserve"> to follow this approach. The Australian example also demonstrates that </w:t>
      </w:r>
      <w:r w:rsidR="00F114AF" w:rsidRPr="00E33DBB">
        <w:rPr>
          <w:rFonts w:cs="Times New Roman"/>
          <w:sz w:val="24"/>
          <w:szCs w:val="24"/>
        </w:rPr>
        <w:t xml:space="preserve"> </w:t>
      </w:r>
      <w:r w:rsidR="00034667" w:rsidRPr="00E33DBB">
        <w:rPr>
          <w:rFonts w:cs="Times New Roman"/>
          <w:sz w:val="24"/>
          <w:szCs w:val="24"/>
        </w:rPr>
        <w:t>collaboration</w:t>
      </w:r>
      <w:r w:rsidR="00562C17" w:rsidRPr="00E33DBB">
        <w:rPr>
          <w:rFonts w:cs="Times New Roman"/>
          <w:sz w:val="24"/>
          <w:szCs w:val="24"/>
        </w:rPr>
        <w:t xml:space="preserve"> between EAP specialists and subject lecturers</w:t>
      </w:r>
      <w:r w:rsidR="00034667" w:rsidRPr="00E33DBB">
        <w:rPr>
          <w:rFonts w:cs="Times New Roman"/>
          <w:sz w:val="24"/>
          <w:szCs w:val="24"/>
        </w:rPr>
        <w:t xml:space="preserve"> facilitates the integration of literacy support in the curriculum</w:t>
      </w:r>
      <w:r w:rsidR="004143FF" w:rsidRPr="00E33DBB">
        <w:rPr>
          <w:rFonts w:cs="Times New Roman"/>
          <w:sz w:val="24"/>
          <w:szCs w:val="24"/>
        </w:rPr>
        <w:t>, and</w:t>
      </w:r>
      <w:r w:rsidR="00034667" w:rsidRPr="00E33DBB">
        <w:rPr>
          <w:rFonts w:cs="Times New Roman"/>
          <w:sz w:val="24"/>
          <w:szCs w:val="24"/>
        </w:rPr>
        <w:t xml:space="preserve"> that subject lecturers</w:t>
      </w:r>
      <w:r w:rsidR="00825EF1" w:rsidRPr="00E33DBB">
        <w:rPr>
          <w:rFonts w:cs="Times New Roman"/>
          <w:sz w:val="24"/>
          <w:szCs w:val="24"/>
        </w:rPr>
        <w:t xml:space="preserve"> can be convinced </w:t>
      </w:r>
      <w:r w:rsidR="00412A91" w:rsidRPr="00E33DBB">
        <w:rPr>
          <w:rFonts w:cs="Times New Roman"/>
          <w:sz w:val="24"/>
          <w:szCs w:val="24"/>
        </w:rPr>
        <w:t>to engage when they receive support and practical advice as to how make academic literacy instruction ‘part of the general teaching of a content subject’ (Skillen 2006: 143)</w:t>
      </w:r>
      <w:r w:rsidR="004849A2" w:rsidRPr="00E33DBB">
        <w:rPr>
          <w:rFonts w:cs="Times New Roman"/>
          <w:sz w:val="24"/>
          <w:szCs w:val="24"/>
        </w:rPr>
        <w:t xml:space="preserve">. </w:t>
      </w:r>
      <w:r w:rsidR="00A71C17" w:rsidRPr="00E33DBB">
        <w:rPr>
          <w:rFonts w:cs="Times New Roman"/>
          <w:sz w:val="24"/>
          <w:szCs w:val="24"/>
        </w:rPr>
        <w:t xml:space="preserve"> </w:t>
      </w:r>
    </w:p>
    <w:p w:rsidR="00FD39DF" w:rsidRPr="00E33DBB" w:rsidRDefault="005B7D1E" w:rsidP="00E33DBB">
      <w:pPr>
        <w:spacing w:line="276" w:lineRule="auto"/>
        <w:ind w:left="0"/>
        <w:rPr>
          <w:rFonts w:cs="Times New Roman"/>
          <w:sz w:val="24"/>
          <w:szCs w:val="24"/>
        </w:rPr>
      </w:pPr>
      <w:r w:rsidRPr="00E33DBB">
        <w:rPr>
          <w:rFonts w:cs="Times New Roman"/>
          <w:sz w:val="24"/>
          <w:szCs w:val="24"/>
        </w:rPr>
        <w:t xml:space="preserve">However, in many Anglophone universities outside Australia, </w:t>
      </w:r>
      <w:r w:rsidR="00F23364" w:rsidRPr="00E33DBB">
        <w:rPr>
          <w:rFonts w:cs="Times New Roman"/>
          <w:sz w:val="24"/>
          <w:szCs w:val="24"/>
        </w:rPr>
        <w:t>EAP/</w:t>
      </w:r>
      <w:r w:rsidRPr="00E33DBB">
        <w:rPr>
          <w:rFonts w:cs="Times New Roman"/>
          <w:sz w:val="24"/>
          <w:szCs w:val="24"/>
        </w:rPr>
        <w:t xml:space="preserve">learning development units do not have the remit or resources </w:t>
      </w:r>
      <w:r w:rsidR="00347B9B" w:rsidRPr="00E33DBB">
        <w:rPr>
          <w:rFonts w:cs="Times New Roman"/>
          <w:sz w:val="24"/>
          <w:szCs w:val="24"/>
        </w:rPr>
        <w:t xml:space="preserve">to pursue the intense collaboration with academic departments </w:t>
      </w:r>
      <w:r w:rsidR="007F6552" w:rsidRPr="00E33DBB">
        <w:rPr>
          <w:rFonts w:cs="Times New Roman"/>
          <w:sz w:val="24"/>
          <w:szCs w:val="24"/>
        </w:rPr>
        <w:t xml:space="preserve">needed </w:t>
      </w:r>
      <w:r w:rsidR="00347B9B" w:rsidRPr="00E33DBB">
        <w:rPr>
          <w:rFonts w:cs="Times New Roman"/>
          <w:sz w:val="24"/>
          <w:szCs w:val="24"/>
        </w:rPr>
        <w:t>to facilitate curriculum-integrated literacy support. I learned from conversations with directors of these units a</w:t>
      </w:r>
      <w:r w:rsidR="007F6552" w:rsidRPr="00E33DBB">
        <w:rPr>
          <w:rFonts w:cs="Times New Roman"/>
          <w:sz w:val="24"/>
          <w:szCs w:val="24"/>
        </w:rPr>
        <w:t>t UK universities that, b</w:t>
      </w:r>
      <w:r w:rsidR="00347B9B" w:rsidRPr="00E33DBB">
        <w:rPr>
          <w:rFonts w:cs="Times New Roman"/>
          <w:sz w:val="24"/>
          <w:szCs w:val="24"/>
        </w:rPr>
        <w:t>ecause of budget cuts, they are increasingly relying on temporary, hourly-paid staff to deliver</w:t>
      </w:r>
      <w:r w:rsidR="007F6552" w:rsidRPr="00E33DBB">
        <w:rPr>
          <w:rFonts w:cs="Times New Roman"/>
          <w:sz w:val="24"/>
          <w:szCs w:val="24"/>
        </w:rPr>
        <w:t xml:space="preserve"> their generic courses. </w:t>
      </w:r>
      <w:r w:rsidR="009D6748" w:rsidRPr="00E33DBB">
        <w:rPr>
          <w:rFonts w:cs="Times New Roman"/>
          <w:sz w:val="24"/>
          <w:szCs w:val="24"/>
        </w:rPr>
        <w:t>These</w:t>
      </w:r>
      <w:r w:rsidR="007F6552" w:rsidRPr="00E33DBB">
        <w:rPr>
          <w:rFonts w:cs="Times New Roman"/>
          <w:sz w:val="24"/>
          <w:szCs w:val="24"/>
        </w:rPr>
        <w:t xml:space="preserve"> short-term staff members cannot be expected to collaborate </w:t>
      </w:r>
      <w:r w:rsidR="00762F9D" w:rsidRPr="00E33DBB">
        <w:rPr>
          <w:rFonts w:cs="Times New Roman"/>
          <w:sz w:val="24"/>
          <w:szCs w:val="24"/>
        </w:rPr>
        <w:t>with academics i</w:t>
      </w:r>
      <w:r w:rsidR="007F6552" w:rsidRPr="00E33DBB">
        <w:rPr>
          <w:rFonts w:cs="Times New Roman"/>
          <w:sz w:val="24"/>
          <w:szCs w:val="24"/>
        </w:rPr>
        <w:t>n the disciplines, as this</w:t>
      </w:r>
      <w:r w:rsidR="00762F9D" w:rsidRPr="00E33DBB">
        <w:rPr>
          <w:rFonts w:cs="Times New Roman"/>
          <w:sz w:val="24"/>
          <w:szCs w:val="24"/>
        </w:rPr>
        <w:t xml:space="preserve"> require</w:t>
      </w:r>
      <w:r w:rsidR="007F6552" w:rsidRPr="00E33DBB">
        <w:rPr>
          <w:rFonts w:cs="Times New Roman"/>
          <w:sz w:val="24"/>
          <w:szCs w:val="24"/>
        </w:rPr>
        <w:t>s long-term partnerships and some level of socialisation by the EAP specialist into the partner discipline</w:t>
      </w:r>
      <w:r w:rsidR="00762F9D" w:rsidRPr="00E33DBB">
        <w:rPr>
          <w:rFonts w:cs="Times New Roman"/>
          <w:sz w:val="24"/>
          <w:szCs w:val="24"/>
        </w:rPr>
        <w:t xml:space="preserve">. </w:t>
      </w:r>
      <w:r w:rsidR="001C2DA9" w:rsidRPr="00E33DBB">
        <w:rPr>
          <w:rFonts w:cs="Times New Roman"/>
          <w:sz w:val="24"/>
          <w:szCs w:val="24"/>
        </w:rPr>
        <w:t xml:space="preserve">Given </w:t>
      </w:r>
      <w:r w:rsidR="00A616A3" w:rsidRPr="00E33DBB">
        <w:rPr>
          <w:rFonts w:cs="Times New Roman"/>
          <w:sz w:val="24"/>
          <w:szCs w:val="24"/>
        </w:rPr>
        <w:t>that current institutional structures do not facilitate</w:t>
      </w:r>
      <w:r w:rsidR="001C2DA9" w:rsidRPr="00E33DBB">
        <w:rPr>
          <w:rFonts w:cs="Times New Roman"/>
          <w:sz w:val="24"/>
          <w:szCs w:val="24"/>
        </w:rPr>
        <w:t xml:space="preserve"> collaboration</w:t>
      </w:r>
      <w:r w:rsidR="00F23364" w:rsidRPr="00E33DBB">
        <w:rPr>
          <w:rFonts w:cs="Times New Roman"/>
          <w:sz w:val="24"/>
          <w:szCs w:val="24"/>
        </w:rPr>
        <w:t xml:space="preserve">, </w:t>
      </w:r>
      <w:r w:rsidR="009D6748" w:rsidRPr="00E33DBB">
        <w:rPr>
          <w:rFonts w:cs="Times New Roman"/>
          <w:sz w:val="24"/>
          <w:szCs w:val="24"/>
        </w:rPr>
        <w:t>an</w:t>
      </w:r>
      <w:r w:rsidR="006F614C" w:rsidRPr="00E33DBB">
        <w:rPr>
          <w:rFonts w:cs="Times New Roman"/>
          <w:sz w:val="24"/>
          <w:szCs w:val="24"/>
        </w:rPr>
        <w:t xml:space="preserve"> alternative</w:t>
      </w:r>
      <w:r w:rsidR="009D6748" w:rsidRPr="00E33DBB">
        <w:rPr>
          <w:rFonts w:cs="Times New Roman"/>
          <w:sz w:val="24"/>
          <w:szCs w:val="24"/>
        </w:rPr>
        <w:t xml:space="preserve"> bottom-up approach is to</w:t>
      </w:r>
      <w:r w:rsidR="001C2DA9" w:rsidRPr="00E33DBB">
        <w:rPr>
          <w:rFonts w:cs="Times New Roman"/>
          <w:sz w:val="24"/>
          <w:szCs w:val="24"/>
        </w:rPr>
        <w:t xml:space="preserve"> include training in </w:t>
      </w:r>
      <w:r w:rsidR="009D6748" w:rsidRPr="00E33DBB">
        <w:rPr>
          <w:rFonts w:cs="Times New Roman"/>
          <w:sz w:val="24"/>
          <w:szCs w:val="24"/>
        </w:rPr>
        <w:t xml:space="preserve"> academic literacy instruction</w:t>
      </w:r>
      <w:r w:rsidR="006F614C" w:rsidRPr="00E33DBB">
        <w:rPr>
          <w:rFonts w:cs="Times New Roman"/>
          <w:sz w:val="24"/>
          <w:szCs w:val="24"/>
        </w:rPr>
        <w:t xml:space="preserve"> into exi</w:t>
      </w:r>
      <w:r w:rsidR="009D6748" w:rsidRPr="00E33DBB">
        <w:rPr>
          <w:rFonts w:cs="Times New Roman"/>
          <w:sz w:val="24"/>
          <w:szCs w:val="24"/>
        </w:rPr>
        <w:t xml:space="preserve">sting staff development programmes. </w:t>
      </w:r>
      <w:r w:rsidR="00B943F9" w:rsidRPr="00E33DBB">
        <w:rPr>
          <w:rFonts w:cs="Times New Roman"/>
          <w:sz w:val="24"/>
          <w:szCs w:val="24"/>
        </w:rPr>
        <w:t>I have begun this approach at King’s College London, and this is the second initiative I want to present here.</w:t>
      </w:r>
    </w:p>
    <w:p w:rsidR="00001586" w:rsidRPr="00E33DBB" w:rsidRDefault="00001586" w:rsidP="00E33DBB">
      <w:pPr>
        <w:spacing w:line="276" w:lineRule="auto"/>
        <w:ind w:left="0"/>
        <w:rPr>
          <w:rFonts w:cs="Times New Roman"/>
          <w:sz w:val="24"/>
          <w:szCs w:val="24"/>
        </w:rPr>
      </w:pPr>
    </w:p>
    <w:p w:rsidR="002A3EB8" w:rsidRPr="00E33DBB" w:rsidRDefault="00B943F9" w:rsidP="00E33DBB">
      <w:pPr>
        <w:pStyle w:val="ListParagraph"/>
        <w:numPr>
          <w:ilvl w:val="0"/>
          <w:numId w:val="7"/>
        </w:numPr>
        <w:spacing w:line="276" w:lineRule="auto"/>
        <w:rPr>
          <w:rFonts w:cs="Times New Roman"/>
          <w:b/>
          <w:sz w:val="24"/>
          <w:szCs w:val="24"/>
        </w:rPr>
      </w:pPr>
      <w:r w:rsidRPr="00E33DBB">
        <w:rPr>
          <w:rFonts w:cs="Times New Roman"/>
          <w:b/>
          <w:sz w:val="24"/>
          <w:szCs w:val="24"/>
        </w:rPr>
        <w:t>S</w:t>
      </w:r>
      <w:r w:rsidR="002A3EB8" w:rsidRPr="00E33DBB">
        <w:rPr>
          <w:rFonts w:cs="Times New Roman"/>
          <w:b/>
          <w:sz w:val="24"/>
          <w:szCs w:val="24"/>
        </w:rPr>
        <w:t xml:space="preserve">taff </w:t>
      </w:r>
      <w:r w:rsidR="00C35723" w:rsidRPr="00E33DBB">
        <w:rPr>
          <w:rFonts w:cs="Times New Roman"/>
          <w:b/>
          <w:sz w:val="24"/>
          <w:szCs w:val="24"/>
        </w:rPr>
        <w:t>Development and Curriculum Integration</w:t>
      </w:r>
    </w:p>
    <w:p w:rsidR="00D84C8B" w:rsidRPr="00E33DBB" w:rsidRDefault="000404F0" w:rsidP="00E33DBB">
      <w:pPr>
        <w:spacing w:line="276" w:lineRule="auto"/>
        <w:ind w:left="0" w:firstLine="0"/>
        <w:rPr>
          <w:rFonts w:cs="Times New Roman"/>
          <w:sz w:val="24"/>
          <w:szCs w:val="24"/>
        </w:rPr>
      </w:pPr>
      <w:r w:rsidRPr="00E33DBB">
        <w:rPr>
          <w:rFonts w:cs="Times New Roman"/>
          <w:sz w:val="24"/>
          <w:szCs w:val="24"/>
        </w:rPr>
        <w:t>In my view, the</w:t>
      </w:r>
      <w:r w:rsidR="00DA69F3" w:rsidRPr="00E33DBB">
        <w:rPr>
          <w:rFonts w:cs="Times New Roman"/>
          <w:sz w:val="24"/>
          <w:szCs w:val="24"/>
        </w:rPr>
        <w:t xml:space="preserve"> most suitable target group for a staff development course on academic l</w:t>
      </w:r>
      <w:r w:rsidRPr="00E33DBB">
        <w:rPr>
          <w:rFonts w:cs="Times New Roman"/>
          <w:sz w:val="24"/>
          <w:szCs w:val="24"/>
        </w:rPr>
        <w:t>iteracy instruction are</w:t>
      </w:r>
      <w:r w:rsidR="00DA69F3" w:rsidRPr="00E33DBB">
        <w:rPr>
          <w:rFonts w:cs="Times New Roman"/>
          <w:sz w:val="24"/>
          <w:szCs w:val="24"/>
        </w:rPr>
        <w:t xml:space="preserve"> the participants in the Postgraduate Certificate of Academic Practice (PGCAP) programme</w:t>
      </w:r>
      <w:r w:rsidR="008B3B4E" w:rsidRPr="00E33DBB">
        <w:rPr>
          <w:rFonts w:cs="Times New Roman"/>
          <w:sz w:val="24"/>
          <w:szCs w:val="24"/>
        </w:rPr>
        <w:t>. These are</w:t>
      </w:r>
      <w:r w:rsidR="009E3110" w:rsidRPr="00E33DBB">
        <w:rPr>
          <w:rFonts w:cs="Times New Roman"/>
          <w:sz w:val="24"/>
          <w:szCs w:val="24"/>
        </w:rPr>
        <w:t xml:space="preserve"> </w:t>
      </w:r>
      <w:r w:rsidR="00DA69F3" w:rsidRPr="00E33DBB">
        <w:rPr>
          <w:rFonts w:cs="Times New Roman"/>
          <w:sz w:val="24"/>
          <w:szCs w:val="24"/>
        </w:rPr>
        <w:t xml:space="preserve">mostly </w:t>
      </w:r>
      <w:r w:rsidR="008B3B4E" w:rsidRPr="00E33DBB">
        <w:rPr>
          <w:rFonts w:cs="Times New Roman"/>
          <w:sz w:val="24"/>
          <w:szCs w:val="24"/>
        </w:rPr>
        <w:t xml:space="preserve">young </w:t>
      </w:r>
      <w:r w:rsidR="00DA69F3" w:rsidRPr="00E33DBB">
        <w:rPr>
          <w:rFonts w:cs="Times New Roman"/>
          <w:sz w:val="24"/>
          <w:szCs w:val="24"/>
        </w:rPr>
        <w:t xml:space="preserve">lecturers </w:t>
      </w:r>
      <w:r w:rsidR="009E3110" w:rsidRPr="00E33DBB">
        <w:rPr>
          <w:rFonts w:cs="Times New Roman"/>
          <w:sz w:val="24"/>
          <w:szCs w:val="24"/>
        </w:rPr>
        <w:t xml:space="preserve">who </w:t>
      </w:r>
      <w:r w:rsidR="00DA69F3" w:rsidRPr="00E33DBB">
        <w:rPr>
          <w:rFonts w:cs="Times New Roman"/>
          <w:sz w:val="24"/>
          <w:szCs w:val="24"/>
        </w:rPr>
        <w:t>have to obtain the certificate as a teaching qualification.</w:t>
      </w:r>
      <w:r w:rsidR="004F1AB0" w:rsidRPr="00E33DBB">
        <w:rPr>
          <w:rFonts w:cs="Times New Roman"/>
          <w:sz w:val="24"/>
          <w:szCs w:val="24"/>
        </w:rPr>
        <w:t xml:space="preserve"> Showing them ways of embedding </w:t>
      </w:r>
      <w:r w:rsidR="009E3110" w:rsidRPr="00E33DBB">
        <w:rPr>
          <w:rFonts w:cs="Times New Roman"/>
          <w:sz w:val="24"/>
          <w:szCs w:val="24"/>
        </w:rPr>
        <w:t xml:space="preserve">academic literacy </w:t>
      </w:r>
      <w:r w:rsidR="004F1AB0" w:rsidRPr="00E33DBB">
        <w:rPr>
          <w:rFonts w:cs="Times New Roman"/>
          <w:sz w:val="24"/>
          <w:szCs w:val="24"/>
        </w:rPr>
        <w:t>instruction into the curriculum</w:t>
      </w:r>
      <w:r w:rsidR="00BA21AB" w:rsidRPr="00E33DBB">
        <w:rPr>
          <w:rFonts w:cs="Times New Roman"/>
          <w:sz w:val="24"/>
          <w:szCs w:val="24"/>
        </w:rPr>
        <w:t xml:space="preserve"> early in their career provides a good chanc</w:t>
      </w:r>
      <w:r w:rsidR="00632009" w:rsidRPr="00E33DBB">
        <w:rPr>
          <w:rFonts w:cs="Times New Roman"/>
          <w:sz w:val="24"/>
          <w:szCs w:val="24"/>
        </w:rPr>
        <w:t>e that they will make this a permanent part of</w:t>
      </w:r>
      <w:r w:rsidR="00F50566" w:rsidRPr="00E33DBB">
        <w:rPr>
          <w:rFonts w:cs="Times New Roman"/>
          <w:sz w:val="24"/>
          <w:szCs w:val="24"/>
        </w:rPr>
        <w:t xml:space="preserve"> their teaching practice</w:t>
      </w:r>
      <w:r w:rsidR="00BA21AB" w:rsidRPr="00E33DBB">
        <w:rPr>
          <w:rFonts w:cs="Times New Roman"/>
          <w:sz w:val="24"/>
          <w:szCs w:val="24"/>
        </w:rPr>
        <w:t xml:space="preserve">. </w:t>
      </w:r>
      <w:r w:rsidR="00632009" w:rsidRPr="00E33DBB">
        <w:rPr>
          <w:rFonts w:cs="Times New Roman"/>
          <w:sz w:val="24"/>
          <w:szCs w:val="24"/>
        </w:rPr>
        <w:t>As the PGCAP programme is attended by lecturers from a range of disciplines, the course on academic literacy</w:t>
      </w:r>
      <w:r w:rsidRPr="00E33DBB">
        <w:rPr>
          <w:rFonts w:cs="Times New Roman"/>
          <w:sz w:val="24"/>
          <w:szCs w:val="24"/>
        </w:rPr>
        <w:t xml:space="preserve"> instruction also provides </w:t>
      </w:r>
      <w:r w:rsidR="00632009" w:rsidRPr="00E33DBB">
        <w:rPr>
          <w:rFonts w:cs="Times New Roman"/>
          <w:sz w:val="24"/>
          <w:szCs w:val="24"/>
        </w:rPr>
        <w:t xml:space="preserve">an opportunity to develop academic literacy </w:t>
      </w:r>
      <w:r w:rsidR="00632009" w:rsidRPr="00E33DBB">
        <w:rPr>
          <w:rFonts w:cs="Times New Roman"/>
          <w:i/>
          <w:sz w:val="24"/>
          <w:szCs w:val="24"/>
        </w:rPr>
        <w:t xml:space="preserve">across </w:t>
      </w:r>
      <w:r w:rsidR="00632009" w:rsidRPr="00E33DBB">
        <w:rPr>
          <w:rFonts w:cs="Times New Roman"/>
          <w:sz w:val="24"/>
          <w:szCs w:val="24"/>
        </w:rPr>
        <w:t xml:space="preserve">the curriculum, </w:t>
      </w:r>
      <w:r w:rsidR="00D84C8B" w:rsidRPr="00E33DBB">
        <w:rPr>
          <w:rFonts w:cs="Times New Roman"/>
          <w:sz w:val="24"/>
          <w:szCs w:val="24"/>
        </w:rPr>
        <w:t xml:space="preserve">as it is likely that successive cohorts of participants will disseminate insights from the academic literacy course in their departments and gradually improve the instructional provision. </w:t>
      </w:r>
    </w:p>
    <w:p w:rsidR="00B943F9" w:rsidRPr="00E33DBB" w:rsidRDefault="00226593" w:rsidP="00E33DBB">
      <w:pPr>
        <w:spacing w:line="276" w:lineRule="auto"/>
        <w:ind w:left="0" w:firstLine="0"/>
        <w:rPr>
          <w:rFonts w:cs="Times New Roman"/>
          <w:sz w:val="24"/>
          <w:szCs w:val="24"/>
        </w:rPr>
      </w:pPr>
      <w:r w:rsidRPr="00E33DBB">
        <w:rPr>
          <w:rFonts w:cs="Times New Roman"/>
          <w:sz w:val="24"/>
          <w:szCs w:val="24"/>
        </w:rPr>
        <w:t>For these reasons, I</w:t>
      </w:r>
      <w:r w:rsidR="00274BF0" w:rsidRPr="00E33DBB">
        <w:rPr>
          <w:rFonts w:cs="Times New Roman"/>
          <w:sz w:val="24"/>
          <w:szCs w:val="24"/>
        </w:rPr>
        <w:t xml:space="preserve"> designed</w:t>
      </w:r>
      <w:r w:rsidR="006C026F" w:rsidRPr="00E33DBB">
        <w:rPr>
          <w:rFonts w:cs="Times New Roman"/>
          <w:sz w:val="24"/>
          <w:szCs w:val="24"/>
        </w:rPr>
        <w:t xml:space="preserve"> </w:t>
      </w:r>
      <w:r w:rsidR="00DA69F3" w:rsidRPr="00E33DBB">
        <w:rPr>
          <w:rFonts w:cs="Times New Roman"/>
          <w:sz w:val="24"/>
          <w:szCs w:val="24"/>
        </w:rPr>
        <w:t>an option</w:t>
      </w:r>
      <w:r w:rsidR="00C9235E" w:rsidRPr="00E33DBB">
        <w:rPr>
          <w:rFonts w:cs="Times New Roman"/>
          <w:sz w:val="24"/>
          <w:szCs w:val="24"/>
        </w:rPr>
        <w:t>al</w:t>
      </w:r>
      <w:r w:rsidR="00DA69F3" w:rsidRPr="00E33DBB">
        <w:rPr>
          <w:rFonts w:cs="Times New Roman"/>
          <w:sz w:val="24"/>
          <w:szCs w:val="24"/>
        </w:rPr>
        <w:t xml:space="preserve"> module</w:t>
      </w:r>
      <w:r w:rsidRPr="00E33DBB">
        <w:rPr>
          <w:rFonts w:cs="Times New Roman"/>
          <w:sz w:val="24"/>
          <w:szCs w:val="24"/>
        </w:rPr>
        <w:t xml:space="preserve"> called ‘Supporting the development of</w:t>
      </w:r>
      <w:r w:rsidR="00274BF0" w:rsidRPr="00E33DBB">
        <w:rPr>
          <w:rFonts w:cs="Times New Roman"/>
          <w:sz w:val="24"/>
          <w:szCs w:val="24"/>
        </w:rPr>
        <w:t xml:space="preserve"> academic literacy’ </w:t>
      </w:r>
      <w:r w:rsidR="006C026F" w:rsidRPr="00E33DBB">
        <w:rPr>
          <w:rFonts w:cs="Times New Roman"/>
          <w:sz w:val="24"/>
          <w:szCs w:val="24"/>
        </w:rPr>
        <w:t>for</w:t>
      </w:r>
      <w:r w:rsidR="00274BF0" w:rsidRPr="00E33DBB">
        <w:rPr>
          <w:rFonts w:cs="Times New Roman"/>
          <w:sz w:val="24"/>
          <w:szCs w:val="24"/>
        </w:rPr>
        <w:t xml:space="preserve"> the PGCAP</w:t>
      </w:r>
      <w:r w:rsidR="006C026F" w:rsidRPr="00E33DBB">
        <w:rPr>
          <w:rFonts w:cs="Times New Roman"/>
          <w:sz w:val="24"/>
          <w:szCs w:val="24"/>
        </w:rPr>
        <w:t>, and taught it for the first time in the autumn term of the 2015/16 academic year</w:t>
      </w:r>
      <w:r w:rsidR="00274BF0" w:rsidRPr="00E33DBB">
        <w:rPr>
          <w:rFonts w:cs="Times New Roman"/>
          <w:sz w:val="24"/>
          <w:szCs w:val="24"/>
        </w:rPr>
        <w:t>.</w:t>
      </w:r>
      <w:r w:rsidR="00DA69F3" w:rsidRPr="00E33DBB">
        <w:rPr>
          <w:rFonts w:cs="Times New Roman"/>
          <w:sz w:val="24"/>
          <w:szCs w:val="24"/>
        </w:rPr>
        <w:t xml:space="preserve"> </w:t>
      </w:r>
      <w:r w:rsidRPr="00E33DBB">
        <w:rPr>
          <w:rFonts w:cs="Times New Roman"/>
          <w:sz w:val="24"/>
          <w:szCs w:val="24"/>
        </w:rPr>
        <w:t xml:space="preserve">The </w:t>
      </w:r>
      <w:r w:rsidR="009C7D56" w:rsidRPr="00E33DBB">
        <w:rPr>
          <w:rFonts w:cs="Times New Roman"/>
          <w:sz w:val="24"/>
          <w:szCs w:val="24"/>
        </w:rPr>
        <w:t>content for the five three-hour sessions was the following:</w:t>
      </w:r>
    </w:p>
    <w:p w:rsidR="008E05CF" w:rsidRPr="00E33DBB" w:rsidRDefault="009C7D56" w:rsidP="00E33DBB">
      <w:pPr>
        <w:pStyle w:val="ListParagraph"/>
        <w:numPr>
          <w:ilvl w:val="0"/>
          <w:numId w:val="8"/>
        </w:numPr>
        <w:spacing w:line="276" w:lineRule="auto"/>
        <w:rPr>
          <w:rFonts w:cs="Times New Roman"/>
          <w:sz w:val="24"/>
          <w:szCs w:val="24"/>
        </w:rPr>
      </w:pPr>
      <w:r w:rsidRPr="00E33DBB">
        <w:rPr>
          <w:rFonts w:cs="Times New Roman"/>
          <w:sz w:val="24"/>
          <w:szCs w:val="24"/>
        </w:rPr>
        <w:t xml:space="preserve">Concept of academic literacy; student learning needs versus current support </w:t>
      </w:r>
      <w:r w:rsidR="006E2992" w:rsidRPr="00E33DBB">
        <w:rPr>
          <w:rFonts w:cs="Times New Roman"/>
          <w:sz w:val="24"/>
          <w:szCs w:val="24"/>
        </w:rPr>
        <w:t xml:space="preserve"> </w:t>
      </w:r>
      <w:r w:rsidRPr="00E33DBB">
        <w:rPr>
          <w:rFonts w:cs="Times New Roman"/>
          <w:sz w:val="24"/>
          <w:szCs w:val="24"/>
        </w:rPr>
        <w:t>provision</w:t>
      </w:r>
    </w:p>
    <w:p w:rsidR="009C7D56" w:rsidRPr="00E33DBB" w:rsidRDefault="009C7D56" w:rsidP="00E33DBB">
      <w:pPr>
        <w:pStyle w:val="ListParagraph"/>
        <w:numPr>
          <w:ilvl w:val="0"/>
          <w:numId w:val="8"/>
        </w:numPr>
        <w:spacing w:line="276" w:lineRule="auto"/>
        <w:rPr>
          <w:rFonts w:cs="Times New Roman"/>
          <w:sz w:val="24"/>
          <w:szCs w:val="24"/>
        </w:rPr>
      </w:pPr>
      <w:r w:rsidRPr="00E33DBB">
        <w:rPr>
          <w:rFonts w:cs="Times New Roman"/>
          <w:sz w:val="24"/>
          <w:szCs w:val="24"/>
        </w:rPr>
        <w:t>Theoretical frameworks underpinning academic literacy instruction</w:t>
      </w:r>
    </w:p>
    <w:p w:rsidR="009C7D56" w:rsidRPr="00E33DBB" w:rsidRDefault="009C7D56" w:rsidP="00E33DBB">
      <w:pPr>
        <w:pStyle w:val="ListParagraph"/>
        <w:numPr>
          <w:ilvl w:val="0"/>
          <w:numId w:val="8"/>
        </w:numPr>
        <w:spacing w:line="276" w:lineRule="auto"/>
        <w:rPr>
          <w:rFonts w:cs="Times New Roman"/>
          <w:sz w:val="24"/>
          <w:szCs w:val="24"/>
        </w:rPr>
      </w:pPr>
      <w:r w:rsidRPr="00E33DBB">
        <w:rPr>
          <w:rFonts w:cs="Times New Roman"/>
          <w:sz w:val="24"/>
          <w:szCs w:val="24"/>
        </w:rPr>
        <w:t>Embedding literacy instruction into teaching and assessment</w:t>
      </w:r>
    </w:p>
    <w:p w:rsidR="009C7D56" w:rsidRPr="00E33DBB" w:rsidRDefault="009C7D56" w:rsidP="00E33DBB">
      <w:pPr>
        <w:pStyle w:val="ListParagraph"/>
        <w:numPr>
          <w:ilvl w:val="0"/>
          <w:numId w:val="8"/>
        </w:numPr>
        <w:spacing w:line="276" w:lineRule="auto"/>
        <w:rPr>
          <w:rFonts w:cs="Times New Roman"/>
          <w:sz w:val="24"/>
          <w:szCs w:val="24"/>
        </w:rPr>
      </w:pPr>
      <w:r w:rsidRPr="00E33DBB">
        <w:rPr>
          <w:rFonts w:cs="Times New Roman"/>
          <w:sz w:val="24"/>
          <w:szCs w:val="24"/>
        </w:rPr>
        <w:t>Participants’ analysis of own context; proposals for improvements (</w:t>
      </w:r>
      <w:r w:rsidR="00FA68FB" w:rsidRPr="00E33DBB">
        <w:rPr>
          <w:rFonts w:cs="Times New Roman"/>
          <w:sz w:val="24"/>
          <w:szCs w:val="24"/>
        </w:rPr>
        <w:t>outside the classroom/</w:t>
      </w:r>
      <w:r w:rsidR="00825EF1" w:rsidRPr="00E33DBB">
        <w:rPr>
          <w:rFonts w:cs="Times New Roman"/>
          <w:sz w:val="24"/>
          <w:szCs w:val="24"/>
        </w:rPr>
        <w:t xml:space="preserve">independent work; </w:t>
      </w:r>
      <w:r w:rsidRPr="00E33DBB">
        <w:rPr>
          <w:rFonts w:cs="Times New Roman"/>
          <w:sz w:val="24"/>
          <w:szCs w:val="24"/>
        </w:rPr>
        <w:t>online submission)</w:t>
      </w:r>
    </w:p>
    <w:p w:rsidR="009C7D56" w:rsidRPr="00E33DBB" w:rsidRDefault="009C7D56" w:rsidP="00E33DBB">
      <w:pPr>
        <w:pStyle w:val="ListParagraph"/>
        <w:numPr>
          <w:ilvl w:val="0"/>
          <w:numId w:val="8"/>
        </w:numPr>
        <w:spacing w:line="276" w:lineRule="auto"/>
        <w:rPr>
          <w:rFonts w:cs="Times New Roman"/>
          <w:sz w:val="24"/>
          <w:szCs w:val="24"/>
        </w:rPr>
      </w:pPr>
      <w:r w:rsidRPr="00E33DBB">
        <w:rPr>
          <w:rFonts w:cs="Times New Roman"/>
          <w:sz w:val="24"/>
          <w:szCs w:val="24"/>
        </w:rPr>
        <w:t>Dis</w:t>
      </w:r>
      <w:r w:rsidR="005A6608" w:rsidRPr="00E33DBB">
        <w:rPr>
          <w:rFonts w:cs="Times New Roman"/>
          <w:sz w:val="24"/>
          <w:szCs w:val="24"/>
        </w:rPr>
        <w:t>cussion of proposals; discussi</w:t>
      </w:r>
      <w:r w:rsidR="00825EF1" w:rsidRPr="00E33DBB">
        <w:rPr>
          <w:rFonts w:cs="Times New Roman"/>
          <w:sz w:val="24"/>
          <w:szCs w:val="24"/>
        </w:rPr>
        <w:t xml:space="preserve">on of </w:t>
      </w:r>
      <w:r w:rsidRPr="00E33DBB">
        <w:rPr>
          <w:rFonts w:cs="Times New Roman"/>
          <w:sz w:val="24"/>
          <w:szCs w:val="24"/>
        </w:rPr>
        <w:t xml:space="preserve"> </w:t>
      </w:r>
      <w:r w:rsidR="005A6608" w:rsidRPr="00E33DBB">
        <w:rPr>
          <w:rFonts w:cs="Times New Roman"/>
          <w:sz w:val="24"/>
          <w:szCs w:val="24"/>
        </w:rPr>
        <w:t xml:space="preserve">possible </w:t>
      </w:r>
      <w:r w:rsidRPr="00E33DBB">
        <w:rPr>
          <w:rFonts w:cs="Times New Roman"/>
          <w:sz w:val="24"/>
          <w:szCs w:val="24"/>
        </w:rPr>
        <w:t>initiatives</w:t>
      </w:r>
      <w:r w:rsidR="005A6608" w:rsidRPr="00E33DBB">
        <w:rPr>
          <w:rFonts w:cs="Times New Roman"/>
          <w:sz w:val="24"/>
          <w:szCs w:val="24"/>
        </w:rPr>
        <w:t>/interventions</w:t>
      </w:r>
      <w:r w:rsidRPr="00E33DBB">
        <w:rPr>
          <w:rFonts w:cs="Times New Roman"/>
          <w:sz w:val="24"/>
          <w:szCs w:val="24"/>
        </w:rPr>
        <w:t xml:space="preserve"> in participants’ departments</w:t>
      </w:r>
      <w:r w:rsidR="00825EF1" w:rsidRPr="00E33DBB">
        <w:rPr>
          <w:rFonts w:cs="Times New Roman"/>
          <w:sz w:val="24"/>
          <w:szCs w:val="24"/>
        </w:rPr>
        <w:t>.</w:t>
      </w:r>
    </w:p>
    <w:p w:rsidR="009C7D56" w:rsidRPr="00E33DBB" w:rsidRDefault="009C7D56" w:rsidP="00E33DBB">
      <w:pPr>
        <w:pStyle w:val="ListParagraph"/>
        <w:spacing w:line="276" w:lineRule="auto"/>
        <w:rPr>
          <w:rFonts w:cs="Times New Roman"/>
          <w:sz w:val="24"/>
          <w:szCs w:val="24"/>
        </w:rPr>
      </w:pPr>
    </w:p>
    <w:p w:rsidR="007D7E33" w:rsidRPr="00E33DBB" w:rsidRDefault="008E05CF" w:rsidP="00E33DBB">
      <w:pPr>
        <w:spacing w:line="276" w:lineRule="auto"/>
        <w:ind w:left="0" w:firstLine="0"/>
        <w:rPr>
          <w:rFonts w:cs="Times New Roman"/>
          <w:sz w:val="24"/>
          <w:szCs w:val="24"/>
        </w:rPr>
      </w:pPr>
      <w:r w:rsidRPr="00E33DBB">
        <w:rPr>
          <w:rFonts w:cs="Times New Roman"/>
          <w:sz w:val="24"/>
          <w:szCs w:val="24"/>
        </w:rPr>
        <w:t>I will only discuss in more detail</w:t>
      </w:r>
      <w:r w:rsidR="006E2992" w:rsidRPr="00E33DBB">
        <w:rPr>
          <w:rFonts w:cs="Times New Roman"/>
          <w:sz w:val="24"/>
          <w:szCs w:val="24"/>
        </w:rPr>
        <w:t xml:space="preserve"> Session 3, </w:t>
      </w:r>
      <w:r w:rsidR="005A6608" w:rsidRPr="00E33DBB">
        <w:rPr>
          <w:rFonts w:cs="Times New Roman"/>
          <w:sz w:val="24"/>
          <w:szCs w:val="24"/>
        </w:rPr>
        <w:t>which laid the ground for the proposals that the participants developed in Sessions 4 and 5, and t</w:t>
      </w:r>
      <w:r w:rsidR="00FE4922" w:rsidRPr="00E33DBB">
        <w:rPr>
          <w:rFonts w:cs="Times New Roman"/>
          <w:sz w:val="24"/>
          <w:szCs w:val="24"/>
        </w:rPr>
        <w:t>he interventions that they designed consequently</w:t>
      </w:r>
      <w:r w:rsidR="0053343B" w:rsidRPr="00E33DBB">
        <w:rPr>
          <w:rFonts w:cs="Times New Roman"/>
          <w:sz w:val="24"/>
          <w:szCs w:val="24"/>
        </w:rPr>
        <w:t>.</w:t>
      </w:r>
      <w:r w:rsidR="00FE4922" w:rsidRPr="00E33DBB">
        <w:rPr>
          <w:rFonts w:cs="Times New Roman"/>
          <w:sz w:val="24"/>
          <w:szCs w:val="24"/>
        </w:rPr>
        <w:t xml:space="preserve"> </w:t>
      </w:r>
      <w:r w:rsidR="00021F9A" w:rsidRPr="00E33DBB">
        <w:rPr>
          <w:rFonts w:cs="Times New Roman"/>
          <w:sz w:val="24"/>
          <w:szCs w:val="24"/>
        </w:rPr>
        <w:t xml:space="preserve">Six methods were </w:t>
      </w:r>
      <w:r w:rsidR="00BD7C17" w:rsidRPr="00E33DBB">
        <w:rPr>
          <w:rFonts w:cs="Times New Roman"/>
          <w:sz w:val="24"/>
          <w:szCs w:val="24"/>
        </w:rPr>
        <w:t xml:space="preserve">proposed for embedding academic literacy instruction into lecturers’ regular teaching and assessment </w:t>
      </w:r>
      <w:r w:rsidR="00021F9A" w:rsidRPr="00E33DBB">
        <w:rPr>
          <w:rFonts w:cs="Times New Roman"/>
          <w:sz w:val="24"/>
          <w:szCs w:val="24"/>
        </w:rPr>
        <w:t xml:space="preserve">activities, which I will briefly present here. </w:t>
      </w:r>
      <w:r w:rsidR="00C63BA7" w:rsidRPr="00E33DBB">
        <w:rPr>
          <w:rFonts w:cs="Times New Roman"/>
          <w:sz w:val="24"/>
          <w:szCs w:val="24"/>
        </w:rPr>
        <w:t xml:space="preserve">For all six methods, </w:t>
      </w:r>
      <w:r w:rsidR="00A87215" w:rsidRPr="00E33DBB">
        <w:rPr>
          <w:rFonts w:cs="Times New Roman"/>
          <w:sz w:val="24"/>
          <w:szCs w:val="24"/>
        </w:rPr>
        <w:t xml:space="preserve">I provided </w:t>
      </w:r>
      <w:r w:rsidR="00C63BA7" w:rsidRPr="00E33DBB">
        <w:rPr>
          <w:rFonts w:cs="Times New Roman"/>
          <w:sz w:val="24"/>
          <w:szCs w:val="24"/>
        </w:rPr>
        <w:t>examples from my own</w:t>
      </w:r>
      <w:r w:rsidR="00A87215" w:rsidRPr="00E33DBB">
        <w:rPr>
          <w:rFonts w:cs="Times New Roman"/>
          <w:sz w:val="24"/>
          <w:szCs w:val="24"/>
        </w:rPr>
        <w:t xml:space="preserve"> teaching practice</w:t>
      </w:r>
      <w:r w:rsidR="00C63BA7" w:rsidRPr="00E33DBB">
        <w:rPr>
          <w:rFonts w:cs="Times New Roman"/>
          <w:sz w:val="24"/>
          <w:szCs w:val="24"/>
        </w:rPr>
        <w:t>.</w:t>
      </w:r>
    </w:p>
    <w:p w:rsidR="00F47D76" w:rsidRPr="00E33DBB" w:rsidRDefault="008050D7" w:rsidP="00E33DBB">
      <w:pPr>
        <w:pStyle w:val="ListParagraph"/>
        <w:numPr>
          <w:ilvl w:val="0"/>
          <w:numId w:val="3"/>
        </w:numPr>
        <w:spacing w:line="276" w:lineRule="auto"/>
        <w:rPr>
          <w:rFonts w:cs="Times New Roman"/>
          <w:sz w:val="24"/>
          <w:szCs w:val="24"/>
        </w:rPr>
      </w:pPr>
      <w:r w:rsidRPr="00E33DBB">
        <w:rPr>
          <w:rFonts w:cs="Times New Roman"/>
          <w:sz w:val="24"/>
          <w:szCs w:val="24"/>
        </w:rPr>
        <w:t>Induction activities</w:t>
      </w:r>
      <w:r w:rsidR="00021F9A" w:rsidRPr="00E33DBB">
        <w:rPr>
          <w:rFonts w:cs="Times New Roman"/>
          <w:sz w:val="24"/>
          <w:szCs w:val="24"/>
        </w:rPr>
        <w:t>: Includ</w:t>
      </w:r>
      <w:r w:rsidR="00505851" w:rsidRPr="00E33DBB">
        <w:rPr>
          <w:rFonts w:cs="Times New Roman"/>
          <w:sz w:val="24"/>
          <w:szCs w:val="24"/>
        </w:rPr>
        <w:t>ing</w:t>
      </w:r>
      <w:r w:rsidR="00797962" w:rsidRPr="00E33DBB">
        <w:rPr>
          <w:rFonts w:cs="Times New Roman"/>
          <w:sz w:val="24"/>
          <w:szCs w:val="24"/>
        </w:rPr>
        <w:t xml:space="preserve"> </w:t>
      </w:r>
      <w:r w:rsidR="00021F9A" w:rsidRPr="00E33DBB">
        <w:rPr>
          <w:rFonts w:cs="Times New Roman"/>
          <w:sz w:val="24"/>
          <w:szCs w:val="24"/>
        </w:rPr>
        <w:t>a</w:t>
      </w:r>
      <w:r w:rsidR="008D5485" w:rsidRPr="00E33DBB">
        <w:rPr>
          <w:rFonts w:cs="Times New Roman"/>
          <w:sz w:val="24"/>
          <w:szCs w:val="24"/>
        </w:rPr>
        <w:t>cademic literacy</w:t>
      </w:r>
      <w:r w:rsidR="00021F9A" w:rsidRPr="00E33DBB">
        <w:rPr>
          <w:rFonts w:cs="Times New Roman"/>
          <w:sz w:val="24"/>
          <w:szCs w:val="24"/>
        </w:rPr>
        <w:t xml:space="preserve"> </w:t>
      </w:r>
      <w:r w:rsidR="00797962" w:rsidRPr="00E33DBB">
        <w:rPr>
          <w:rFonts w:cs="Times New Roman"/>
          <w:sz w:val="24"/>
          <w:szCs w:val="24"/>
        </w:rPr>
        <w:t xml:space="preserve">workshops and </w:t>
      </w:r>
      <w:r w:rsidR="00021F9A" w:rsidRPr="00E33DBB">
        <w:rPr>
          <w:rFonts w:cs="Times New Roman"/>
          <w:sz w:val="24"/>
          <w:szCs w:val="24"/>
        </w:rPr>
        <w:t>tasks, for instance library sea</w:t>
      </w:r>
      <w:r w:rsidR="00797962" w:rsidRPr="00E33DBB">
        <w:rPr>
          <w:rFonts w:cs="Times New Roman"/>
          <w:sz w:val="24"/>
          <w:szCs w:val="24"/>
        </w:rPr>
        <w:t>rches, into Induction Week</w:t>
      </w:r>
      <w:r w:rsidR="00021F9A" w:rsidRPr="00E33DBB">
        <w:rPr>
          <w:rFonts w:cs="Times New Roman"/>
          <w:sz w:val="24"/>
          <w:szCs w:val="24"/>
        </w:rPr>
        <w:t>.</w:t>
      </w:r>
      <w:r w:rsidR="008D5485" w:rsidRPr="00E33DBB">
        <w:rPr>
          <w:rFonts w:cs="Times New Roman"/>
          <w:sz w:val="24"/>
          <w:szCs w:val="24"/>
        </w:rPr>
        <w:t xml:space="preserve"> </w:t>
      </w:r>
      <w:r w:rsidR="00797962" w:rsidRPr="00E33DBB">
        <w:rPr>
          <w:rFonts w:cs="Times New Roman"/>
          <w:sz w:val="24"/>
          <w:szCs w:val="24"/>
        </w:rPr>
        <w:t xml:space="preserve"> Currently, the common format of Induction is that students spend days sitting</w:t>
      </w:r>
      <w:r w:rsidR="008D5485" w:rsidRPr="00E33DBB">
        <w:rPr>
          <w:rFonts w:cs="Times New Roman"/>
          <w:sz w:val="24"/>
          <w:szCs w:val="24"/>
        </w:rPr>
        <w:t xml:space="preserve"> passively in lecture halls </w:t>
      </w:r>
      <w:r w:rsidR="00797962" w:rsidRPr="00E33DBB">
        <w:rPr>
          <w:rFonts w:cs="Times New Roman"/>
          <w:sz w:val="24"/>
          <w:szCs w:val="24"/>
        </w:rPr>
        <w:t>listening to endless presentations about university l</w:t>
      </w:r>
      <w:r w:rsidR="00BF114D" w:rsidRPr="00E33DBB">
        <w:rPr>
          <w:rFonts w:cs="Times New Roman"/>
          <w:sz w:val="24"/>
          <w:szCs w:val="24"/>
        </w:rPr>
        <w:t>ife and their study programme (</w:t>
      </w:r>
      <w:r w:rsidR="00083FD0" w:rsidRPr="00E33DBB">
        <w:rPr>
          <w:rFonts w:cs="Times New Roman"/>
          <w:sz w:val="24"/>
          <w:szCs w:val="24"/>
        </w:rPr>
        <w:t>Edward</w:t>
      </w:r>
      <w:r w:rsidR="00BF114D" w:rsidRPr="00E33DBB">
        <w:rPr>
          <w:rFonts w:cs="Times New Roman"/>
          <w:sz w:val="24"/>
          <w:szCs w:val="24"/>
        </w:rPr>
        <w:t xml:space="preserve"> 2003</w:t>
      </w:r>
      <w:r w:rsidR="00797962" w:rsidRPr="00E33DBB">
        <w:rPr>
          <w:rFonts w:cs="Times New Roman"/>
          <w:sz w:val="24"/>
          <w:szCs w:val="24"/>
        </w:rPr>
        <w:t>).</w:t>
      </w:r>
      <w:r w:rsidR="00F47D76" w:rsidRPr="00E33DBB">
        <w:rPr>
          <w:rFonts w:cs="Times New Roman"/>
          <w:sz w:val="24"/>
          <w:szCs w:val="24"/>
        </w:rPr>
        <w:t xml:space="preserve"> Interactive workshops including case studies of students’ first experience with writing assignments, and problem-solving tasks, such as referencing and library searches, would be break the pattern of passivity and provide first insights into disciplinary academic literacy requirements and conventions.</w:t>
      </w:r>
    </w:p>
    <w:p w:rsidR="00BF114D" w:rsidRPr="00E33DBB" w:rsidRDefault="00BF114D" w:rsidP="00E33DBB">
      <w:pPr>
        <w:pStyle w:val="ListParagraph"/>
        <w:numPr>
          <w:ilvl w:val="0"/>
          <w:numId w:val="3"/>
        </w:numPr>
        <w:spacing w:line="276" w:lineRule="auto"/>
        <w:rPr>
          <w:rFonts w:cs="Times New Roman"/>
          <w:sz w:val="24"/>
          <w:szCs w:val="24"/>
        </w:rPr>
      </w:pPr>
      <w:r w:rsidRPr="00E33DBB">
        <w:rPr>
          <w:rFonts w:cs="Times New Roman"/>
          <w:sz w:val="24"/>
          <w:szCs w:val="24"/>
        </w:rPr>
        <w:t xml:space="preserve">Reading and writing: </w:t>
      </w:r>
      <w:r w:rsidR="003D2A06" w:rsidRPr="00E33DBB">
        <w:rPr>
          <w:rFonts w:cs="Times New Roman"/>
          <w:sz w:val="24"/>
          <w:szCs w:val="24"/>
        </w:rPr>
        <w:t>This would be a systematic programme of guided pre-reading. For each lecture, a pre-reading text is presented with guiding questions and discussion tasks. In the week before the lecture, students have to submit their contributions online and contribute to the online discussion. This method fosters academic reading, which has been largely neglected in the typical student support provision, and also ensures that students are prepared for the lecture.</w:t>
      </w:r>
    </w:p>
    <w:p w:rsidR="00B943F9" w:rsidRPr="00E33DBB" w:rsidRDefault="008050D7" w:rsidP="00E33DBB">
      <w:pPr>
        <w:pStyle w:val="ListParagraph"/>
        <w:numPr>
          <w:ilvl w:val="0"/>
          <w:numId w:val="3"/>
        </w:numPr>
        <w:spacing w:line="276" w:lineRule="auto"/>
        <w:rPr>
          <w:rFonts w:cs="Times New Roman"/>
          <w:sz w:val="24"/>
          <w:szCs w:val="24"/>
        </w:rPr>
      </w:pPr>
      <w:r w:rsidRPr="00E33DBB">
        <w:rPr>
          <w:rFonts w:cs="Times New Roman"/>
          <w:sz w:val="24"/>
          <w:szCs w:val="24"/>
        </w:rPr>
        <w:t>‘Literacy windows’</w:t>
      </w:r>
      <w:r w:rsidR="00FE4922" w:rsidRPr="00E33DBB">
        <w:rPr>
          <w:rFonts w:cs="Times New Roman"/>
          <w:sz w:val="24"/>
          <w:szCs w:val="24"/>
        </w:rPr>
        <w:t xml:space="preserve"> in lectures and seminars</w:t>
      </w:r>
      <w:r w:rsidRPr="00E33DBB">
        <w:rPr>
          <w:rFonts w:cs="Times New Roman"/>
          <w:sz w:val="24"/>
          <w:szCs w:val="24"/>
        </w:rPr>
        <w:t xml:space="preserve">: </w:t>
      </w:r>
      <w:r w:rsidR="00F47D76" w:rsidRPr="00E33DBB">
        <w:rPr>
          <w:rFonts w:cs="Times New Roman"/>
          <w:sz w:val="24"/>
          <w:szCs w:val="24"/>
        </w:rPr>
        <w:t xml:space="preserve"> </w:t>
      </w:r>
      <w:r w:rsidR="00FE4922" w:rsidRPr="00E33DBB">
        <w:rPr>
          <w:rFonts w:cs="Times New Roman"/>
          <w:sz w:val="24"/>
          <w:szCs w:val="24"/>
        </w:rPr>
        <w:t>Th</w:t>
      </w:r>
      <w:r w:rsidR="00AB107B" w:rsidRPr="00E33DBB">
        <w:rPr>
          <w:rFonts w:cs="Times New Roman"/>
          <w:sz w:val="24"/>
          <w:szCs w:val="24"/>
        </w:rPr>
        <w:t xml:space="preserve">is means that in regular </w:t>
      </w:r>
      <w:r w:rsidR="00FE4922" w:rsidRPr="00E33DBB">
        <w:rPr>
          <w:rFonts w:cs="Times New Roman"/>
          <w:sz w:val="24"/>
          <w:szCs w:val="24"/>
        </w:rPr>
        <w:t>classroom sessions</w:t>
      </w:r>
      <w:r w:rsidR="00AB107B" w:rsidRPr="00E33DBB">
        <w:rPr>
          <w:rFonts w:cs="Times New Roman"/>
          <w:sz w:val="24"/>
          <w:szCs w:val="24"/>
        </w:rPr>
        <w:t xml:space="preserve"> some time is set aside to f</w:t>
      </w:r>
      <w:r w:rsidR="00803466" w:rsidRPr="00E33DBB">
        <w:rPr>
          <w:rFonts w:cs="Times New Roman"/>
          <w:sz w:val="24"/>
          <w:szCs w:val="24"/>
        </w:rPr>
        <w:t>ocus on academic literacy conventions and requirements</w:t>
      </w:r>
      <w:r w:rsidR="00F362B3" w:rsidRPr="00E33DBB">
        <w:rPr>
          <w:rFonts w:cs="Times New Roman"/>
          <w:sz w:val="24"/>
          <w:szCs w:val="24"/>
        </w:rPr>
        <w:t>. For instance,</w:t>
      </w:r>
      <w:r w:rsidR="00FE4922" w:rsidRPr="00E33DBB">
        <w:rPr>
          <w:rFonts w:cs="Times New Roman"/>
          <w:sz w:val="24"/>
          <w:szCs w:val="24"/>
        </w:rPr>
        <w:t xml:space="preserve"> when new knowledge </w:t>
      </w:r>
      <w:r w:rsidR="00AB107B" w:rsidRPr="00E33DBB">
        <w:rPr>
          <w:rFonts w:cs="Times New Roman"/>
          <w:sz w:val="24"/>
          <w:szCs w:val="24"/>
        </w:rPr>
        <w:t>is introduced</w:t>
      </w:r>
      <w:r w:rsidR="00F362B3" w:rsidRPr="00E33DBB">
        <w:rPr>
          <w:rFonts w:cs="Times New Roman"/>
          <w:sz w:val="24"/>
          <w:szCs w:val="24"/>
        </w:rPr>
        <w:t xml:space="preserve"> in a lecture</w:t>
      </w:r>
      <w:r w:rsidR="00FE4922" w:rsidRPr="00E33DBB">
        <w:rPr>
          <w:rFonts w:cs="Times New Roman"/>
          <w:sz w:val="24"/>
          <w:szCs w:val="24"/>
        </w:rPr>
        <w:t>,</w:t>
      </w:r>
      <w:r w:rsidR="00F362B3" w:rsidRPr="00E33DBB">
        <w:rPr>
          <w:rFonts w:cs="Times New Roman"/>
          <w:sz w:val="24"/>
          <w:szCs w:val="24"/>
        </w:rPr>
        <w:t xml:space="preserve"> relevant text examples can be used to show how this knowledge is </w:t>
      </w:r>
      <w:r w:rsidR="00AB107B" w:rsidRPr="00E33DBB">
        <w:rPr>
          <w:rFonts w:cs="Times New Roman"/>
          <w:sz w:val="24"/>
          <w:szCs w:val="24"/>
        </w:rPr>
        <w:t>presented and debated in the literatur</w:t>
      </w:r>
      <w:r w:rsidR="00F362B3" w:rsidRPr="00E33DBB">
        <w:rPr>
          <w:rFonts w:cs="Times New Roman"/>
          <w:sz w:val="24"/>
          <w:szCs w:val="24"/>
        </w:rPr>
        <w:t xml:space="preserve">e, how claims are made and how authors refer to, </w:t>
      </w:r>
      <w:r w:rsidR="00AB107B" w:rsidRPr="00E33DBB">
        <w:rPr>
          <w:rFonts w:cs="Times New Roman"/>
          <w:sz w:val="24"/>
          <w:szCs w:val="24"/>
        </w:rPr>
        <w:t xml:space="preserve">agree or disagree with </w:t>
      </w:r>
      <w:r w:rsidR="00F362B3" w:rsidRPr="00E33DBB">
        <w:rPr>
          <w:rFonts w:cs="Times New Roman"/>
          <w:sz w:val="24"/>
          <w:szCs w:val="24"/>
        </w:rPr>
        <w:t xml:space="preserve">other authors.  Also, </w:t>
      </w:r>
      <w:r w:rsidR="00803466" w:rsidRPr="00E33DBB">
        <w:rPr>
          <w:rFonts w:cs="Times New Roman"/>
          <w:sz w:val="24"/>
          <w:szCs w:val="24"/>
        </w:rPr>
        <w:t xml:space="preserve">classroom time can be usefully allocated for </w:t>
      </w:r>
      <w:r w:rsidR="00F12E35" w:rsidRPr="00E33DBB">
        <w:rPr>
          <w:rFonts w:cs="Times New Roman"/>
          <w:sz w:val="24"/>
          <w:szCs w:val="24"/>
        </w:rPr>
        <w:t xml:space="preserve">explicit information on the </w:t>
      </w:r>
      <w:r w:rsidR="00F362B3" w:rsidRPr="00E33DBB">
        <w:rPr>
          <w:rFonts w:cs="Times New Roman"/>
          <w:sz w:val="24"/>
          <w:szCs w:val="24"/>
        </w:rPr>
        <w:t>expected student assignments.</w:t>
      </w:r>
    </w:p>
    <w:p w:rsidR="00F12E35" w:rsidRPr="00E33DBB" w:rsidRDefault="00F12E35" w:rsidP="00E33DBB">
      <w:pPr>
        <w:pStyle w:val="ListParagraph"/>
        <w:numPr>
          <w:ilvl w:val="0"/>
          <w:numId w:val="3"/>
        </w:numPr>
        <w:spacing w:line="276" w:lineRule="auto"/>
        <w:rPr>
          <w:rFonts w:cs="Times New Roman"/>
          <w:sz w:val="24"/>
          <w:szCs w:val="24"/>
        </w:rPr>
      </w:pPr>
      <w:r w:rsidRPr="00E33DBB">
        <w:rPr>
          <w:rFonts w:cs="Times New Roman"/>
          <w:sz w:val="24"/>
          <w:szCs w:val="24"/>
        </w:rPr>
        <w:t xml:space="preserve">Follow-up tutorials: The literacy windows integrated into regular classroom sessions could be followed up by </w:t>
      </w:r>
      <w:r w:rsidR="008800D3" w:rsidRPr="00E33DBB">
        <w:rPr>
          <w:rFonts w:cs="Times New Roman"/>
          <w:sz w:val="24"/>
          <w:szCs w:val="24"/>
        </w:rPr>
        <w:t xml:space="preserve">tutorials </w:t>
      </w:r>
      <w:r w:rsidR="00BF114D" w:rsidRPr="00E33DBB">
        <w:rPr>
          <w:rFonts w:cs="Times New Roman"/>
          <w:sz w:val="24"/>
          <w:szCs w:val="24"/>
        </w:rPr>
        <w:t>or workshops of the type we offered in our writing intervention. The text examples that were presented in the literacy windows, and assignments written by previous students could be subjected to a more fine-grained genre analysis. For the design and delivery of these tutorials, the help of EAP specialists would be needed.</w:t>
      </w:r>
    </w:p>
    <w:p w:rsidR="00BF114D" w:rsidRPr="00E33DBB" w:rsidRDefault="003D2A06" w:rsidP="00E33DBB">
      <w:pPr>
        <w:pStyle w:val="ListParagraph"/>
        <w:numPr>
          <w:ilvl w:val="0"/>
          <w:numId w:val="3"/>
        </w:numPr>
        <w:spacing w:line="276" w:lineRule="auto"/>
        <w:rPr>
          <w:rFonts w:cs="Times New Roman"/>
          <w:sz w:val="24"/>
          <w:szCs w:val="24"/>
        </w:rPr>
      </w:pPr>
      <w:r w:rsidRPr="00E33DBB">
        <w:rPr>
          <w:rFonts w:cs="Times New Roman"/>
          <w:sz w:val="24"/>
          <w:szCs w:val="24"/>
        </w:rPr>
        <w:t xml:space="preserve">Formative feedback: </w:t>
      </w:r>
      <w:r w:rsidR="00547B48" w:rsidRPr="00E33DBB">
        <w:rPr>
          <w:rFonts w:cs="Times New Roman"/>
          <w:sz w:val="24"/>
          <w:szCs w:val="24"/>
        </w:rPr>
        <w:t xml:space="preserve">In many study programmes, feedback could be used more effectively by training assessors how to </w:t>
      </w:r>
      <w:r w:rsidR="002948FA" w:rsidRPr="00E33DBB">
        <w:rPr>
          <w:rFonts w:cs="Times New Roman"/>
          <w:sz w:val="24"/>
          <w:szCs w:val="24"/>
        </w:rPr>
        <w:t xml:space="preserve">construct </w:t>
      </w:r>
      <w:r w:rsidR="00547B48" w:rsidRPr="00E33DBB">
        <w:rPr>
          <w:rFonts w:cs="Times New Roman"/>
          <w:sz w:val="24"/>
          <w:szCs w:val="24"/>
        </w:rPr>
        <w:t xml:space="preserve"> it in a formative way, and by implementing a coherent progression in the assignments, so that the comments on one assignment feed forward to the next.</w:t>
      </w:r>
    </w:p>
    <w:p w:rsidR="00547B48" w:rsidRPr="00E33DBB" w:rsidRDefault="00547B48" w:rsidP="00E33DBB">
      <w:pPr>
        <w:pStyle w:val="ListParagraph"/>
        <w:numPr>
          <w:ilvl w:val="0"/>
          <w:numId w:val="3"/>
        </w:numPr>
        <w:spacing w:line="276" w:lineRule="auto"/>
        <w:rPr>
          <w:rFonts w:cs="Times New Roman"/>
          <w:sz w:val="24"/>
          <w:szCs w:val="24"/>
        </w:rPr>
      </w:pPr>
      <w:r w:rsidRPr="00E33DBB">
        <w:rPr>
          <w:rFonts w:cs="Times New Roman"/>
          <w:sz w:val="24"/>
          <w:szCs w:val="24"/>
        </w:rPr>
        <w:t xml:space="preserve">Personal tutorials: </w:t>
      </w:r>
      <w:r w:rsidR="00091474" w:rsidRPr="00E33DBB">
        <w:rPr>
          <w:rFonts w:cs="Times New Roman"/>
          <w:sz w:val="24"/>
          <w:szCs w:val="24"/>
        </w:rPr>
        <w:t>In most universities, students are allocated a personal tutor who provides pastoral care and advises on academic progress. There is some evidence that many students avoid tut</w:t>
      </w:r>
      <w:r w:rsidR="009653D9" w:rsidRPr="00E33DBB">
        <w:rPr>
          <w:rFonts w:cs="Times New Roman"/>
          <w:sz w:val="24"/>
          <w:szCs w:val="24"/>
        </w:rPr>
        <w:t>orial meetings (Owen</w:t>
      </w:r>
      <w:r w:rsidR="00091474" w:rsidRPr="00E33DBB">
        <w:rPr>
          <w:rFonts w:cs="Times New Roman"/>
          <w:sz w:val="24"/>
          <w:szCs w:val="24"/>
        </w:rPr>
        <w:t xml:space="preserve"> 2002), which suggests that they may not find them useful. </w:t>
      </w:r>
      <w:r w:rsidR="00C63BA7" w:rsidRPr="00E33DBB">
        <w:rPr>
          <w:rFonts w:cs="Times New Roman"/>
          <w:sz w:val="24"/>
          <w:szCs w:val="24"/>
        </w:rPr>
        <w:t xml:space="preserve">This would not be the case if tutorials were used to discuss and explain feedback that students have received on their assignments, and for further clarification of genre requirements. Tutorials would thus be the space for individualised literacy support, and for the ‘assessment dialogues’ (Carless 2006: 230) that are currently missing. </w:t>
      </w:r>
    </w:p>
    <w:p w:rsidR="00D25A94" w:rsidRPr="00E33DBB" w:rsidRDefault="00CB4CE6" w:rsidP="00E33DBB">
      <w:pPr>
        <w:spacing w:line="276" w:lineRule="auto"/>
        <w:ind w:left="0" w:firstLine="0"/>
        <w:rPr>
          <w:rFonts w:cs="Times New Roman"/>
          <w:sz w:val="24"/>
          <w:szCs w:val="24"/>
        </w:rPr>
      </w:pPr>
      <w:r w:rsidRPr="00E33DBB">
        <w:rPr>
          <w:rFonts w:cs="Times New Roman"/>
          <w:sz w:val="24"/>
          <w:szCs w:val="24"/>
        </w:rPr>
        <w:t>Each of these methods on its own would mark an improvement on the currently available support; used in combination, these methods would represent a holistic curriculum-</w:t>
      </w:r>
      <w:r w:rsidR="007532FA" w:rsidRPr="00E33DBB">
        <w:rPr>
          <w:rFonts w:cs="Times New Roman"/>
          <w:sz w:val="24"/>
          <w:szCs w:val="24"/>
        </w:rPr>
        <w:t xml:space="preserve">embedded instructional approach.  The participants expressed some surprise at the fact that </w:t>
      </w:r>
      <w:r w:rsidR="0083067A" w:rsidRPr="00E33DBB">
        <w:rPr>
          <w:rFonts w:cs="Times New Roman"/>
          <w:sz w:val="24"/>
          <w:szCs w:val="24"/>
        </w:rPr>
        <w:t xml:space="preserve">most methods would require no more than some changes to their current practice (e.g. formative feedback, personal tutorials), but also felt that it would be worthwhile investing in those methods that require </w:t>
      </w:r>
      <w:r w:rsidR="00CA3B69" w:rsidRPr="00E33DBB">
        <w:rPr>
          <w:rFonts w:cs="Times New Roman"/>
          <w:sz w:val="24"/>
          <w:szCs w:val="24"/>
        </w:rPr>
        <w:t xml:space="preserve">more </w:t>
      </w:r>
      <w:r w:rsidR="0083067A" w:rsidRPr="00E33DBB">
        <w:rPr>
          <w:rFonts w:cs="Times New Roman"/>
          <w:sz w:val="24"/>
          <w:szCs w:val="24"/>
        </w:rPr>
        <w:t>time and resources (e.g. developing the materials for pre-reading or for the follow-up tutorials).</w:t>
      </w:r>
      <w:r w:rsidR="00F91E99" w:rsidRPr="00E33DBB">
        <w:rPr>
          <w:rFonts w:cs="Times New Roman"/>
          <w:sz w:val="24"/>
          <w:szCs w:val="24"/>
        </w:rPr>
        <w:t xml:space="preserve">  The evaluation of the module </w:t>
      </w:r>
      <w:r w:rsidR="009F32DB" w:rsidRPr="00E33DBB">
        <w:rPr>
          <w:rFonts w:cs="Times New Roman"/>
          <w:sz w:val="24"/>
          <w:szCs w:val="24"/>
        </w:rPr>
        <w:t xml:space="preserve">as a whole </w:t>
      </w:r>
      <w:r w:rsidR="00F91E99" w:rsidRPr="00E33DBB">
        <w:rPr>
          <w:rFonts w:cs="Times New Roman"/>
          <w:sz w:val="24"/>
          <w:szCs w:val="24"/>
        </w:rPr>
        <w:t>was overwhelmingly positive</w:t>
      </w:r>
      <w:r w:rsidR="00D84C8B" w:rsidRPr="00E33DBB">
        <w:rPr>
          <w:rFonts w:cs="Times New Roman"/>
          <w:sz w:val="24"/>
          <w:szCs w:val="24"/>
        </w:rPr>
        <w:t>. The p</w:t>
      </w:r>
      <w:r w:rsidR="00F91E99" w:rsidRPr="00E33DBB">
        <w:rPr>
          <w:rFonts w:cs="Times New Roman"/>
          <w:sz w:val="24"/>
          <w:szCs w:val="24"/>
        </w:rPr>
        <w:t xml:space="preserve">articipants </w:t>
      </w:r>
      <w:r w:rsidR="008A6408" w:rsidRPr="00E33DBB">
        <w:rPr>
          <w:rFonts w:cs="Times New Roman"/>
          <w:sz w:val="24"/>
          <w:szCs w:val="24"/>
        </w:rPr>
        <w:t xml:space="preserve">particularly </w:t>
      </w:r>
      <w:r w:rsidR="00F91E99" w:rsidRPr="00E33DBB">
        <w:rPr>
          <w:rFonts w:cs="Times New Roman"/>
          <w:sz w:val="24"/>
          <w:szCs w:val="24"/>
        </w:rPr>
        <w:t>acknowledged that the concept of academic literacy had given them a better understanding of students’</w:t>
      </w:r>
      <w:r w:rsidR="008A6408" w:rsidRPr="00E33DBB">
        <w:rPr>
          <w:rFonts w:cs="Times New Roman"/>
          <w:sz w:val="24"/>
          <w:szCs w:val="24"/>
        </w:rPr>
        <w:t xml:space="preserve"> learning needs, and that the module had been an ‘eye-opener’ in relation to the shortcomings of academic writing support in the university and their departments. </w:t>
      </w:r>
      <w:r w:rsidR="0053343B" w:rsidRPr="00E33DBB">
        <w:rPr>
          <w:rFonts w:cs="Times New Roman"/>
          <w:sz w:val="24"/>
          <w:szCs w:val="24"/>
        </w:rPr>
        <w:t xml:space="preserve">The assignment for the module was to design an intervention in their department or study programme, based on the analysis of the instructional provision that the participants had carried </w:t>
      </w:r>
      <w:r w:rsidR="00344816" w:rsidRPr="00E33DBB">
        <w:rPr>
          <w:rFonts w:cs="Times New Roman"/>
          <w:sz w:val="24"/>
          <w:szCs w:val="24"/>
        </w:rPr>
        <w:t xml:space="preserve">out </w:t>
      </w:r>
      <w:r w:rsidR="0053343B" w:rsidRPr="00E33DBB">
        <w:rPr>
          <w:rFonts w:cs="Times New Roman"/>
          <w:sz w:val="24"/>
          <w:szCs w:val="24"/>
        </w:rPr>
        <w:t xml:space="preserve">in Session 4. </w:t>
      </w:r>
      <w:r w:rsidR="00586B3B" w:rsidRPr="00E33DBB">
        <w:rPr>
          <w:rFonts w:cs="Times New Roman"/>
          <w:sz w:val="24"/>
          <w:szCs w:val="24"/>
        </w:rPr>
        <w:t xml:space="preserve">Here are some examples of the planned interventions: (1) A workshop for reading research articles in Bioscience; (2) Online writing materials using genre analysis in Classics; (3) </w:t>
      </w:r>
      <w:r w:rsidR="009F32DB" w:rsidRPr="00E33DBB">
        <w:rPr>
          <w:rFonts w:cs="Times New Roman"/>
          <w:sz w:val="24"/>
          <w:szCs w:val="24"/>
        </w:rPr>
        <w:t>L</w:t>
      </w:r>
      <w:r w:rsidR="00586B3B" w:rsidRPr="00E33DBB">
        <w:rPr>
          <w:rFonts w:cs="Times New Roman"/>
          <w:sz w:val="24"/>
          <w:szCs w:val="24"/>
        </w:rPr>
        <w:t xml:space="preserve">iteracy windows built in a series of lectures in Political Science, and (4) </w:t>
      </w:r>
      <w:r w:rsidR="009F32DB" w:rsidRPr="00E33DBB">
        <w:rPr>
          <w:rFonts w:cs="Times New Roman"/>
          <w:sz w:val="24"/>
          <w:szCs w:val="24"/>
        </w:rPr>
        <w:t>A</w:t>
      </w:r>
      <w:r w:rsidR="00586B3B" w:rsidRPr="00E33DBB">
        <w:rPr>
          <w:rFonts w:cs="Times New Roman"/>
          <w:sz w:val="24"/>
          <w:szCs w:val="24"/>
        </w:rPr>
        <w:t xml:space="preserve"> workshop on formative feedback for academic staff in Business Studies.</w:t>
      </w:r>
      <w:r w:rsidR="005D392C" w:rsidRPr="00E33DBB">
        <w:rPr>
          <w:rFonts w:cs="Times New Roman"/>
          <w:sz w:val="24"/>
          <w:szCs w:val="24"/>
        </w:rPr>
        <w:t xml:space="preserve"> </w:t>
      </w:r>
      <w:r w:rsidR="00586B3B" w:rsidRPr="00E33DBB">
        <w:rPr>
          <w:rFonts w:cs="Times New Roman"/>
          <w:sz w:val="24"/>
          <w:szCs w:val="24"/>
        </w:rPr>
        <w:t xml:space="preserve"> </w:t>
      </w:r>
      <w:r w:rsidR="00E2174F" w:rsidRPr="00E33DBB">
        <w:rPr>
          <w:rFonts w:cs="Times New Roman"/>
          <w:sz w:val="24"/>
          <w:szCs w:val="24"/>
        </w:rPr>
        <w:t>All parti</w:t>
      </w:r>
      <w:r w:rsidR="00D25A94" w:rsidRPr="00E33DBB">
        <w:rPr>
          <w:rFonts w:cs="Times New Roman"/>
          <w:sz w:val="24"/>
          <w:szCs w:val="24"/>
        </w:rPr>
        <w:t xml:space="preserve">cipants intended to carry </w:t>
      </w:r>
      <w:r w:rsidR="00344816" w:rsidRPr="00E33DBB">
        <w:rPr>
          <w:rFonts w:cs="Times New Roman"/>
          <w:sz w:val="24"/>
          <w:szCs w:val="24"/>
        </w:rPr>
        <w:t xml:space="preserve">out </w:t>
      </w:r>
      <w:r w:rsidR="00D25A94" w:rsidRPr="00E33DBB">
        <w:rPr>
          <w:rFonts w:cs="Times New Roman"/>
          <w:sz w:val="24"/>
          <w:szCs w:val="24"/>
        </w:rPr>
        <w:t xml:space="preserve">their </w:t>
      </w:r>
      <w:r w:rsidR="00E2174F" w:rsidRPr="00E33DBB">
        <w:rPr>
          <w:rFonts w:cs="Times New Roman"/>
          <w:sz w:val="24"/>
          <w:szCs w:val="24"/>
        </w:rPr>
        <w:t>interventions in this or the next academic year.</w:t>
      </w:r>
      <w:r w:rsidR="00CA3B69" w:rsidRPr="00E33DBB">
        <w:rPr>
          <w:rFonts w:cs="Times New Roman"/>
          <w:sz w:val="24"/>
          <w:szCs w:val="24"/>
        </w:rPr>
        <w:t xml:space="preserve"> </w:t>
      </w:r>
    </w:p>
    <w:p w:rsidR="00CB4CE6" w:rsidRPr="00E33DBB" w:rsidRDefault="00CA3B69" w:rsidP="00E33DBB">
      <w:pPr>
        <w:spacing w:line="276" w:lineRule="auto"/>
        <w:ind w:left="0"/>
        <w:rPr>
          <w:rFonts w:cs="Times New Roman"/>
          <w:sz w:val="24"/>
          <w:szCs w:val="24"/>
        </w:rPr>
      </w:pPr>
      <w:r w:rsidRPr="00E33DBB">
        <w:rPr>
          <w:rFonts w:cs="Times New Roman"/>
          <w:sz w:val="24"/>
          <w:szCs w:val="24"/>
        </w:rPr>
        <w:t xml:space="preserve">These outcomes </w:t>
      </w:r>
      <w:r w:rsidR="00D25A94" w:rsidRPr="00E33DBB">
        <w:rPr>
          <w:rFonts w:cs="Times New Roman"/>
          <w:sz w:val="24"/>
          <w:szCs w:val="24"/>
        </w:rPr>
        <w:t xml:space="preserve">are promising, and I will contact the participants at a later stage to find out to what extent the module had an impact on their </w:t>
      </w:r>
      <w:r w:rsidR="00DA541C" w:rsidRPr="00E33DBB">
        <w:rPr>
          <w:rFonts w:cs="Times New Roman"/>
          <w:sz w:val="24"/>
          <w:szCs w:val="24"/>
        </w:rPr>
        <w:t xml:space="preserve">own </w:t>
      </w:r>
      <w:r w:rsidR="00D25A94" w:rsidRPr="00E33DBB">
        <w:rPr>
          <w:rFonts w:cs="Times New Roman"/>
          <w:sz w:val="24"/>
          <w:szCs w:val="24"/>
        </w:rPr>
        <w:t>teaching practice</w:t>
      </w:r>
      <w:r w:rsidR="005472DD" w:rsidRPr="00E33DBB">
        <w:rPr>
          <w:rFonts w:cs="Times New Roman"/>
          <w:sz w:val="24"/>
          <w:szCs w:val="24"/>
        </w:rPr>
        <w:t xml:space="preserve">, or even better, </w:t>
      </w:r>
      <w:r w:rsidR="00DA541C" w:rsidRPr="00E33DBB">
        <w:rPr>
          <w:rFonts w:cs="Times New Roman"/>
          <w:sz w:val="24"/>
          <w:szCs w:val="24"/>
        </w:rPr>
        <w:t>on the instructional provision in their departments</w:t>
      </w:r>
      <w:r w:rsidR="00D25A94" w:rsidRPr="00E33DBB">
        <w:rPr>
          <w:rFonts w:cs="Times New Roman"/>
          <w:sz w:val="24"/>
          <w:szCs w:val="24"/>
        </w:rPr>
        <w:t>. H</w:t>
      </w:r>
      <w:r w:rsidR="00DA541C" w:rsidRPr="00E33DBB">
        <w:rPr>
          <w:rFonts w:cs="Times New Roman"/>
          <w:sz w:val="24"/>
          <w:szCs w:val="24"/>
        </w:rPr>
        <w:t>owever, even</w:t>
      </w:r>
      <w:r w:rsidR="005472DD" w:rsidRPr="00E33DBB">
        <w:rPr>
          <w:rFonts w:cs="Times New Roman"/>
          <w:sz w:val="24"/>
          <w:szCs w:val="24"/>
        </w:rPr>
        <w:t xml:space="preserve"> if some change was achieved in some of the departments, it is obvious that the process of change is slow, and that it will take many re-runs of the module before </w:t>
      </w:r>
      <w:r w:rsidR="009F32DB" w:rsidRPr="00E33DBB">
        <w:rPr>
          <w:rFonts w:cs="Times New Roman"/>
          <w:sz w:val="24"/>
          <w:szCs w:val="24"/>
        </w:rPr>
        <w:t xml:space="preserve">systematic </w:t>
      </w:r>
      <w:r w:rsidR="005472DD" w:rsidRPr="00E33DBB">
        <w:rPr>
          <w:rFonts w:cs="Times New Roman"/>
          <w:sz w:val="24"/>
          <w:szCs w:val="24"/>
        </w:rPr>
        <w:t>academ</w:t>
      </w:r>
      <w:r w:rsidR="00A87215" w:rsidRPr="00E33DBB">
        <w:rPr>
          <w:rFonts w:cs="Times New Roman"/>
          <w:sz w:val="24"/>
          <w:szCs w:val="24"/>
        </w:rPr>
        <w:t>ic literacy instruction is</w:t>
      </w:r>
      <w:r w:rsidR="005472DD" w:rsidRPr="00E33DBB">
        <w:rPr>
          <w:rFonts w:cs="Times New Roman"/>
          <w:sz w:val="24"/>
          <w:szCs w:val="24"/>
        </w:rPr>
        <w:t xml:space="preserve"> provided within the curriculum and across the curricula of the</w:t>
      </w:r>
      <w:r w:rsidR="00A87215" w:rsidRPr="00E33DBB">
        <w:rPr>
          <w:rFonts w:cs="Times New Roman"/>
          <w:sz w:val="24"/>
          <w:szCs w:val="24"/>
        </w:rPr>
        <w:t xml:space="preserve"> </w:t>
      </w:r>
      <w:r w:rsidR="005472DD" w:rsidRPr="00E33DBB">
        <w:rPr>
          <w:rFonts w:cs="Times New Roman"/>
          <w:sz w:val="24"/>
          <w:szCs w:val="24"/>
        </w:rPr>
        <w:t xml:space="preserve">institution. </w:t>
      </w:r>
    </w:p>
    <w:p w:rsidR="00FA68FB" w:rsidRPr="00E33DBB" w:rsidRDefault="00FA68FB" w:rsidP="00E33DBB">
      <w:pPr>
        <w:spacing w:line="276" w:lineRule="auto"/>
        <w:ind w:left="0"/>
        <w:rPr>
          <w:rFonts w:cs="Times New Roman"/>
          <w:sz w:val="24"/>
          <w:szCs w:val="24"/>
        </w:rPr>
      </w:pPr>
    </w:p>
    <w:p w:rsidR="00E967F9" w:rsidRPr="00E33DBB" w:rsidRDefault="00775312" w:rsidP="00E33DBB">
      <w:pPr>
        <w:pStyle w:val="ListParagraph"/>
        <w:numPr>
          <w:ilvl w:val="0"/>
          <w:numId w:val="3"/>
        </w:numPr>
        <w:spacing w:line="276" w:lineRule="auto"/>
        <w:rPr>
          <w:rFonts w:cs="Times New Roman"/>
          <w:b/>
          <w:sz w:val="24"/>
          <w:szCs w:val="24"/>
        </w:rPr>
      </w:pPr>
      <w:r w:rsidRPr="00E33DBB">
        <w:rPr>
          <w:rFonts w:cs="Times New Roman"/>
          <w:b/>
          <w:sz w:val="24"/>
          <w:szCs w:val="24"/>
        </w:rPr>
        <w:t>Final T</w:t>
      </w:r>
      <w:r w:rsidR="006467CF" w:rsidRPr="00E33DBB">
        <w:rPr>
          <w:rFonts w:cs="Times New Roman"/>
          <w:b/>
          <w:sz w:val="24"/>
          <w:szCs w:val="24"/>
        </w:rPr>
        <w:t>houghts</w:t>
      </w:r>
    </w:p>
    <w:p w:rsidR="00837477" w:rsidRPr="00E33DBB" w:rsidRDefault="00843B2B" w:rsidP="00E33DBB">
      <w:pPr>
        <w:spacing w:line="276" w:lineRule="auto"/>
        <w:ind w:left="0" w:firstLine="0"/>
        <w:rPr>
          <w:rFonts w:cs="Times New Roman"/>
          <w:sz w:val="24"/>
          <w:szCs w:val="24"/>
        </w:rPr>
      </w:pPr>
      <w:r w:rsidRPr="00E33DBB">
        <w:rPr>
          <w:rFonts w:cs="Times New Roman"/>
          <w:sz w:val="24"/>
          <w:szCs w:val="24"/>
        </w:rPr>
        <w:t xml:space="preserve">Looking at the situation of academic literacy support in Anglophone universities, I find it </w:t>
      </w:r>
      <w:r w:rsidR="00742957" w:rsidRPr="00E33DBB">
        <w:rPr>
          <w:rFonts w:cs="Times New Roman"/>
          <w:sz w:val="24"/>
          <w:szCs w:val="24"/>
        </w:rPr>
        <w:t xml:space="preserve">sometimes </w:t>
      </w:r>
      <w:r w:rsidRPr="00E33DBB">
        <w:rPr>
          <w:rFonts w:cs="Times New Roman"/>
          <w:sz w:val="24"/>
          <w:szCs w:val="24"/>
        </w:rPr>
        <w:t xml:space="preserve">difficult not to be pessimistic. </w:t>
      </w:r>
      <w:r w:rsidR="00742957" w:rsidRPr="00E33DBB">
        <w:rPr>
          <w:rFonts w:cs="Times New Roman"/>
          <w:sz w:val="24"/>
          <w:szCs w:val="24"/>
        </w:rPr>
        <w:t>T</w:t>
      </w:r>
      <w:r w:rsidR="00D25A94" w:rsidRPr="00E33DBB">
        <w:rPr>
          <w:rFonts w:cs="Times New Roman"/>
          <w:sz w:val="24"/>
          <w:szCs w:val="24"/>
        </w:rPr>
        <w:t>wo dec</w:t>
      </w:r>
      <w:r w:rsidRPr="00E33DBB">
        <w:rPr>
          <w:rFonts w:cs="Times New Roman"/>
          <w:sz w:val="24"/>
          <w:szCs w:val="24"/>
        </w:rPr>
        <w:t xml:space="preserve">ades of critical publications </w:t>
      </w:r>
      <w:r w:rsidR="00D84C8B" w:rsidRPr="00E33DBB">
        <w:rPr>
          <w:rFonts w:cs="Times New Roman"/>
          <w:sz w:val="24"/>
          <w:szCs w:val="24"/>
        </w:rPr>
        <w:t xml:space="preserve">on the shortcomings on the current instructional provision </w:t>
      </w:r>
      <w:r w:rsidR="00B21957" w:rsidRPr="00E33DBB">
        <w:rPr>
          <w:rFonts w:cs="Times New Roman"/>
          <w:sz w:val="24"/>
          <w:szCs w:val="24"/>
        </w:rPr>
        <w:t xml:space="preserve">(e.g. Lea &amp; Street 1998; Benesch 2001; Turner 2011) </w:t>
      </w:r>
      <w:r w:rsidR="00742957" w:rsidRPr="00E33DBB">
        <w:rPr>
          <w:rFonts w:cs="Times New Roman"/>
          <w:sz w:val="24"/>
          <w:szCs w:val="24"/>
        </w:rPr>
        <w:t xml:space="preserve">have </w:t>
      </w:r>
      <w:r w:rsidR="00C72B6C" w:rsidRPr="00E33DBB">
        <w:rPr>
          <w:rFonts w:cs="Times New Roman"/>
          <w:sz w:val="24"/>
          <w:szCs w:val="24"/>
        </w:rPr>
        <w:t xml:space="preserve">not led to much change. It is difficult to speculate why the remedial model of </w:t>
      </w:r>
      <w:r w:rsidR="0016074B" w:rsidRPr="00E33DBB">
        <w:rPr>
          <w:rFonts w:cs="Times New Roman"/>
          <w:sz w:val="24"/>
          <w:szCs w:val="24"/>
        </w:rPr>
        <w:t>EAP/Study Skills</w:t>
      </w:r>
      <w:r w:rsidR="00C72B6C" w:rsidRPr="00E33DBB">
        <w:rPr>
          <w:rFonts w:cs="Times New Roman"/>
          <w:sz w:val="24"/>
          <w:szCs w:val="24"/>
        </w:rPr>
        <w:t xml:space="preserve"> courses so stubbornly persists</w:t>
      </w:r>
      <w:r w:rsidR="00B21957" w:rsidRPr="00E33DBB">
        <w:rPr>
          <w:rFonts w:cs="Times New Roman"/>
          <w:sz w:val="24"/>
          <w:szCs w:val="24"/>
        </w:rPr>
        <w:t>, even though</w:t>
      </w:r>
      <w:r w:rsidR="009653D9" w:rsidRPr="00E33DBB">
        <w:rPr>
          <w:rFonts w:cs="Times New Roman"/>
          <w:sz w:val="24"/>
          <w:szCs w:val="24"/>
        </w:rPr>
        <w:t xml:space="preserve"> there is much evidence that it fails to address student’s learning needs</w:t>
      </w:r>
      <w:r w:rsidR="00C72B6C" w:rsidRPr="00E33DBB">
        <w:rPr>
          <w:rFonts w:cs="Times New Roman"/>
          <w:sz w:val="24"/>
          <w:szCs w:val="24"/>
        </w:rPr>
        <w:t>.</w:t>
      </w:r>
      <w:r w:rsidR="0063338A" w:rsidRPr="00E33DBB">
        <w:rPr>
          <w:rFonts w:cs="Times New Roman"/>
          <w:sz w:val="24"/>
          <w:szCs w:val="24"/>
        </w:rPr>
        <w:t xml:space="preserve"> One reason </w:t>
      </w:r>
      <w:r w:rsidR="00B21957" w:rsidRPr="00E33DBB">
        <w:rPr>
          <w:rFonts w:cs="Times New Roman"/>
          <w:sz w:val="24"/>
          <w:szCs w:val="24"/>
        </w:rPr>
        <w:t xml:space="preserve">may be that the publications do not provide university managers with clear enough proposals </w:t>
      </w:r>
      <w:r w:rsidR="0063338A" w:rsidRPr="00E33DBB">
        <w:rPr>
          <w:rFonts w:cs="Times New Roman"/>
          <w:sz w:val="24"/>
          <w:szCs w:val="24"/>
        </w:rPr>
        <w:t>of how improvements can be made. This is particularly the case when publications are mainly concerned with advocating a specific</w:t>
      </w:r>
      <w:r w:rsidR="007A2E0A" w:rsidRPr="00E33DBB">
        <w:rPr>
          <w:rFonts w:cs="Times New Roman"/>
          <w:sz w:val="24"/>
          <w:szCs w:val="24"/>
        </w:rPr>
        <w:t xml:space="preserve"> model </w:t>
      </w:r>
      <w:r w:rsidR="007C1844" w:rsidRPr="00E33DBB">
        <w:rPr>
          <w:rFonts w:cs="Times New Roman"/>
          <w:sz w:val="24"/>
          <w:szCs w:val="24"/>
        </w:rPr>
        <w:t xml:space="preserve">and criticising others </w:t>
      </w:r>
      <w:r w:rsidR="007A2E0A" w:rsidRPr="00E33DBB">
        <w:rPr>
          <w:rFonts w:cs="Times New Roman"/>
          <w:sz w:val="24"/>
          <w:szCs w:val="24"/>
        </w:rPr>
        <w:t>(e.g. Academic Literacies versus EAP, see the discussion in</w:t>
      </w:r>
      <w:r w:rsidR="0063338A" w:rsidRPr="00E33DBB">
        <w:rPr>
          <w:rFonts w:cs="Times New Roman"/>
          <w:sz w:val="24"/>
          <w:szCs w:val="24"/>
        </w:rPr>
        <w:t xml:space="preserve"> Wingate &amp; Tribble 2012) without offering convincing alternatives. Another reason may be that university managers </w:t>
      </w:r>
      <w:r w:rsidR="0016074B" w:rsidRPr="00E33DBB">
        <w:rPr>
          <w:rFonts w:cs="Times New Roman"/>
          <w:sz w:val="24"/>
          <w:szCs w:val="24"/>
        </w:rPr>
        <w:t xml:space="preserve">stick with the existing provision because it is much cheaper to offer generic courses in central service units than providing staff development on a large scale and allocating time and resources to lecturers to enable them to integrate literacy instruction in their curriculum. </w:t>
      </w:r>
    </w:p>
    <w:p w:rsidR="000A5D02" w:rsidRPr="00E33DBB" w:rsidRDefault="0016074B" w:rsidP="00E33DBB">
      <w:pPr>
        <w:spacing w:line="276" w:lineRule="auto"/>
        <w:ind w:left="0"/>
        <w:rPr>
          <w:rFonts w:cs="Times New Roman"/>
          <w:sz w:val="24"/>
          <w:szCs w:val="24"/>
        </w:rPr>
      </w:pPr>
      <w:r w:rsidRPr="00E33DBB">
        <w:rPr>
          <w:rFonts w:cs="Times New Roman"/>
          <w:sz w:val="24"/>
          <w:szCs w:val="24"/>
        </w:rPr>
        <w:t>However, there is also much reason for optimism. First, Anglophone universities face increasing competition from English Medium Instruction (EMI) offered</w:t>
      </w:r>
      <w:r w:rsidR="00537BEF" w:rsidRPr="00E33DBB">
        <w:rPr>
          <w:rFonts w:cs="Times New Roman"/>
          <w:sz w:val="24"/>
          <w:szCs w:val="24"/>
        </w:rPr>
        <w:t xml:space="preserve"> in several non-Anglophone countries where tuition fees are much lower. To maintain their intake of high-fee paying students, universities will eventually have to offer more adequate support to students. Secondly, </w:t>
      </w:r>
      <w:r w:rsidR="008F3CCE" w:rsidRPr="00E33DBB">
        <w:rPr>
          <w:rFonts w:cs="Times New Roman"/>
          <w:sz w:val="24"/>
          <w:szCs w:val="24"/>
        </w:rPr>
        <w:t xml:space="preserve">in addition to the Australian example, </w:t>
      </w:r>
      <w:r w:rsidR="00537BEF" w:rsidRPr="00E33DBB">
        <w:rPr>
          <w:rFonts w:cs="Times New Roman"/>
          <w:sz w:val="24"/>
          <w:szCs w:val="24"/>
        </w:rPr>
        <w:t xml:space="preserve">convincing evidence is gradually emerging from various </w:t>
      </w:r>
      <w:r w:rsidR="008F3CCE" w:rsidRPr="00E33DBB">
        <w:rPr>
          <w:rFonts w:cs="Times New Roman"/>
          <w:sz w:val="24"/>
          <w:szCs w:val="24"/>
        </w:rPr>
        <w:t xml:space="preserve">other </w:t>
      </w:r>
      <w:r w:rsidR="00537BEF" w:rsidRPr="00E33DBB">
        <w:rPr>
          <w:rFonts w:cs="Times New Roman"/>
          <w:sz w:val="24"/>
          <w:szCs w:val="24"/>
        </w:rPr>
        <w:t>initiatives co</w:t>
      </w:r>
      <w:r w:rsidR="008F3CCE" w:rsidRPr="00E33DBB">
        <w:rPr>
          <w:rFonts w:cs="Times New Roman"/>
          <w:sz w:val="24"/>
          <w:szCs w:val="24"/>
        </w:rPr>
        <w:t xml:space="preserve">ncerned with curriculum-integrated </w:t>
      </w:r>
      <w:r w:rsidR="00537BEF" w:rsidRPr="00E33DBB">
        <w:rPr>
          <w:rFonts w:cs="Times New Roman"/>
          <w:sz w:val="24"/>
          <w:szCs w:val="24"/>
        </w:rPr>
        <w:t>academic literacy in</w:t>
      </w:r>
      <w:r w:rsidR="008F3CCE" w:rsidRPr="00E33DBB">
        <w:rPr>
          <w:rFonts w:cs="Times New Roman"/>
          <w:sz w:val="24"/>
          <w:szCs w:val="24"/>
        </w:rPr>
        <w:t>struction</w:t>
      </w:r>
      <w:r w:rsidR="00537BEF" w:rsidRPr="00E33DBB">
        <w:rPr>
          <w:rFonts w:cs="Times New Roman"/>
          <w:sz w:val="24"/>
          <w:szCs w:val="24"/>
        </w:rPr>
        <w:t>. I have presented t</w:t>
      </w:r>
      <w:r w:rsidR="008F3CCE" w:rsidRPr="00E33DBB">
        <w:rPr>
          <w:rFonts w:cs="Times New Roman"/>
          <w:sz w:val="24"/>
          <w:szCs w:val="24"/>
        </w:rPr>
        <w:t xml:space="preserve">wo small-scale ones, which describe a </w:t>
      </w:r>
      <w:r w:rsidR="003E1719" w:rsidRPr="00E33DBB">
        <w:rPr>
          <w:rFonts w:cs="Times New Roman"/>
          <w:sz w:val="24"/>
          <w:szCs w:val="24"/>
        </w:rPr>
        <w:t xml:space="preserve">specific </w:t>
      </w:r>
      <w:r w:rsidR="008F3CCE" w:rsidRPr="00E33DBB">
        <w:rPr>
          <w:rFonts w:cs="Times New Roman"/>
          <w:sz w:val="24"/>
          <w:szCs w:val="24"/>
        </w:rPr>
        <w:t>teaching method and an approach to prepare subject lecturers for collaboration and curriculum-integrated literacy instruction</w:t>
      </w:r>
      <w:r w:rsidR="00F12D08" w:rsidRPr="00E33DBB">
        <w:rPr>
          <w:rFonts w:cs="Times New Roman"/>
          <w:sz w:val="24"/>
          <w:szCs w:val="24"/>
        </w:rPr>
        <w:t xml:space="preserve">. A far more </w:t>
      </w:r>
      <w:r w:rsidR="004143FF" w:rsidRPr="00E33DBB">
        <w:rPr>
          <w:rFonts w:cs="Times New Roman"/>
          <w:sz w:val="24"/>
          <w:szCs w:val="24"/>
        </w:rPr>
        <w:t xml:space="preserve">influential one is the project </w:t>
      </w:r>
      <w:r w:rsidR="00F12D08" w:rsidRPr="00E33DBB">
        <w:rPr>
          <w:rFonts w:cs="Times New Roman"/>
          <w:sz w:val="24"/>
          <w:szCs w:val="24"/>
        </w:rPr>
        <w:t xml:space="preserve">on which this conference is based, called </w:t>
      </w:r>
      <w:r w:rsidR="00C37CB9" w:rsidRPr="00E33DBB">
        <w:rPr>
          <w:rFonts w:cs="Times New Roman"/>
          <w:sz w:val="24"/>
          <w:szCs w:val="24"/>
        </w:rPr>
        <w:t>‘Enha</w:t>
      </w:r>
      <w:r w:rsidR="008F3CCE" w:rsidRPr="00E33DBB">
        <w:rPr>
          <w:rFonts w:cs="Times New Roman"/>
          <w:sz w:val="24"/>
          <w:szCs w:val="24"/>
        </w:rPr>
        <w:t>ncing English Across the C</w:t>
      </w:r>
      <w:r w:rsidR="00C37CB9" w:rsidRPr="00E33DBB">
        <w:rPr>
          <w:rFonts w:cs="Times New Roman"/>
          <w:sz w:val="24"/>
          <w:szCs w:val="24"/>
        </w:rPr>
        <w:t xml:space="preserve">urriculum’. </w:t>
      </w:r>
      <w:r w:rsidR="009B4C80" w:rsidRPr="00E33DBB">
        <w:rPr>
          <w:rFonts w:cs="Times New Roman"/>
          <w:sz w:val="24"/>
          <w:szCs w:val="24"/>
        </w:rPr>
        <w:t>This project, stretching across four universities in Hong Kong, also works on the principles of collaboration and professi</w:t>
      </w:r>
      <w:r w:rsidR="008F3CCE" w:rsidRPr="00E33DBB">
        <w:rPr>
          <w:rFonts w:cs="Times New Roman"/>
          <w:sz w:val="24"/>
          <w:szCs w:val="24"/>
        </w:rPr>
        <w:t>onal development. Project initiatives include</w:t>
      </w:r>
      <w:r w:rsidR="009B4C80" w:rsidRPr="00E33DBB">
        <w:rPr>
          <w:rFonts w:cs="Times New Roman"/>
          <w:sz w:val="24"/>
          <w:szCs w:val="24"/>
        </w:rPr>
        <w:t xml:space="preserve"> EAP specialists help</w:t>
      </w:r>
      <w:r w:rsidR="008F3CCE" w:rsidRPr="00E33DBB">
        <w:rPr>
          <w:rFonts w:cs="Times New Roman"/>
          <w:sz w:val="24"/>
          <w:szCs w:val="24"/>
        </w:rPr>
        <w:t>ing</w:t>
      </w:r>
      <w:r w:rsidR="009B4C80" w:rsidRPr="00E33DBB">
        <w:rPr>
          <w:rFonts w:cs="Times New Roman"/>
          <w:sz w:val="24"/>
          <w:szCs w:val="24"/>
        </w:rPr>
        <w:t xml:space="preserve"> academics in the disciplines to be more explicit in assessment requirements and in the language o</w:t>
      </w:r>
      <w:r w:rsidR="008F3CCE" w:rsidRPr="00E33DBB">
        <w:rPr>
          <w:rFonts w:cs="Times New Roman"/>
          <w:sz w:val="24"/>
          <w:szCs w:val="24"/>
        </w:rPr>
        <w:t>f feedback, and creating</w:t>
      </w:r>
      <w:r w:rsidR="009B4C80" w:rsidRPr="00E33DBB">
        <w:rPr>
          <w:rFonts w:cs="Times New Roman"/>
          <w:sz w:val="24"/>
          <w:szCs w:val="24"/>
        </w:rPr>
        <w:t xml:space="preserve"> teaching and learning resources that will foster students’ communication in their disciplines. </w:t>
      </w:r>
      <w:r w:rsidR="000A5D02" w:rsidRPr="00E33DBB">
        <w:rPr>
          <w:rFonts w:cs="Times New Roman"/>
          <w:sz w:val="24"/>
          <w:szCs w:val="24"/>
        </w:rPr>
        <w:t>This project, starting from a larger scale than most others, clearly has the potential to change the instructional provision in Hong Kong’s tertiary sector, in the same way as this happened in Australia.</w:t>
      </w:r>
    </w:p>
    <w:p w:rsidR="0016074B" w:rsidRPr="00E33DBB" w:rsidRDefault="005A4925" w:rsidP="00E33DBB">
      <w:pPr>
        <w:spacing w:line="276" w:lineRule="auto"/>
        <w:ind w:left="0"/>
        <w:rPr>
          <w:rFonts w:cs="Times New Roman"/>
          <w:sz w:val="24"/>
          <w:szCs w:val="24"/>
        </w:rPr>
      </w:pPr>
      <w:r w:rsidRPr="00E33DBB">
        <w:rPr>
          <w:rFonts w:cs="Times New Roman"/>
          <w:sz w:val="24"/>
          <w:szCs w:val="24"/>
        </w:rPr>
        <w:t xml:space="preserve">To </w:t>
      </w:r>
      <w:r w:rsidR="00252CEB" w:rsidRPr="00E33DBB">
        <w:rPr>
          <w:rFonts w:cs="Times New Roman"/>
          <w:sz w:val="24"/>
          <w:szCs w:val="24"/>
        </w:rPr>
        <w:t xml:space="preserve">summarise and </w:t>
      </w:r>
      <w:r w:rsidRPr="00E33DBB">
        <w:rPr>
          <w:rFonts w:cs="Times New Roman"/>
          <w:sz w:val="24"/>
          <w:szCs w:val="24"/>
        </w:rPr>
        <w:t>end on a positive</w:t>
      </w:r>
      <w:r w:rsidR="00252CEB" w:rsidRPr="00E33DBB">
        <w:rPr>
          <w:rFonts w:cs="Times New Roman"/>
          <w:sz w:val="24"/>
          <w:szCs w:val="24"/>
        </w:rPr>
        <w:t xml:space="preserve"> note</w:t>
      </w:r>
      <w:r w:rsidR="006910A9" w:rsidRPr="00E33DBB">
        <w:rPr>
          <w:rFonts w:cs="Times New Roman"/>
          <w:sz w:val="24"/>
          <w:szCs w:val="24"/>
        </w:rPr>
        <w:t xml:space="preserve">:  All evidence available so far shows that </w:t>
      </w:r>
      <w:r w:rsidRPr="00E33DBB">
        <w:rPr>
          <w:rFonts w:cs="Times New Roman"/>
          <w:sz w:val="24"/>
          <w:szCs w:val="24"/>
        </w:rPr>
        <w:t xml:space="preserve">there are three </w:t>
      </w:r>
      <w:r w:rsidR="00252CEB" w:rsidRPr="00E33DBB">
        <w:rPr>
          <w:rFonts w:cs="Times New Roman"/>
          <w:sz w:val="24"/>
          <w:szCs w:val="24"/>
        </w:rPr>
        <w:t xml:space="preserve">essential </w:t>
      </w:r>
      <w:r w:rsidRPr="00E33DBB">
        <w:rPr>
          <w:rFonts w:cs="Times New Roman"/>
          <w:sz w:val="24"/>
          <w:szCs w:val="24"/>
        </w:rPr>
        <w:t xml:space="preserve">ingredients </w:t>
      </w:r>
      <w:r w:rsidR="00252CEB" w:rsidRPr="00E33DBB">
        <w:rPr>
          <w:rFonts w:cs="Times New Roman"/>
          <w:sz w:val="24"/>
          <w:szCs w:val="24"/>
        </w:rPr>
        <w:t>for effective academic</w:t>
      </w:r>
      <w:r w:rsidR="006910A9" w:rsidRPr="00E33DBB">
        <w:rPr>
          <w:rFonts w:cs="Times New Roman"/>
          <w:sz w:val="24"/>
          <w:szCs w:val="24"/>
        </w:rPr>
        <w:t xml:space="preserve"> literacy support: </w:t>
      </w:r>
      <w:r w:rsidR="00252CEB" w:rsidRPr="00E33DBB">
        <w:rPr>
          <w:rFonts w:cs="Times New Roman"/>
          <w:sz w:val="24"/>
          <w:szCs w:val="24"/>
        </w:rPr>
        <w:t>curric</w:t>
      </w:r>
      <w:r w:rsidR="006910A9" w:rsidRPr="00E33DBB">
        <w:rPr>
          <w:rFonts w:cs="Times New Roman"/>
          <w:sz w:val="24"/>
          <w:szCs w:val="24"/>
        </w:rPr>
        <w:t xml:space="preserve">ulum-embeddedness, genre analysis, and, to facilitate the first two ingredients, </w:t>
      </w:r>
      <w:r w:rsidR="00B05893" w:rsidRPr="00E33DBB">
        <w:rPr>
          <w:rFonts w:cs="Times New Roman"/>
          <w:sz w:val="24"/>
          <w:szCs w:val="24"/>
        </w:rPr>
        <w:t>collabo</w:t>
      </w:r>
      <w:r w:rsidR="006910A9" w:rsidRPr="00E33DBB">
        <w:rPr>
          <w:rFonts w:cs="Times New Roman"/>
          <w:sz w:val="24"/>
          <w:szCs w:val="24"/>
        </w:rPr>
        <w:t>ration between EAP and subject specialists</w:t>
      </w:r>
      <w:r w:rsidR="00B05893" w:rsidRPr="00E33DBB">
        <w:rPr>
          <w:rFonts w:cs="Times New Roman"/>
          <w:sz w:val="24"/>
          <w:szCs w:val="24"/>
        </w:rPr>
        <w:t>. The positive note an</w:t>
      </w:r>
      <w:r w:rsidR="006910A9" w:rsidRPr="00E33DBB">
        <w:rPr>
          <w:rFonts w:cs="Times New Roman"/>
          <w:sz w:val="24"/>
          <w:szCs w:val="24"/>
        </w:rPr>
        <w:t>d cause for optimism is that the</w:t>
      </w:r>
      <w:r w:rsidR="00B05893" w:rsidRPr="00E33DBB">
        <w:rPr>
          <w:rFonts w:cs="Times New Roman"/>
          <w:sz w:val="24"/>
          <w:szCs w:val="24"/>
        </w:rPr>
        <w:t xml:space="preserve"> initiatives discussed here, and certainly many others that are underway </w:t>
      </w:r>
      <w:r w:rsidR="00344816" w:rsidRPr="00E33DBB">
        <w:rPr>
          <w:rFonts w:cs="Times New Roman"/>
          <w:sz w:val="24"/>
          <w:szCs w:val="24"/>
        </w:rPr>
        <w:t xml:space="preserve">but </w:t>
      </w:r>
      <w:r w:rsidR="00B05893" w:rsidRPr="00E33DBB">
        <w:rPr>
          <w:rFonts w:cs="Times New Roman"/>
          <w:sz w:val="24"/>
          <w:szCs w:val="24"/>
        </w:rPr>
        <w:t xml:space="preserve"> not yet reported</w:t>
      </w:r>
      <w:r w:rsidR="009537AC" w:rsidRPr="00E33DBB">
        <w:rPr>
          <w:rFonts w:cs="Times New Roman"/>
          <w:sz w:val="24"/>
          <w:szCs w:val="24"/>
        </w:rPr>
        <w:t xml:space="preserve"> in publications, include at least two of these ingredients. Things are</w:t>
      </w:r>
      <w:r w:rsidR="00344816" w:rsidRPr="00E33DBB">
        <w:rPr>
          <w:rFonts w:cs="Times New Roman"/>
          <w:sz w:val="24"/>
          <w:szCs w:val="24"/>
        </w:rPr>
        <w:t xml:space="preserve"> moving</w:t>
      </w:r>
      <w:r w:rsidR="009537AC" w:rsidRPr="00E33DBB">
        <w:rPr>
          <w:rFonts w:cs="Times New Roman"/>
          <w:sz w:val="24"/>
          <w:szCs w:val="24"/>
        </w:rPr>
        <w:t xml:space="preserve"> in the right direction. </w:t>
      </w:r>
      <w:r w:rsidR="00B05893" w:rsidRPr="00E33DBB">
        <w:rPr>
          <w:rFonts w:cs="Times New Roman"/>
          <w:sz w:val="24"/>
          <w:szCs w:val="24"/>
        </w:rPr>
        <w:t xml:space="preserve">We will need to </w:t>
      </w:r>
      <w:r w:rsidR="00344816" w:rsidRPr="00E33DBB">
        <w:rPr>
          <w:rFonts w:cs="Times New Roman"/>
          <w:sz w:val="24"/>
          <w:szCs w:val="24"/>
        </w:rPr>
        <w:t xml:space="preserve">persevere </w:t>
      </w:r>
      <w:r w:rsidR="009537AC" w:rsidRPr="00E33DBB">
        <w:rPr>
          <w:rFonts w:cs="Times New Roman"/>
          <w:sz w:val="24"/>
          <w:szCs w:val="24"/>
        </w:rPr>
        <w:t xml:space="preserve">with our initiatives, </w:t>
      </w:r>
      <w:r w:rsidR="00505851" w:rsidRPr="00E33DBB">
        <w:rPr>
          <w:rFonts w:cs="Times New Roman"/>
          <w:sz w:val="24"/>
          <w:szCs w:val="24"/>
        </w:rPr>
        <w:t xml:space="preserve">and </w:t>
      </w:r>
      <w:r w:rsidR="009537AC" w:rsidRPr="00E33DBB">
        <w:rPr>
          <w:rFonts w:cs="Times New Roman"/>
          <w:sz w:val="24"/>
          <w:szCs w:val="24"/>
        </w:rPr>
        <w:t xml:space="preserve">with publishing their encouraging outcomes in order to benefit students with </w:t>
      </w:r>
      <w:r w:rsidR="003E1719" w:rsidRPr="00E33DBB">
        <w:rPr>
          <w:rFonts w:cs="Times New Roman"/>
          <w:sz w:val="24"/>
          <w:szCs w:val="24"/>
        </w:rPr>
        <w:t xml:space="preserve">adequate </w:t>
      </w:r>
      <w:r w:rsidR="009537AC" w:rsidRPr="00E33DBB">
        <w:rPr>
          <w:rFonts w:cs="Times New Roman"/>
          <w:sz w:val="24"/>
          <w:szCs w:val="24"/>
        </w:rPr>
        <w:t>academic literacy instruction across the curriculum.</w:t>
      </w:r>
    </w:p>
    <w:p w:rsidR="00837477" w:rsidRPr="00E33DBB" w:rsidRDefault="00837477" w:rsidP="00E33DBB">
      <w:pPr>
        <w:spacing w:line="276" w:lineRule="auto"/>
        <w:rPr>
          <w:rFonts w:cs="Times New Roman"/>
          <w:b/>
          <w:sz w:val="24"/>
          <w:szCs w:val="24"/>
        </w:rPr>
      </w:pPr>
    </w:p>
    <w:p w:rsidR="000C6279" w:rsidRPr="00E33DBB" w:rsidRDefault="000C6279" w:rsidP="00E33DBB">
      <w:pPr>
        <w:spacing w:line="276" w:lineRule="auto"/>
        <w:ind w:left="0" w:firstLine="0"/>
        <w:rPr>
          <w:rFonts w:cs="Times New Roman"/>
          <w:b/>
          <w:sz w:val="24"/>
          <w:szCs w:val="24"/>
        </w:rPr>
      </w:pPr>
      <w:r w:rsidRPr="00E33DBB">
        <w:rPr>
          <w:rFonts w:cs="Times New Roman"/>
          <w:b/>
          <w:sz w:val="24"/>
          <w:szCs w:val="24"/>
        </w:rPr>
        <w:t>References</w:t>
      </w:r>
    </w:p>
    <w:p w:rsidR="00EB3DDB" w:rsidRPr="00E33DBB" w:rsidRDefault="00EB3DDB" w:rsidP="00E33DBB">
      <w:pPr>
        <w:spacing w:line="276" w:lineRule="auto"/>
        <w:ind w:left="227" w:hanging="227"/>
        <w:rPr>
          <w:rFonts w:cs="Times New Roman"/>
          <w:noProof/>
          <w:sz w:val="24"/>
          <w:szCs w:val="24"/>
        </w:rPr>
      </w:pPr>
      <w:r w:rsidRPr="00E33DBB">
        <w:rPr>
          <w:rFonts w:cs="Times New Roman"/>
          <w:noProof/>
          <w:sz w:val="24"/>
          <w:szCs w:val="24"/>
        </w:rPr>
        <w:t xml:space="preserve">Arkoudis, S., &amp; S. Starfield (2007). </w:t>
      </w:r>
      <w:r w:rsidRPr="00E33DBB">
        <w:rPr>
          <w:rFonts w:cs="Times New Roman"/>
          <w:i/>
          <w:noProof/>
          <w:sz w:val="24"/>
          <w:szCs w:val="24"/>
        </w:rPr>
        <w:t>In-Course English Language Development and Support</w:t>
      </w:r>
      <w:r w:rsidRPr="00E33DBB">
        <w:rPr>
          <w:rFonts w:cs="Times New Roman"/>
          <w:noProof/>
          <w:sz w:val="24"/>
          <w:szCs w:val="24"/>
        </w:rPr>
        <w:t>. Canberra: Australian Education International.</w:t>
      </w:r>
    </w:p>
    <w:p w:rsidR="0069535B" w:rsidRPr="00E33DBB" w:rsidRDefault="0069535B" w:rsidP="00E33DBB">
      <w:pPr>
        <w:spacing w:line="276" w:lineRule="auto"/>
        <w:ind w:hanging="227"/>
        <w:rPr>
          <w:rFonts w:cs="Times New Roman"/>
          <w:sz w:val="24"/>
          <w:szCs w:val="24"/>
        </w:rPr>
      </w:pPr>
      <w:r w:rsidRPr="00E33DBB">
        <w:rPr>
          <w:rFonts w:cs="Times New Roman"/>
          <w:sz w:val="24"/>
          <w:szCs w:val="24"/>
        </w:rPr>
        <w:t>Benesch, S. (2001)</w:t>
      </w:r>
      <w:r w:rsidR="00213614" w:rsidRPr="00E33DBB">
        <w:rPr>
          <w:rFonts w:cs="Times New Roman"/>
          <w:sz w:val="24"/>
          <w:szCs w:val="24"/>
        </w:rPr>
        <w:t>.</w:t>
      </w:r>
      <w:r w:rsidRPr="00E33DBB">
        <w:rPr>
          <w:rFonts w:cs="Times New Roman"/>
          <w:sz w:val="24"/>
          <w:szCs w:val="24"/>
        </w:rPr>
        <w:t xml:space="preserve"> </w:t>
      </w:r>
      <w:r w:rsidRPr="00E33DBB">
        <w:rPr>
          <w:rFonts w:cs="Times New Roman"/>
          <w:i/>
          <w:sz w:val="24"/>
          <w:szCs w:val="24"/>
        </w:rPr>
        <w:t xml:space="preserve">Critical English for </w:t>
      </w:r>
      <w:r w:rsidR="008165CA" w:rsidRPr="00E33DBB">
        <w:rPr>
          <w:rFonts w:cs="Times New Roman"/>
          <w:i/>
          <w:sz w:val="24"/>
          <w:szCs w:val="24"/>
        </w:rPr>
        <w:t>academic purposes</w:t>
      </w:r>
      <w:r w:rsidRPr="00E33DBB">
        <w:rPr>
          <w:rFonts w:cs="Times New Roman"/>
          <w:i/>
          <w:sz w:val="24"/>
          <w:szCs w:val="24"/>
        </w:rPr>
        <w:t xml:space="preserve">. </w:t>
      </w:r>
      <w:r w:rsidRPr="00E33DBB">
        <w:rPr>
          <w:rFonts w:cs="Times New Roman"/>
          <w:sz w:val="24"/>
          <w:szCs w:val="24"/>
        </w:rPr>
        <w:t>Mahwah, NJ: Lawrence Erlbaum.</w:t>
      </w:r>
    </w:p>
    <w:p w:rsidR="00113659" w:rsidRPr="00E33DBB" w:rsidRDefault="0043213C" w:rsidP="00E33DBB">
      <w:pPr>
        <w:spacing w:line="276" w:lineRule="auto"/>
        <w:ind w:hanging="227"/>
        <w:rPr>
          <w:rFonts w:cs="Times New Roman"/>
          <w:sz w:val="24"/>
          <w:szCs w:val="24"/>
        </w:rPr>
      </w:pPr>
      <w:r w:rsidRPr="00E33DBB">
        <w:rPr>
          <w:rFonts w:cs="Times New Roman"/>
          <w:sz w:val="24"/>
          <w:szCs w:val="24"/>
        </w:rPr>
        <w:t>Bloor, M. &amp;</w:t>
      </w:r>
      <w:r w:rsidR="0023016E" w:rsidRPr="00E33DBB">
        <w:rPr>
          <w:rFonts w:cs="Times New Roman"/>
          <w:sz w:val="24"/>
          <w:szCs w:val="24"/>
        </w:rPr>
        <w:t xml:space="preserve"> T. Bloor</w:t>
      </w:r>
      <w:r w:rsidR="00113659" w:rsidRPr="00E33DBB">
        <w:rPr>
          <w:rFonts w:cs="Times New Roman"/>
          <w:sz w:val="24"/>
          <w:szCs w:val="24"/>
        </w:rPr>
        <w:t xml:space="preserve"> (1986)</w:t>
      </w:r>
      <w:r w:rsidR="00213614" w:rsidRPr="00E33DBB">
        <w:rPr>
          <w:rFonts w:cs="Times New Roman"/>
          <w:sz w:val="24"/>
          <w:szCs w:val="24"/>
        </w:rPr>
        <w:t>.</w:t>
      </w:r>
      <w:r w:rsidR="00113659" w:rsidRPr="00E33DBB">
        <w:rPr>
          <w:rFonts w:cs="Times New Roman"/>
          <w:sz w:val="24"/>
          <w:szCs w:val="24"/>
        </w:rPr>
        <w:t xml:space="preserve"> Languages for specific purposes: practice and theory. </w:t>
      </w:r>
      <w:r w:rsidR="00113659" w:rsidRPr="00E33DBB">
        <w:rPr>
          <w:rFonts w:cs="Times New Roman"/>
          <w:i/>
          <w:sz w:val="24"/>
          <w:szCs w:val="24"/>
        </w:rPr>
        <w:t xml:space="preserve">CLCS Occasional Papers 19. </w:t>
      </w:r>
      <w:r w:rsidR="00113659" w:rsidRPr="00E33DBB">
        <w:rPr>
          <w:rFonts w:cs="Times New Roman"/>
          <w:sz w:val="24"/>
          <w:szCs w:val="24"/>
        </w:rPr>
        <w:t>Dublin: Trinity College, Centre for Language and Communication Studies.</w:t>
      </w:r>
    </w:p>
    <w:p w:rsidR="00901B61" w:rsidRPr="00E33DBB" w:rsidRDefault="00901B61" w:rsidP="00E33DBB">
      <w:pPr>
        <w:spacing w:line="276" w:lineRule="auto"/>
        <w:ind w:hanging="227"/>
        <w:rPr>
          <w:rFonts w:cs="Times New Roman"/>
          <w:sz w:val="24"/>
          <w:szCs w:val="24"/>
        </w:rPr>
      </w:pPr>
      <w:r w:rsidRPr="00E33DBB">
        <w:rPr>
          <w:rFonts w:cs="Times New Roman"/>
          <w:sz w:val="24"/>
          <w:szCs w:val="24"/>
        </w:rPr>
        <w:t xml:space="preserve">Bruner, J. (1966). </w:t>
      </w:r>
      <w:r w:rsidRPr="00E33DBB">
        <w:rPr>
          <w:rFonts w:cs="Times New Roman"/>
          <w:i/>
          <w:sz w:val="24"/>
          <w:szCs w:val="24"/>
        </w:rPr>
        <w:t xml:space="preserve">Towards a theory of instruction. </w:t>
      </w:r>
      <w:r w:rsidRPr="00E33DBB">
        <w:rPr>
          <w:rFonts w:cs="Times New Roman"/>
          <w:sz w:val="24"/>
          <w:szCs w:val="24"/>
        </w:rPr>
        <w:t>Cambridge, MA: Harvard University Press.</w:t>
      </w:r>
    </w:p>
    <w:p w:rsidR="0008264B" w:rsidRPr="00E33DBB" w:rsidRDefault="0008264B" w:rsidP="00E33DBB">
      <w:pPr>
        <w:spacing w:line="276" w:lineRule="auto"/>
        <w:ind w:hanging="227"/>
        <w:rPr>
          <w:rFonts w:cs="Times New Roman"/>
          <w:sz w:val="24"/>
          <w:szCs w:val="24"/>
        </w:rPr>
      </w:pPr>
      <w:r w:rsidRPr="00E33DBB">
        <w:rPr>
          <w:rFonts w:cs="Times New Roman"/>
          <w:sz w:val="24"/>
          <w:szCs w:val="24"/>
        </w:rPr>
        <w:t>Carless, D. (2006)</w:t>
      </w:r>
      <w:r w:rsidR="00213614" w:rsidRPr="00E33DBB">
        <w:rPr>
          <w:rFonts w:cs="Times New Roman"/>
          <w:sz w:val="24"/>
          <w:szCs w:val="24"/>
        </w:rPr>
        <w:t>.</w:t>
      </w:r>
      <w:r w:rsidRPr="00E33DBB">
        <w:rPr>
          <w:rFonts w:cs="Times New Roman"/>
          <w:sz w:val="24"/>
          <w:szCs w:val="24"/>
        </w:rPr>
        <w:t xml:space="preserve"> Differing perceptions in the feedback process. </w:t>
      </w:r>
      <w:r w:rsidRPr="00E33DBB">
        <w:rPr>
          <w:rFonts w:cs="Times New Roman"/>
          <w:i/>
          <w:iCs/>
          <w:sz w:val="24"/>
          <w:szCs w:val="24"/>
        </w:rPr>
        <w:t xml:space="preserve">Studies in Higher Education </w:t>
      </w:r>
      <w:r w:rsidRPr="00E33DBB">
        <w:rPr>
          <w:rFonts w:cs="Times New Roman"/>
          <w:sz w:val="24"/>
          <w:szCs w:val="24"/>
        </w:rPr>
        <w:t>31</w:t>
      </w:r>
      <w:r w:rsidR="00E41202" w:rsidRPr="00E33DBB">
        <w:rPr>
          <w:rFonts w:cs="Times New Roman"/>
          <w:sz w:val="24"/>
          <w:szCs w:val="24"/>
        </w:rPr>
        <w:t>.</w:t>
      </w:r>
      <w:r w:rsidRPr="00E33DBB">
        <w:rPr>
          <w:rFonts w:cs="Times New Roman"/>
          <w:sz w:val="24"/>
          <w:szCs w:val="24"/>
        </w:rPr>
        <w:t xml:space="preserve"> 2, 219 – 233.</w:t>
      </w:r>
    </w:p>
    <w:p w:rsidR="00EA17CC" w:rsidRPr="00E33DBB" w:rsidRDefault="00EA17CC" w:rsidP="00E33DBB">
      <w:pPr>
        <w:spacing w:line="276" w:lineRule="auto"/>
        <w:ind w:hanging="227"/>
        <w:rPr>
          <w:rFonts w:cs="Times New Roman"/>
          <w:sz w:val="24"/>
          <w:szCs w:val="24"/>
        </w:rPr>
      </w:pPr>
      <w:r w:rsidRPr="00E33DBB">
        <w:rPr>
          <w:rFonts w:cs="Times New Roman"/>
          <w:sz w:val="24"/>
          <w:szCs w:val="24"/>
        </w:rPr>
        <w:t>Dann, C. (2008)</w:t>
      </w:r>
      <w:r w:rsidR="00213614" w:rsidRPr="00E33DBB">
        <w:rPr>
          <w:rFonts w:cs="Times New Roman"/>
          <w:sz w:val="24"/>
          <w:szCs w:val="24"/>
        </w:rPr>
        <w:t>.</w:t>
      </w:r>
      <w:r w:rsidRPr="00E33DBB">
        <w:rPr>
          <w:rFonts w:cs="Times New Roman"/>
          <w:sz w:val="24"/>
          <w:szCs w:val="24"/>
        </w:rPr>
        <w:t xml:space="preserve"> From where I sit- A sad loss of literacy down under. </w:t>
      </w:r>
      <w:r w:rsidRPr="00E33DBB">
        <w:rPr>
          <w:rFonts w:cs="Times New Roman"/>
          <w:i/>
          <w:sz w:val="24"/>
          <w:szCs w:val="24"/>
        </w:rPr>
        <w:t xml:space="preserve">Times Higher Education  </w:t>
      </w:r>
      <w:r w:rsidRPr="00E33DBB">
        <w:rPr>
          <w:rFonts w:cs="Times New Roman"/>
          <w:sz w:val="24"/>
          <w:szCs w:val="24"/>
        </w:rPr>
        <w:t>11 September 2008.</w:t>
      </w:r>
    </w:p>
    <w:p w:rsidR="00772E45" w:rsidRPr="00E33DBB" w:rsidRDefault="0043213C" w:rsidP="00E33DBB">
      <w:pPr>
        <w:spacing w:line="276" w:lineRule="auto"/>
        <w:ind w:hanging="227"/>
        <w:rPr>
          <w:rFonts w:cs="Times New Roman"/>
          <w:sz w:val="24"/>
          <w:szCs w:val="24"/>
        </w:rPr>
      </w:pPr>
      <w:r w:rsidRPr="00E33DBB">
        <w:rPr>
          <w:rFonts w:cs="Times New Roman"/>
          <w:sz w:val="24"/>
          <w:szCs w:val="24"/>
        </w:rPr>
        <w:t>Dobson, B. &amp;</w:t>
      </w:r>
      <w:r w:rsidR="0023016E" w:rsidRPr="00E33DBB">
        <w:rPr>
          <w:rFonts w:cs="Times New Roman"/>
          <w:sz w:val="24"/>
          <w:szCs w:val="24"/>
        </w:rPr>
        <w:t xml:space="preserve"> C. Feak</w:t>
      </w:r>
      <w:r w:rsidR="00772E45" w:rsidRPr="00E33DBB">
        <w:rPr>
          <w:rFonts w:cs="Times New Roman"/>
          <w:sz w:val="24"/>
          <w:szCs w:val="24"/>
        </w:rPr>
        <w:t xml:space="preserve"> (2001)</w:t>
      </w:r>
      <w:r w:rsidR="00213614" w:rsidRPr="00E33DBB">
        <w:rPr>
          <w:rFonts w:cs="Times New Roman"/>
          <w:sz w:val="24"/>
          <w:szCs w:val="24"/>
        </w:rPr>
        <w:t>.</w:t>
      </w:r>
      <w:r w:rsidR="00772E45" w:rsidRPr="00E33DBB">
        <w:rPr>
          <w:rFonts w:cs="Times New Roman"/>
          <w:sz w:val="24"/>
          <w:szCs w:val="24"/>
        </w:rPr>
        <w:t xml:space="preserve"> A cognitive modelling approach to teaching critique writing to non</w:t>
      </w:r>
      <w:r w:rsidR="00C964DC" w:rsidRPr="00E33DBB">
        <w:rPr>
          <w:rFonts w:cs="Times New Roman"/>
          <w:sz w:val="24"/>
          <w:szCs w:val="24"/>
        </w:rPr>
        <w:t>-n</w:t>
      </w:r>
      <w:r w:rsidR="000D2CCC" w:rsidRPr="00E33DBB">
        <w:rPr>
          <w:rFonts w:cs="Times New Roman"/>
          <w:sz w:val="24"/>
          <w:szCs w:val="24"/>
        </w:rPr>
        <w:t xml:space="preserve">ative speakers. </w:t>
      </w:r>
      <w:r w:rsidR="00091864" w:rsidRPr="00E33DBB">
        <w:rPr>
          <w:rFonts w:cs="Times New Roman"/>
          <w:sz w:val="24"/>
          <w:szCs w:val="24"/>
        </w:rPr>
        <w:t>In D. Belcher &amp;</w:t>
      </w:r>
      <w:r w:rsidR="00772E45" w:rsidRPr="00E33DBB">
        <w:rPr>
          <w:rFonts w:cs="Times New Roman"/>
          <w:sz w:val="24"/>
          <w:szCs w:val="24"/>
        </w:rPr>
        <w:t xml:space="preserve"> A. Hirvela </w:t>
      </w:r>
      <w:r w:rsidR="00213614" w:rsidRPr="00E33DBB">
        <w:rPr>
          <w:rFonts w:cs="Times New Roman"/>
          <w:sz w:val="24"/>
          <w:szCs w:val="24"/>
        </w:rPr>
        <w:t>(eds.)</w:t>
      </w:r>
      <w:r w:rsidR="0086431D" w:rsidRPr="00E33DBB">
        <w:rPr>
          <w:rFonts w:cs="Times New Roman"/>
          <w:sz w:val="24"/>
          <w:szCs w:val="24"/>
        </w:rPr>
        <w:t>,</w:t>
      </w:r>
      <w:r w:rsidR="00772E45" w:rsidRPr="00E33DBB">
        <w:rPr>
          <w:rFonts w:cs="Times New Roman"/>
          <w:sz w:val="24"/>
          <w:szCs w:val="24"/>
        </w:rPr>
        <w:t xml:space="preserve"> </w:t>
      </w:r>
      <w:r w:rsidR="008165CA" w:rsidRPr="00E33DBB">
        <w:rPr>
          <w:rFonts w:cs="Times New Roman"/>
          <w:i/>
          <w:sz w:val="24"/>
          <w:szCs w:val="24"/>
        </w:rPr>
        <w:t>Linking l</w:t>
      </w:r>
      <w:r w:rsidR="00772E45" w:rsidRPr="00E33DBB">
        <w:rPr>
          <w:rFonts w:cs="Times New Roman"/>
          <w:i/>
          <w:sz w:val="24"/>
          <w:szCs w:val="24"/>
        </w:rPr>
        <w:t xml:space="preserve">iteracies. Perspectives on L2 </w:t>
      </w:r>
      <w:r w:rsidR="008165CA" w:rsidRPr="00E33DBB">
        <w:rPr>
          <w:rFonts w:cs="Times New Roman"/>
          <w:i/>
          <w:sz w:val="24"/>
          <w:szCs w:val="24"/>
        </w:rPr>
        <w:t>reading-writing connections.</w:t>
      </w:r>
      <w:r w:rsidR="00772E45" w:rsidRPr="00E33DBB">
        <w:rPr>
          <w:rFonts w:cs="Times New Roman"/>
          <w:i/>
          <w:sz w:val="24"/>
          <w:szCs w:val="24"/>
        </w:rPr>
        <w:t xml:space="preserve"> </w:t>
      </w:r>
      <w:r w:rsidR="00772E45" w:rsidRPr="00E33DBB">
        <w:rPr>
          <w:rFonts w:cs="Times New Roman"/>
          <w:sz w:val="24"/>
          <w:szCs w:val="24"/>
        </w:rPr>
        <w:t>Ann Arbo</w:t>
      </w:r>
      <w:r w:rsidR="00091864" w:rsidRPr="00E33DBB">
        <w:rPr>
          <w:rFonts w:cs="Times New Roman"/>
          <w:sz w:val="24"/>
          <w:szCs w:val="24"/>
        </w:rPr>
        <w:t>r: University of Michigan Press, 186 – 199.</w:t>
      </w:r>
      <w:r w:rsidR="00772E45" w:rsidRPr="00E33DBB">
        <w:rPr>
          <w:rFonts w:cs="Times New Roman"/>
          <w:sz w:val="24"/>
          <w:szCs w:val="24"/>
        </w:rPr>
        <w:t xml:space="preserve"> </w:t>
      </w:r>
    </w:p>
    <w:p w:rsidR="00F365FC" w:rsidRPr="00E33DBB" w:rsidRDefault="00F365FC" w:rsidP="00E33DBB">
      <w:pPr>
        <w:spacing w:line="276" w:lineRule="auto"/>
        <w:ind w:hanging="227"/>
        <w:rPr>
          <w:rFonts w:cs="Times New Roman"/>
          <w:noProof/>
          <w:sz w:val="24"/>
          <w:szCs w:val="24"/>
        </w:rPr>
      </w:pPr>
      <w:r w:rsidRPr="00E33DBB">
        <w:rPr>
          <w:rFonts w:cs="Times New Roman"/>
          <w:noProof/>
          <w:sz w:val="24"/>
          <w:szCs w:val="24"/>
        </w:rPr>
        <w:t>Duff, P. (2010)</w:t>
      </w:r>
      <w:r w:rsidR="00213614" w:rsidRPr="00E33DBB">
        <w:rPr>
          <w:rFonts w:cs="Times New Roman"/>
          <w:noProof/>
          <w:sz w:val="24"/>
          <w:szCs w:val="24"/>
        </w:rPr>
        <w:t>.</w:t>
      </w:r>
      <w:r w:rsidRPr="00E33DBB">
        <w:rPr>
          <w:rFonts w:cs="Times New Roman"/>
          <w:noProof/>
          <w:sz w:val="24"/>
          <w:szCs w:val="24"/>
        </w:rPr>
        <w:t xml:space="preserve"> Language socialisation into academic discourse communities. </w:t>
      </w:r>
      <w:r w:rsidRPr="00E33DBB">
        <w:rPr>
          <w:rFonts w:cs="Times New Roman"/>
          <w:i/>
          <w:noProof/>
          <w:sz w:val="24"/>
          <w:szCs w:val="24"/>
        </w:rPr>
        <w:t xml:space="preserve">Annual Review of Applied Linguistics </w:t>
      </w:r>
      <w:r w:rsidRPr="00E33DBB">
        <w:rPr>
          <w:rFonts w:cs="Times New Roman"/>
          <w:noProof/>
          <w:sz w:val="24"/>
          <w:szCs w:val="24"/>
        </w:rPr>
        <w:t>30, 169 – 192.</w:t>
      </w:r>
    </w:p>
    <w:p w:rsidR="0008264B" w:rsidRPr="00E33DBB" w:rsidRDefault="0043213C" w:rsidP="00E33DBB">
      <w:pPr>
        <w:spacing w:line="276" w:lineRule="auto"/>
        <w:ind w:hanging="227"/>
        <w:rPr>
          <w:rFonts w:cs="Times New Roman"/>
          <w:noProof/>
          <w:sz w:val="24"/>
          <w:szCs w:val="24"/>
        </w:rPr>
      </w:pPr>
      <w:r w:rsidRPr="00E33DBB">
        <w:rPr>
          <w:rFonts w:cs="Times New Roman"/>
          <w:sz w:val="24"/>
          <w:szCs w:val="24"/>
        </w:rPr>
        <w:t>Durkin, K. &amp;</w:t>
      </w:r>
      <w:r w:rsidR="0023016E" w:rsidRPr="00E33DBB">
        <w:rPr>
          <w:rFonts w:cs="Times New Roman"/>
          <w:sz w:val="24"/>
          <w:szCs w:val="24"/>
        </w:rPr>
        <w:t xml:space="preserve"> A.</w:t>
      </w:r>
      <w:r w:rsidR="0008264B" w:rsidRPr="00E33DBB">
        <w:rPr>
          <w:rFonts w:cs="Times New Roman"/>
          <w:sz w:val="24"/>
          <w:szCs w:val="24"/>
        </w:rPr>
        <w:t xml:space="preserve"> </w:t>
      </w:r>
      <w:r w:rsidR="0023016E" w:rsidRPr="00E33DBB">
        <w:rPr>
          <w:rFonts w:cs="Times New Roman"/>
          <w:sz w:val="24"/>
          <w:szCs w:val="24"/>
        </w:rPr>
        <w:t>Main</w:t>
      </w:r>
      <w:r w:rsidR="0008264B" w:rsidRPr="00E33DBB">
        <w:rPr>
          <w:rFonts w:cs="Times New Roman"/>
          <w:sz w:val="24"/>
          <w:szCs w:val="24"/>
        </w:rPr>
        <w:t xml:space="preserve"> (2002)</w:t>
      </w:r>
      <w:r w:rsidR="00213614" w:rsidRPr="00E33DBB">
        <w:rPr>
          <w:rFonts w:cs="Times New Roman"/>
          <w:sz w:val="24"/>
          <w:szCs w:val="24"/>
        </w:rPr>
        <w:t xml:space="preserve">. </w:t>
      </w:r>
      <w:r w:rsidR="0008264B" w:rsidRPr="00E33DBB">
        <w:rPr>
          <w:rFonts w:cs="Times New Roman"/>
          <w:sz w:val="24"/>
          <w:szCs w:val="24"/>
        </w:rPr>
        <w:t>Discipline-based study skills support for first-year undergraduate</w:t>
      </w:r>
      <w:r w:rsidR="00775312" w:rsidRPr="00E33DBB">
        <w:rPr>
          <w:rFonts w:cs="Times New Roman"/>
          <w:noProof/>
          <w:sz w:val="24"/>
          <w:szCs w:val="24"/>
        </w:rPr>
        <w:t xml:space="preserve"> </w:t>
      </w:r>
      <w:r w:rsidR="00FC1EC5" w:rsidRPr="00E33DBB">
        <w:rPr>
          <w:rFonts w:cs="Times New Roman"/>
          <w:sz w:val="24"/>
          <w:szCs w:val="24"/>
        </w:rPr>
        <w:t xml:space="preserve">students. </w:t>
      </w:r>
      <w:r w:rsidR="0008264B" w:rsidRPr="00E33DBB">
        <w:rPr>
          <w:rFonts w:cs="Times New Roman"/>
          <w:i/>
          <w:sz w:val="24"/>
          <w:szCs w:val="24"/>
        </w:rPr>
        <w:t>Active Learning in Higher Education</w:t>
      </w:r>
      <w:r w:rsidR="0008264B" w:rsidRPr="00E33DBB">
        <w:rPr>
          <w:rFonts w:cs="Times New Roman"/>
          <w:sz w:val="24"/>
          <w:szCs w:val="24"/>
        </w:rPr>
        <w:t xml:space="preserve"> 3</w:t>
      </w:r>
      <w:r w:rsidR="00E41202" w:rsidRPr="00E33DBB">
        <w:rPr>
          <w:rFonts w:cs="Times New Roman"/>
          <w:sz w:val="24"/>
          <w:szCs w:val="24"/>
        </w:rPr>
        <w:t>.</w:t>
      </w:r>
      <w:r w:rsidR="0008264B" w:rsidRPr="00E33DBB">
        <w:rPr>
          <w:rFonts w:cs="Times New Roman"/>
          <w:sz w:val="24"/>
          <w:szCs w:val="24"/>
        </w:rPr>
        <w:t xml:space="preserve"> 1, 24 - 39.</w:t>
      </w:r>
    </w:p>
    <w:p w:rsidR="00AB4F06" w:rsidRPr="00E33DBB" w:rsidRDefault="00AB4F06" w:rsidP="00E33DBB">
      <w:pPr>
        <w:tabs>
          <w:tab w:val="left" w:pos="2340"/>
        </w:tabs>
        <w:spacing w:line="276" w:lineRule="auto"/>
        <w:ind w:hanging="230"/>
        <w:rPr>
          <w:rFonts w:cs="Times New Roman"/>
          <w:sz w:val="24"/>
          <w:szCs w:val="24"/>
        </w:rPr>
      </w:pPr>
      <w:r w:rsidRPr="00E33DBB">
        <w:rPr>
          <w:rFonts w:cs="Times New Roman"/>
          <w:sz w:val="24"/>
          <w:szCs w:val="24"/>
        </w:rPr>
        <w:t>Edward, N.</w:t>
      </w:r>
      <w:r w:rsidR="000D2CCC" w:rsidRPr="00E33DBB">
        <w:rPr>
          <w:rFonts w:cs="Times New Roman"/>
          <w:sz w:val="24"/>
          <w:szCs w:val="24"/>
        </w:rPr>
        <w:t xml:space="preserve"> (2003). First impressions last. </w:t>
      </w:r>
      <w:r w:rsidRPr="00E33DBB">
        <w:rPr>
          <w:rFonts w:cs="Times New Roman"/>
          <w:i/>
          <w:iCs/>
          <w:sz w:val="24"/>
          <w:szCs w:val="24"/>
        </w:rPr>
        <w:t>Active Learning in Higher Education</w:t>
      </w:r>
      <w:r w:rsidR="00E41202" w:rsidRPr="00E33DBB">
        <w:rPr>
          <w:rFonts w:cs="Times New Roman"/>
          <w:sz w:val="24"/>
          <w:szCs w:val="24"/>
        </w:rPr>
        <w:t xml:space="preserve"> 4.</w:t>
      </w:r>
      <w:r w:rsidRPr="00E33DBB">
        <w:rPr>
          <w:rFonts w:cs="Times New Roman"/>
          <w:sz w:val="24"/>
          <w:szCs w:val="24"/>
        </w:rPr>
        <w:t xml:space="preserve"> 3, 226 – 242.</w:t>
      </w:r>
    </w:p>
    <w:p w:rsidR="006E0A3F" w:rsidRPr="00E33DBB" w:rsidRDefault="0043213C" w:rsidP="00E33DBB">
      <w:pPr>
        <w:tabs>
          <w:tab w:val="left" w:pos="2340"/>
        </w:tabs>
        <w:spacing w:line="276" w:lineRule="auto"/>
        <w:ind w:hanging="230"/>
        <w:rPr>
          <w:rFonts w:cs="Times New Roman"/>
          <w:sz w:val="24"/>
          <w:szCs w:val="24"/>
        </w:rPr>
      </w:pPr>
      <w:r w:rsidRPr="00E33DBB">
        <w:rPr>
          <w:rFonts w:cs="Times New Roman"/>
          <w:sz w:val="24"/>
          <w:szCs w:val="24"/>
        </w:rPr>
        <w:t>Foster, S. &amp;</w:t>
      </w:r>
      <w:r w:rsidR="0023016E" w:rsidRPr="00E33DBB">
        <w:rPr>
          <w:rFonts w:cs="Times New Roman"/>
          <w:sz w:val="24"/>
          <w:szCs w:val="24"/>
        </w:rPr>
        <w:t xml:space="preserve"> M. Deane</w:t>
      </w:r>
      <w:r w:rsidR="006E0A3F" w:rsidRPr="00E33DBB">
        <w:rPr>
          <w:rFonts w:cs="Times New Roman"/>
          <w:sz w:val="24"/>
          <w:szCs w:val="24"/>
        </w:rPr>
        <w:t xml:space="preserve"> (2011)</w:t>
      </w:r>
      <w:r w:rsidR="00213614" w:rsidRPr="00E33DBB">
        <w:rPr>
          <w:rFonts w:cs="Times New Roman"/>
          <w:sz w:val="24"/>
          <w:szCs w:val="24"/>
        </w:rPr>
        <w:t>.</w:t>
      </w:r>
      <w:r w:rsidR="006E0A3F" w:rsidRPr="00E33DBB">
        <w:rPr>
          <w:rFonts w:cs="Times New Roman"/>
          <w:sz w:val="24"/>
          <w:szCs w:val="24"/>
        </w:rPr>
        <w:t xml:space="preserve"> Enhancing students</w:t>
      </w:r>
      <w:r w:rsidR="00091864" w:rsidRPr="00E33DBB">
        <w:rPr>
          <w:rFonts w:cs="Times New Roman"/>
          <w:sz w:val="24"/>
          <w:szCs w:val="24"/>
        </w:rPr>
        <w:t>’ legal writing. In M. Deane &amp;</w:t>
      </w:r>
      <w:r w:rsidR="006E0A3F" w:rsidRPr="00E33DBB">
        <w:rPr>
          <w:rFonts w:cs="Times New Roman"/>
          <w:sz w:val="24"/>
          <w:szCs w:val="24"/>
        </w:rPr>
        <w:t xml:space="preserve"> P. O’Neill </w:t>
      </w:r>
      <w:r w:rsidR="00213614" w:rsidRPr="00E33DBB">
        <w:rPr>
          <w:rFonts w:cs="Times New Roman"/>
          <w:sz w:val="24"/>
          <w:szCs w:val="24"/>
        </w:rPr>
        <w:t>(eds.)</w:t>
      </w:r>
      <w:r w:rsidR="00FC1EC5" w:rsidRPr="00E33DBB">
        <w:rPr>
          <w:rFonts w:cs="Times New Roman"/>
          <w:sz w:val="24"/>
          <w:szCs w:val="24"/>
        </w:rPr>
        <w:t>,</w:t>
      </w:r>
      <w:r w:rsidR="006E0A3F" w:rsidRPr="00E33DBB">
        <w:rPr>
          <w:rFonts w:cs="Times New Roman"/>
          <w:sz w:val="24"/>
          <w:szCs w:val="24"/>
        </w:rPr>
        <w:t xml:space="preserve"> </w:t>
      </w:r>
      <w:r w:rsidR="00D031EE" w:rsidRPr="00E33DBB">
        <w:rPr>
          <w:rFonts w:cs="Times New Roman"/>
          <w:i/>
          <w:sz w:val="24"/>
          <w:szCs w:val="24"/>
        </w:rPr>
        <w:t>Writing in the d</w:t>
      </w:r>
      <w:r w:rsidR="006E0A3F" w:rsidRPr="00E33DBB">
        <w:rPr>
          <w:rFonts w:cs="Times New Roman"/>
          <w:i/>
          <w:sz w:val="24"/>
          <w:szCs w:val="24"/>
        </w:rPr>
        <w:t>isciplines</w:t>
      </w:r>
      <w:r w:rsidR="006E0A3F" w:rsidRPr="00E33DBB">
        <w:rPr>
          <w:rFonts w:cs="Times New Roman"/>
          <w:sz w:val="24"/>
          <w:szCs w:val="24"/>
        </w:rPr>
        <w:t>. London: Palgrave Macmillan</w:t>
      </w:r>
      <w:r w:rsidR="00091864" w:rsidRPr="00E33DBB">
        <w:rPr>
          <w:rFonts w:cs="Times New Roman"/>
          <w:sz w:val="24"/>
          <w:szCs w:val="24"/>
        </w:rPr>
        <w:t>, 88 – 102.</w:t>
      </w:r>
    </w:p>
    <w:p w:rsidR="00C70E4B" w:rsidRPr="00E33DBB" w:rsidRDefault="00C70E4B" w:rsidP="00E33DBB">
      <w:pPr>
        <w:spacing w:line="276" w:lineRule="auto"/>
        <w:ind w:hanging="230"/>
        <w:rPr>
          <w:rFonts w:cs="Times New Roman"/>
          <w:sz w:val="24"/>
          <w:szCs w:val="24"/>
        </w:rPr>
      </w:pPr>
      <w:r w:rsidRPr="00E33DBB">
        <w:rPr>
          <w:rFonts w:cs="Times New Roman"/>
          <w:sz w:val="24"/>
          <w:szCs w:val="24"/>
        </w:rPr>
        <w:t>Gardner, S. (2012)</w:t>
      </w:r>
      <w:r w:rsidR="00213614" w:rsidRPr="00E33DBB">
        <w:rPr>
          <w:rFonts w:cs="Times New Roman"/>
          <w:sz w:val="24"/>
          <w:szCs w:val="24"/>
        </w:rPr>
        <w:t>.</w:t>
      </w:r>
      <w:r w:rsidRPr="00E33DBB">
        <w:rPr>
          <w:rFonts w:cs="Times New Roman"/>
          <w:sz w:val="24"/>
          <w:szCs w:val="24"/>
        </w:rPr>
        <w:t xml:space="preserve"> Genres and registers of student report writing: an SFL perspective on texts and practices. </w:t>
      </w:r>
      <w:r w:rsidRPr="00E33DBB">
        <w:rPr>
          <w:rFonts w:cs="Times New Roman"/>
          <w:i/>
          <w:sz w:val="24"/>
          <w:szCs w:val="24"/>
        </w:rPr>
        <w:t xml:space="preserve">Journal of English for Specific Purposes </w:t>
      </w:r>
      <w:r w:rsidRPr="00E33DBB">
        <w:rPr>
          <w:rFonts w:cs="Times New Roman"/>
          <w:sz w:val="24"/>
          <w:szCs w:val="24"/>
        </w:rPr>
        <w:t>11, 52 – 63.</w:t>
      </w:r>
    </w:p>
    <w:p w:rsidR="0088099B" w:rsidRPr="00E33DBB" w:rsidRDefault="0043213C" w:rsidP="00E33DBB">
      <w:pPr>
        <w:spacing w:line="276" w:lineRule="auto"/>
        <w:ind w:hanging="227"/>
        <w:rPr>
          <w:rFonts w:cs="Times New Roman"/>
          <w:sz w:val="24"/>
          <w:szCs w:val="24"/>
        </w:rPr>
      </w:pPr>
      <w:r w:rsidRPr="00E33DBB">
        <w:rPr>
          <w:rFonts w:eastAsia="Times New Roman" w:cs="Times New Roman"/>
          <w:sz w:val="24"/>
          <w:szCs w:val="24"/>
        </w:rPr>
        <w:t xml:space="preserve">Hirvela, A. </w:t>
      </w:r>
      <w:r w:rsidRPr="00E33DBB">
        <w:rPr>
          <w:rFonts w:cs="Times New Roman"/>
          <w:sz w:val="24"/>
          <w:szCs w:val="24"/>
        </w:rPr>
        <w:t>&amp;</w:t>
      </w:r>
      <w:r w:rsidR="0023016E" w:rsidRPr="00E33DBB">
        <w:rPr>
          <w:rFonts w:eastAsia="Times New Roman" w:cs="Times New Roman"/>
          <w:sz w:val="24"/>
          <w:szCs w:val="24"/>
        </w:rPr>
        <w:t xml:space="preserve"> Q. Du</w:t>
      </w:r>
      <w:r w:rsidR="0088099B" w:rsidRPr="00E33DBB">
        <w:rPr>
          <w:rFonts w:eastAsia="Times New Roman" w:cs="Times New Roman"/>
          <w:sz w:val="24"/>
          <w:szCs w:val="24"/>
        </w:rPr>
        <w:t xml:space="preserve"> (2013). ‘Why am I paraphrasing?’ Undergraduate ESL writers' engagement with source-based academic writing and reading.  </w:t>
      </w:r>
      <w:r w:rsidR="0088099B" w:rsidRPr="00E33DBB">
        <w:rPr>
          <w:rFonts w:eastAsia="Times New Roman" w:cs="Times New Roman"/>
          <w:i/>
          <w:iCs/>
          <w:sz w:val="24"/>
          <w:szCs w:val="24"/>
        </w:rPr>
        <w:t>Journal of English for Academic Purposes</w:t>
      </w:r>
      <w:r w:rsidR="00E41202" w:rsidRPr="00E33DBB">
        <w:rPr>
          <w:rFonts w:eastAsia="Times New Roman" w:cs="Times New Roman"/>
          <w:sz w:val="24"/>
          <w:szCs w:val="24"/>
        </w:rPr>
        <w:t xml:space="preserve"> 12.</w:t>
      </w:r>
      <w:r w:rsidR="0088099B" w:rsidRPr="00E33DBB">
        <w:rPr>
          <w:rFonts w:eastAsia="Times New Roman" w:cs="Times New Roman"/>
          <w:sz w:val="24"/>
          <w:szCs w:val="24"/>
        </w:rPr>
        <w:t xml:space="preserve"> 2, 87-98.</w:t>
      </w:r>
    </w:p>
    <w:p w:rsidR="00DB5418" w:rsidRPr="00E33DBB" w:rsidRDefault="00DB5418" w:rsidP="00E33DBB">
      <w:pPr>
        <w:spacing w:line="276" w:lineRule="auto"/>
        <w:ind w:hanging="227"/>
        <w:rPr>
          <w:rFonts w:cs="Times New Roman"/>
          <w:sz w:val="24"/>
          <w:szCs w:val="24"/>
        </w:rPr>
      </w:pPr>
      <w:r w:rsidRPr="00E33DBB">
        <w:rPr>
          <w:rFonts w:cs="Times New Roman"/>
          <w:sz w:val="24"/>
          <w:szCs w:val="24"/>
        </w:rPr>
        <w:t>Horner, B. (2014)</w:t>
      </w:r>
      <w:r w:rsidR="00213614" w:rsidRPr="00E33DBB">
        <w:rPr>
          <w:rFonts w:cs="Times New Roman"/>
          <w:sz w:val="24"/>
          <w:szCs w:val="24"/>
        </w:rPr>
        <w:t>.</w:t>
      </w:r>
      <w:r w:rsidRPr="00E33DBB">
        <w:rPr>
          <w:rFonts w:cs="Times New Roman"/>
          <w:sz w:val="24"/>
          <w:szCs w:val="24"/>
        </w:rPr>
        <w:t xml:space="preserve"> Writing in the disciplines/writing across</w:t>
      </w:r>
      <w:r w:rsidR="00091864" w:rsidRPr="00E33DBB">
        <w:rPr>
          <w:rFonts w:cs="Times New Roman"/>
          <w:sz w:val="24"/>
          <w:szCs w:val="24"/>
        </w:rPr>
        <w:t xml:space="preserve"> the curriculum. In C. Leung &amp;</w:t>
      </w:r>
      <w:r w:rsidRPr="00E33DBB">
        <w:rPr>
          <w:rFonts w:cs="Times New Roman"/>
          <w:sz w:val="24"/>
          <w:szCs w:val="24"/>
        </w:rPr>
        <w:t xml:space="preserve"> B. Street </w:t>
      </w:r>
      <w:r w:rsidR="00213614" w:rsidRPr="00E33DBB">
        <w:rPr>
          <w:rFonts w:cs="Times New Roman"/>
          <w:sz w:val="24"/>
          <w:szCs w:val="24"/>
        </w:rPr>
        <w:t>(eds.)</w:t>
      </w:r>
      <w:r w:rsidR="0086431D" w:rsidRPr="00E33DBB">
        <w:rPr>
          <w:rFonts w:cs="Times New Roman"/>
          <w:sz w:val="24"/>
          <w:szCs w:val="24"/>
        </w:rPr>
        <w:t>,</w:t>
      </w:r>
      <w:r w:rsidRPr="00E33DBB">
        <w:rPr>
          <w:rFonts w:cs="Times New Roman"/>
          <w:sz w:val="24"/>
          <w:szCs w:val="24"/>
        </w:rPr>
        <w:t xml:space="preserve"> </w:t>
      </w:r>
      <w:r w:rsidRPr="00E33DBB">
        <w:rPr>
          <w:rFonts w:cs="Times New Roman"/>
          <w:i/>
          <w:sz w:val="24"/>
          <w:szCs w:val="24"/>
        </w:rPr>
        <w:t xml:space="preserve">The Routledge </w:t>
      </w:r>
      <w:r w:rsidR="00D031EE" w:rsidRPr="00E33DBB">
        <w:rPr>
          <w:rFonts w:cs="Times New Roman"/>
          <w:i/>
          <w:sz w:val="24"/>
          <w:szCs w:val="24"/>
        </w:rPr>
        <w:t>companion to English s</w:t>
      </w:r>
      <w:r w:rsidRPr="00E33DBB">
        <w:rPr>
          <w:rFonts w:cs="Times New Roman"/>
          <w:i/>
          <w:sz w:val="24"/>
          <w:szCs w:val="24"/>
        </w:rPr>
        <w:t>tudies</w:t>
      </w:r>
      <w:r w:rsidR="00091864" w:rsidRPr="00E33DBB">
        <w:rPr>
          <w:rFonts w:cs="Times New Roman"/>
          <w:sz w:val="24"/>
          <w:szCs w:val="24"/>
        </w:rPr>
        <w:t>. London, New York: Routledge, 405 – 418.</w:t>
      </w:r>
    </w:p>
    <w:p w:rsidR="00F15A24" w:rsidRPr="00E33DBB" w:rsidRDefault="00F15A24" w:rsidP="00E33DBB">
      <w:pPr>
        <w:spacing w:line="276" w:lineRule="auto"/>
        <w:ind w:hanging="227"/>
        <w:rPr>
          <w:rFonts w:cs="Times New Roman"/>
          <w:sz w:val="24"/>
          <w:szCs w:val="24"/>
        </w:rPr>
      </w:pPr>
      <w:r w:rsidRPr="00E33DBB">
        <w:rPr>
          <w:rFonts w:cs="Times New Roman"/>
          <w:sz w:val="24"/>
          <w:szCs w:val="24"/>
        </w:rPr>
        <w:t>Hyland, K. (2004)</w:t>
      </w:r>
      <w:r w:rsidR="00213614" w:rsidRPr="00E33DBB">
        <w:rPr>
          <w:rFonts w:cs="Times New Roman"/>
          <w:sz w:val="24"/>
          <w:szCs w:val="24"/>
        </w:rPr>
        <w:t>.</w:t>
      </w:r>
      <w:r w:rsidRPr="00E33DBB">
        <w:rPr>
          <w:rFonts w:cs="Times New Roman"/>
          <w:sz w:val="24"/>
          <w:szCs w:val="24"/>
        </w:rPr>
        <w:t xml:space="preserve"> </w:t>
      </w:r>
      <w:r w:rsidRPr="00E33DBB">
        <w:rPr>
          <w:rFonts w:cs="Times New Roman"/>
          <w:i/>
          <w:sz w:val="24"/>
          <w:szCs w:val="24"/>
        </w:rPr>
        <w:t xml:space="preserve">Genre and </w:t>
      </w:r>
      <w:r w:rsidR="00D031EE" w:rsidRPr="00E33DBB">
        <w:rPr>
          <w:rFonts w:cs="Times New Roman"/>
          <w:i/>
          <w:sz w:val="24"/>
          <w:szCs w:val="24"/>
        </w:rPr>
        <w:t>second language writing</w:t>
      </w:r>
      <w:r w:rsidRPr="00E33DBB">
        <w:rPr>
          <w:rFonts w:cs="Times New Roman"/>
          <w:i/>
          <w:sz w:val="24"/>
          <w:szCs w:val="24"/>
        </w:rPr>
        <w:t xml:space="preserve">. </w:t>
      </w:r>
      <w:r w:rsidRPr="00E33DBB">
        <w:rPr>
          <w:rFonts w:cs="Times New Roman"/>
          <w:sz w:val="24"/>
          <w:szCs w:val="24"/>
        </w:rPr>
        <w:t xml:space="preserve">Ann Arbor: University of Michigan Press. </w:t>
      </w:r>
    </w:p>
    <w:p w:rsidR="00F15A24" w:rsidRPr="00E33DBB" w:rsidRDefault="00F15A24" w:rsidP="00E33DBB">
      <w:pPr>
        <w:spacing w:line="276" w:lineRule="auto"/>
        <w:ind w:hanging="227"/>
        <w:rPr>
          <w:rFonts w:cs="Times New Roman"/>
          <w:sz w:val="24"/>
          <w:szCs w:val="24"/>
        </w:rPr>
      </w:pPr>
      <w:r w:rsidRPr="00E33DBB">
        <w:rPr>
          <w:rFonts w:cs="Times New Roman"/>
          <w:sz w:val="24"/>
          <w:szCs w:val="24"/>
        </w:rPr>
        <w:t>Hyland, K. (2008)</w:t>
      </w:r>
      <w:r w:rsidR="00213614" w:rsidRPr="00E33DBB">
        <w:rPr>
          <w:rFonts w:cs="Times New Roman"/>
          <w:sz w:val="24"/>
          <w:szCs w:val="24"/>
        </w:rPr>
        <w:t>.</w:t>
      </w:r>
      <w:r w:rsidRPr="00E33DBB">
        <w:rPr>
          <w:rFonts w:cs="Times New Roman"/>
          <w:sz w:val="24"/>
          <w:szCs w:val="24"/>
        </w:rPr>
        <w:t xml:space="preserve"> Genre and academic writing in the disciplines. </w:t>
      </w:r>
      <w:r w:rsidRPr="00E33DBB">
        <w:rPr>
          <w:rFonts w:cs="Times New Roman"/>
          <w:i/>
          <w:sz w:val="24"/>
          <w:szCs w:val="24"/>
        </w:rPr>
        <w:t xml:space="preserve">Language Teaching </w:t>
      </w:r>
      <w:r w:rsidR="00E41202" w:rsidRPr="00E33DBB">
        <w:rPr>
          <w:rFonts w:cs="Times New Roman"/>
          <w:sz w:val="24"/>
          <w:szCs w:val="24"/>
        </w:rPr>
        <w:t>41.</w:t>
      </w:r>
      <w:r w:rsidRPr="00E33DBB">
        <w:rPr>
          <w:rFonts w:cs="Times New Roman"/>
          <w:sz w:val="24"/>
          <w:szCs w:val="24"/>
        </w:rPr>
        <w:t xml:space="preserve"> 4, 543 – 562.</w:t>
      </w:r>
    </w:p>
    <w:p w:rsidR="00793F0F" w:rsidRPr="00E33DBB" w:rsidRDefault="00793F0F" w:rsidP="00E33DBB">
      <w:pPr>
        <w:spacing w:line="276" w:lineRule="auto"/>
        <w:ind w:hanging="227"/>
        <w:rPr>
          <w:rFonts w:cs="Times New Roman"/>
          <w:sz w:val="24"/>
          <w:szCs w:val="24"/>
        </w:rPr>
      </w:pPr>
      <w:r w:rsidRPr="00E33DBB">
        <w:rPr>
          <w:rFonts w:cs="Times New Roman"/>
          <w:sz w:val="24"/>
          <w:szCs w:val="24"/>
        </w:rPr>
        <w:t>Jacobs, C. (2005)</w:t>
      </w:r>
      <w:r w:rsidR="00213614" w:rsidRPr="00E33DBB">
        <w:rPr>
          <w:rFonts w:cs="Times New Roman"/>
          <w:sz w:val="24"/>
          <w:szCs w:val="24"/>
        </w:rPr>
        <w:t>.</w:t>
      </w:r>
      <w:r w:rsidRPr="00E33DBB">
        <w:rPr>
          <w:rFonts w:cs="Times New Roman"/>
          <w:sz w:val="24"/>
          <w:szCs w:val="24"/>
        </w:rPr>
        <w:t xml:space="preserve"> On being an insider on the outside: new spaces for integrating academic literacies. </w:t>
      </w:r>
      <w:r w:rsidRPr="00E33DBB">
        <w:rPr>
          <w:rFonts w:cs="Times New Roman"/>
          <w:i/>
          <w:sz w:val="24"/>
          <w:szCs w:val="24"/>
        </w:rPr>
        <w:t>Teaching in Higher Education</w:t>
      </w:r>
      <w:r w:rsidR="00E41202" w:rsidRPr="00E33DBB">
        <w:rPr>
          <w:rFonts w:cs="Times New Roman"/>
          <w:sz w:val="24"/>
          <w:szCs w:val="24"/>
        </w:rPr>
        <w:t xml:space="preserve">  10.</w:t>
      </w:r>
      <w:r w:rsidRPr="00E33DBB">
        <w:rPr>
          <w:rFonts w:cs="Times New Roman"/>
          <w:sz w:val="24"/>
          <w:szCs w:val="24"/>
        </w:rPr>
        <w:t xml:space="preserve"> 4,  475 – 487.</w:t>
      </w:r>
    </w:p>
    <w:p w:rsidR="00077314" w:rsidRPr="00E33DBB" w:rsidRDefault="00077314" w:rsidP="00E33DBB">
      <w:pPr>
        <w:spacing w:line="276" w:lineRule="auto"/>
        <w:ind w:hanging="227"/>
        <w:rPr>
          <w:rFonts w:cs="Times New Roman"/>
          <w:sz w:val="24"/>
          <w:szCs w:val="24"/>
        </w:rPr>
      </w:pPr>
      <w:r w:rsidRPr="00E33DBB">
        <w:rPr>
          <w:rFonts w:cs="Times New Roman"/>
          <w:sz w:val="24"/>
          <w:szCs w:val="24"/>
        </w:rPr>
        <w:t xml:space="preserve">Jenkins, J. &amp; U. Wingate (2015). Staff and student perceptions of English language policies and practices in ‘international’ universities: a UK case study. </w:t>
      </w:r>
      <w:r w:rsidRPr="00E33DBB">
        <w:rPr>
          <w:rFonts w:cs="Times New Roman"/>
          <w:i/>
          <w:sz w:val="24"/>
          <w:szCs w:val="24"/>
        </w:rPr>
        <w:t xml:space="preserve">Higher Education Review </w:t>
      </w:r>
      <w:r w:rsidRPr="00E33DBB">
        <w:rPr>
          <w:rFonts w:cs="Times New Roman"/>
          <w:sz w:val="24"/>
          <w:szCs w:val="24"/>
        </w:rPr>
        <w:t>47. 2, 47 – 73.</w:t>
      </w:r>
    </w:p>
    <w:p w:rsidR="00397DA9" w:rsidRPr="00E33DBB" w:rsidRDefault="00397DA9" w:rsidP="00E33DBB">
      <w:pPr>
        <w:spacing w:line="276" w:lineRule="auto"/>
        <w:ind w:hanging="227"/>
        <w:rPr>
          <w:rFonts w:cs="Times New Roman"/>
          <w:sz w:val="24"/>
          <w:szCs w:val="24"/>
        </w:rPr>
      </w:pPr>
      <w:r w:rsidRPr="00E33DBB">
        <w:rPr>
          <w:rFonts w:cs="Times New Roman"/>
          <w:sz w:val="24"/>
          <w:szCs w:val="24"/>
        </w:rPr>
        <w:t>Johns, A. M. (2008)</w:t>
      </w:r>
      <w:r w:rsidR="00213614" w:rsidRPr="00E33DBB">
        <w:rPr>
          <w:rFonts w:cs="Times New Roman"/>
          <w:sz w:val="24"/>
          <w:szCs w:val="24"/>
        </w:rPr>
        <w:t>.</w:t>
      </w:r>
      <w:r w:rsidRPr="00E33DBB">
        <w:rPr>
          <w:rFonts w:cs="Times New Roman"/>
          <w:sz w:val="24"/>
          <w:szCs w:val="24"/>
        </w:rPr>
        <w:t xml:space="preserve"> Genre awareness for the novice academic student: an ongoing quest. </w:t>
      </w:r>
      <w:r w:rsidRPr="00E33DBB">
        <w:rPr>
          <w:rFonts w:cs="Times New Roman"/>
          <w:i/>
          <w:sz w:val="24"/>
          <w:szCs w:val="24"/>
        </w:rPr>
        <w:t xml:space="preserve">Language Teaching </w:t>
      </w:r>
      <w:r w:rsidR="00E41202" w:rsidRPr="00E33DBB">
        <w:rPr>
          <w:rFonts w:cs="Times New Roman"/>
          <w:sz w:val="24"/>
          <w:szCs w:val="24"/>
        </w:rPr>
        <w:t>41.</w:t>
      </w:r>
      <w:r w:rsidRPr="00E33DBB">
        <w:rPr>
          <w:rFonts w:cs="Times New Roman"/>
          <w:sz w:val="24"/>
          <w:szCs w:val="24"/>
        </w:rPr>
        <w:t xml:space="preserve"> 2, 237 – 252.</w:t>
      </w:r>
    </w:p>
    <w:p w:rsidR="00397DA9" w:rsidRPr="00E33DBB" w:rsidRDefault="00397DA9" w:rsidP="00E33DBB">
      <w:pPr>
        <w:spacing w:line="276" w:lineRule="auto"/>
        <w:ind w:hanging="227"/>
        <w:rPr>
          <w:rFonts w:cs="Times New Roman"/>
          <w:sz w:val="24"/>
          <w:szCs w:val="24"/>
        </w:rPr>
      </w:pPr>
      <w:r w:rsidRPr="00E33DBB">
        <w:rPr>
          <w:rFonts w:cs="Times New Roman"/>
          <w:sz w:val="24"/>
          <w:szCs w:val="24"/>
        </w:rPr>
        <w:t>Johns, A. M. (2011)</w:t>
      </w:r>
      <w:r w:rsidR="00213614" w:rsidRPr="00E33DBB">
        <w:rPr>
          <w:rFonts w:cs="Times New Roman"/>
          <w:sz w:val="24"/>
          <w:szCs w:val="24"/>
        </w:rPr>
        <w:t>.</w:t>
      </w:r>
      <w:r w:rsidRPr="00E33DBB">
        <w:rPr>
          <w:rFonts w:cs="Times New Roman"/>
          <w:sz w:val="24"/>
          <w:szCs w:val="24"/>
        </w:rPr>
        <w:t xml:space="preserve"> The future of genre in L2 writing: fundamental, but contested, instructional decisions.  </w:t>
      </w:r>
      <w:r w:rsidRPr="00E33DBB">
        <w:rPr>
          <w:rFonts w:cs="Times New Roman"/>
          <w:i/>
          <w:sz w:val="24"/>
          <w:szCs w:val="24"/>
        </w:rPr>
        <w:t xml:space="preserve">Journal of Second Language Writing </w:t>
      </w:r>
      <w:r w:rsidRPr="00E33DBB">
        <w:rPr>
          <w:rFonts w:cs="Times New Roman"/>
          <w:sz w:val="24"/>
          <w:szCs w:val="24"/>
        </w:rPr>
        <w:t>20, 56 – 68.</w:t>
      </w:r>
    </w:p>
    <w:p w:rsidR="0029683B" w:rsidRPr="00E33DBB" w:rsidRDefault="0043213C" w:rsidP="00E33DBB">
      <w:pPr>
        <w:pStyle w:val="Bibliography2"/>
        <w:spacing w:after="0" w:line="276" w:lineRule="auto"/>
        <w:ind w:left="227" w:hanging="227"/>
        <w:rPr>
          <w:rFonts w:asciiTheme="minorHAnsi" w:hAnsiTheme="minorHAnsi" w:cs="Times New Roman"/>
          <w:sz w:val="24"/>
          <w:szCs w:val="24"/>
        </w:rPr>
      </w:pPr>
      <w:r w:rsidRPr="00E33DBB">
        <w:rPr>
          <w:rFonts w:asciiTheme="minorHAnsi" w:hAnsiTheme="minorHAnsi" w:cs="Times New Roman"/>
          <w:sz w:val="24"/>
          <w:szCs w:val="24"/>
        </w:rPr>
        <w:t xml:space="preserve">Lea, M. &amp; </w:t>
      </w:r>
      <w:r w:rsidR="0023016E" w:rsidRPr="00E33DBB">
        <w:rPr>
          <w:rFonts w:asciiTheme="minorHAnsi" w:hAnsiTheme="minorHAnsi" w:cs="Times New Roman"/>
          <w:sz w:val="24"/>
          <w:szCs w:val="24"/>
        </w:rPr>
        <w:t>B. Street</w:t>
      </w:r>
      <w:r w:rsidR="0029683B" w:rsidRPr="00E33DBB">
        <w:rPr>
          <w:rFonts w:asciiTheme="minorHAnsi" w:hAnsiTheme="minorHAnsi" w:cs="Times New Roman"/>
          <w:sz w:val="24"/>
          <w:szCs w:val="24"/>
        </w:rPr>
        <w:t>. (1998)</w:t>
      </w:r>
      <w:r w:rsidR="00213614" w:rsidRPr="00E33DBB">
        <w:rPr>
          <w:rFonts w:asciiTheme="minorHAnsi" w:hAnsiTheme="minorHAnsi" w:cs="Times New Roman"/>
          <w:sz w:val="24"/>
          <w:szCs w:val="24"/>
        </w:rPr>
        <w:t>.</w:t>
      </w:r>
      <w:r w:rsidR="0029683B" w:rsidRPr="00E33DBB">
        <w:rPr>
          <w:rFonts w:asciiTheme="minorHAnsi" w:hAnsiTheme="minorHAnsi" w:cs="Times New Roman"/>
          <w:sz w:val="24"/>
          <w:szCs w:val="24"/>
        </w:rPr>
        <w:t xml:space="preserve"> Student writing in higher education: an Academic Literacies approach. </w:t>
      </w:r>
      <w:r w:rsidR="0029683B" w:rsidRPr="00E33DBB">
        <w:rPr>
          <w:rFonts w:asciiTheme="minorHAnsi" w:hAnsiTheme="minorHAnsi" w:cs="Times New Roman"/>
          <w:i/>
          <w:sz w:val="24"/>
          <w:szCs w:val="24"/>
        </w:rPr>
        <w:t xml:space="preserve">Studies in Higher Education </w:t>
      </w:r>
      <w:r w:rsidR="0029683B" w:rsidRPr="00E33DBB">
        <w:rPr>
          <w:rFonts w:asciiTheme="minorHAnsi" w:hAnsiTheme="minorHAnsi" w:cs="Times New Roman"/>
          <w:sz w:val="24"/>
          <w:szCs w:val="24"/>
        </w:rPr>
        <w:t>23</w:t>
      </w:r>
      <w:r w:rsidR="00E41202" w:rsidRPr="00E33DBB">
        <w:rPr>
          <w:rFonts w:asciiTheme="minorHAnsi" w:hAnsiTheme="minorHAnsi" w:cs="Times New Roman"/>
          <w:sz w:val="24"/>
          <w:szCs w:val="24"/>
        </w:rPr>
        <w:t>.</w:t>
      </w:r>
      <w:r w:rsidR="0029683B" w:rsidRPr="00E33DBB">
        <w:rPr>
          <w:rFonts w:asciiTheme="minorHAnsi" w:hAnsiTheme="minorHAnsi" w:cs="Times New Roman"/>
          <w:sz w:val="24"/>
          <w:szCs w:val="24"/>
        </w:rPr>
        <w:t xml:space="preserve"> 2, 157 – 172.</w:t>
      </w:r>
    </w:p>
    <w:p w:rsidR="000C6279" w:rsidRPr="00E33DBB" w:rsidRDefault="00E30AE1" w:rsidP="00E33DBB">
      <w:pPr>
        <w:pStyle w:val="Bibliography2"/>
        <w:spacing w:after="0" w:line="276" w:lineRule="auto"/>
        <w:ind w:left="227" w:hanging="227"/>
        <w:rPr>
          <w:rFonts w:asciiTheme="minorHAnsi" w:hAnsiTheme="minorHAnsi" w:cs="Times New Roman"/>
          <w:sz w:val="24"/>
          <w:szCs w:val="24"/>
        </w:rPr>
      </w:pPr>
      <w:r w:rsidRPr="00E33DBB">
        <w:rPr>
          <w:rFonts w:asciiTheme="minorHAnsi" w:hAnsiTheme="minorHAnsi" w:cs="Times New Roman"/>
          <w:sz w:val="24"/>
          <w:szCs w:val="24"/>
        </w:rPr>
        <w:t xml:space="preserve">Lillis, T. </w:t>
      </w:r>
      <w:r w:rsidR="0023016E" w:rsidRPr="00E33DBB">
        <w:rPr>
          <w:rFonts w:asciiTheme="minorHAnsi" w:hAnsiTheme="minorHAnsi" w:cs="Times New Roman"/>
          <w:sz w:val="24"/>
          <w:szCs w:val="24"/>
        </w:rPr>
        <w:t>M</w:t>
      </w:r>
      <w:r w:rsidR="0043213C" w:rsidRPr="00E33DBB">
        <w:rPr>
          <w:rFonts w:asciiTheme="minorHAnsi" w:hAnsiTheme="minorHAnsi" w:cs="Times New Roman"/>
          <w:sz w:val="24"/>
          <w:szCs w:val="24"/>
        </w:rPr>
        <w:t>. &amp;</w:t>
      </w:r>
      <w:r w:rsidR="0023016E" w:rsidRPr="00E33DBB">
        <w:rPr>
          <w:rFonts w:asciiTheme="minorHAnsi" w:hAnsiTheme="minorHAnsi" w:cs="Times New Roman"/>
          <w:sz w:val="24"/>
          <w:szCs w:val="24"/>
        </w:rPr>
        <w:t xml:space="preserve"> M. Scott</w:t>
      </w:r>
      <w:r w:rsidRPr="00E33DBB">
        <w:rPr>
          <w:rFonts w:asciiTheme="minorHAnsi" w:hAnsiTheme="minorHAnsi" w:cs="Times New Roman"/>
          <w:sz w:val="24"/>
          <w:szCs w:val="24"/>
        </w:rPr>
        <w:t xml:space="preserve"> (2007)</w:t>
      </w:r>
      <w:r w:rsidR="00213614" w:rsidRPr="00E33DBB">
        <w:rPr>
          <w:rFonts w:asciiTheme="minorHAnsi" w:hAnsiTheme="minorHAnsi" w:cs="Times New Roman"/>
          <w:sz w:val="24"/>
          <w:szCs w:val="24"/>
        </w:rPr>
        <w:t>.</w:t>
      </w:r>
      <w:r w:rsidRPr="00E33DBB">
        <w:rPr>
          <w:rFonts w:asciiTheme="minorHAnsi" w:hAnsiTheme="minorHAnsi" w:cs="Times New Roman"/>
          <w:sz w:val="24"/>
          <w:szCs w:val="24"/>
        </w:rPr>
        <w:t xml:space="preserve"> Defining Academic Literacies research: issues of epistemology, ideology and strategy.  </w:t>
      </w:r>
      <w:r w:rsidRPr="00E33DBB">
        <w:rPr>
          <w:rFonts w:asciiTheme="minorHAnsi" w:hAnsiTheme="minorHAnsi" w:cs="Times New Roman"/>
          <w:i/>
          <w:sz w:val="24"/>
          <w:szCs w:val="24"/>
        </w:rPr>
        <w:t>Journal of Applied Linguistics</w:t>
      </w:r>
      <w:r w:rsidR="00E41202" w:rsidRPr="00E33DBB">
        <w:rPr>
          <w:rFonts w:asciiTheme="minorHAnsi" w:hAnsiTheme="minorHAnsi" w:cs="Times New Roman"/>
          <w:sz w:val="24"/>
          <w:szCs w:val="24"/>
        </w:rPr>
        <w:t xml:space="preserve"> 4.</w:t>
      </w:r>
      <w:r w:rsidRPr="00E33DBB">
        <w:rPr>
          <w:rFonts w:asciiTheme="minorHAnsi" w:hAnsiTheme="minorHAnsi" w:cs="Times New Roman"/>
          <w:sz w:val="24"/>
          <w:szCs w:val="24"/>
        </w:rPr>
        <w:t xml:space="preserve"> 1, 5 – 32.</w:t>
      </w:r>
    </w:p>
    <w:p w:rsidR="00807440" w:rsidRPr="00E33DBB" w:rsidRDefault="00807440" w:rsidP="00E33DBB">
      <w:pPr>
        <w:pStyle w:val="Bibliography2"/>
        <w:spacing w:after="0" w:line="276" w:lineRule="auto"/>
        <w:ind w:left="227" w:hanging="227"/>
        <w:rPr>
          <w:rFonts w:asciiTheme="minorHAnsi" w:hAnsiTheme="minorHAnsi" w:cs="Times New Roman"/>
          <w:sz w:val="24"/>
          <w:szCs w:val="24"/>
        </w:rPr>
      </w:pPr>
      <w:r w:rsidRPr="00E33DBB">
        <w:rPr>
          <w:rFonts w:asciiTheme="minorHAnsi" w:hAnsiTheme="minorHAnsi" w:cs="Times New Roman"/>
          <w:sz w:val="24"/>
          <w:szCs w:val="24"/>
        </w:rPr>
        <w:t>Lillis</w:t>
      </w:r>
      <w:r w:rsidR="00B90A20" w:rsidRPr="00E33DBB">
        <w:rPr>
          <w:rFonts w:asciiTheme="minorHAnsi" w:hAnsiTheme="minorHAnsi" w:cs="Times New Roman"/>
          <w:sz w:val="24"/>
          <w:szCs w:val="24"/>
        </w:rPr>
        <w:t>, T.M.</w:t>
      </w:r>
      <w:r w:rsidR="0043213C" w:rsidRPr="00E33DBB">
        <w:rPr>
          <w:rFonts w:asciiTheme="minorHAnsi" w:hAnsiTheme="minorHAnsi" w:cs="Times New Roman"/>
          <w:sz w:val="24"/>
          <w:szCs w:val="24"/>
        </w:rPr>
        <w:t xml:space="preserve"> &amp;</w:t>
      </w:r>
      <w:r w:rsidRPr="00E33DBB">
        <w:rPr>
          <w:rFonts w:asciiTheme="minorHAnsi" w:hAnsiTheme="minorHAnsi" w:cs="Times New Roman"/>
          <w:sz w:val="24"/>
          <w:szCs w:val="24"/>
        </w:rPr>
        <w:t xml:space="preserve"> </w:t>
      </w:r>
      <w:r w:rsidR="0023016E" w:rsidRPr="00E33DBB">
        <w:rPr>
          <w:rFonts w:asciiTheme="minorHAnsi" w:hAnsiTheme="minorHAnsi" w:cs="Times New Roman"/>
          <w:sz w:val="24"/>
          <w:szCs w:val="24"/>
        </w:rPr>
        <w:t xml:space="preserve">J. </w:t>
      </w:r>
      <w:r w:rsidRPr="00E33DBB">
        <w:rPr>
          <w:rFonts w:asciiTheme="minorHAnsi" w:hAnsiTheme="minorHAnsi" w:cs="Times New Roman"/>
          <w:sz w:val="24"/>
          <w:szCs w:val="24"/>
        </w:rPr>
        <w:t>Turner</w:t>
      </w:r>
      <w:r w:rsidR="00B90A20" w:rsidRPr="00E33DBB">
        <w:rPr>
          <w:rFonts w:asciiTheme="minorHAnsi" w:hAnsiTheme="minorHAnsi" w:cs="Times New Roman"/>
          <w:sz w:val="24"/>
          <w:szCs w:val="24"/>
        </w:rPr>
        <w:t xml:space="preserve"> (</w:t>
      </w:r>
      <w:r w:rsidRPr="00E33DBB">
        <w:rPr>
          <w:rFonts w:asciiTheme="minorHAnsi" w:hAnsiTheme="minorHAnsi" w:cs="Times New Roman"/>
          <w:sz w:val="24"/>
          <w:szCs w:val="24"/>
        </w:rPr>
        <w:t>2001</w:t>
      </w:r>
      <w:r w:rsidR="00B90A20" w:rsidRPr="00E33DBB">
        <w:rPr>
          <w:rFonts w:asciiTheme="minorHAnsi" w:hAnsiTheme="minorHAnsi" w:cs="Times New Roman"/>
          <w:sz w:val="24"/>
          <w:szCs w:val="24"/>
        </w:rPr>
        <w:t>)</w:t>
      </w:r>
      <w:r w:rsidR="00213614" w:rsidRPr="00E33DBB">
        <w:rPr>
          <w:rFonts w:asciiTheme="minorHAnsi" w:hAnsiTheme="minorHAnsi" w:cs="Times New Roman"/>
          <w:sz w:val="24"/>
          <w:szCs w:val="24"/>
        </w:rPr>
        <w:t>.</w:t>
      </w:r>
      <w:r w:rsidR="00B90A20" w:rsidRPr="00E33DBB">
        <w:rPr>
          <w:rFonts w:asciiTheme="minorHAnsi" w:hAnsiTheme="minorHAnsi" w:cs="Times New Roman"/>
          <w:sz w:val="24"/>
          <w:szCs w:val="24"/>
        </w:rPr>
        <w:t xml:space="preserve"> </w:t>
      </w:r>
      <w:r w:rsidR="002F5D70" w:rsidRPr="00E33DBB">
        <w:rPr>
          <w:rFonts w:asciiTheme="minorHAnsi" w:hAnsiTheme="minorHAnsi" w:cs="Times New Roman"/>
          <w:sz w:val="24"/>
          <w:szCs w:val="24"/>
        </w:rPr>
        <w:t xml:space="preserve">Student writing in higher education: Contemporary confusion, traditional concerns. </w:t>
      </w:r>
      <w:r w:rsidR="002F5D70" w:rsidRPr="00E33DBB">
        <w:rPr>
          <w:rFonts w:asciiTheme="minorHAnsi" w:hAnsiTheme="minorHAnsi" w:cs="Times New Roman"/>
          <w:i/>
          <w:sz w:val="24"/>
          <w:szCs w:val="24"/>
        </w:rPr>
        <w:t xml:space="preserve">Teaching in Higher Education </w:t>
      </w:r>
      <w:r w:rsidR="00E41202" w:rsidRPr="00E33DBB">
        <w:rPr>
          <w:rFonts w:asciiTheme="minorHAnsi" w:hAnsiTheme="minorHAnsi" w:cs="Times New Roman"/>
          <w:sz w:val="24"/>
          <w:szCs w:val="24"/>
        </w:rPr>
        <w:t>6.</w:t>
      </w:r>
      <w:r w:rsidR="002F5D70" w:rsidRPr="00E33DBB">
        <w:rPr>
          <w:rFonts w:asciiTheme="minorHAnsi" w:hAnsiTheme="minorHAnsi" w:cs="Times New Roman"/>
          <w:sz w:val="24"/>
          <w:szCs w:val="24"/>
        </w:rPr>
        <w:t xml:space="preserve"> 1, 57 – 68.</w:t>
      </w:r>
    </w:p>
    <w:p w:rsidR="00E30AE1" w:rsidRPr="00E33DBB" w:rsidRDefault="00E30AE1" w:rsidP="00E33DBB">
      <w:pPr>
        <w:pStyle w:val="Bibliography2"/>
        <w:spacing w:after="0" w:line="276" w:lineRule="auto"/>
        <w:ind w:left="227" w:hanging="227"/>
        <w:rPr>
          <w:rFonts w:asciiTheme="minorHAnsi" w:hAnsiTheme="minorHAnsi" w:cs="Times New Roman"/>
          <w:sz w:val="24"/>
          <w:szCs w:val="24"/>
        </w:rPr>
      </w:pPr>
      <w:r w:rsidRPr="00E33DBB">
        <w:rPr>
          <w:rFonts w:asciiTheme="minorHAnsi" w:hAnsiTheme="minorHAnsi" w:cs="Times New Roman"/>
          <w:sz w:val="24"/>
          <w:szCs w:val="24"/>
        </w:rPr>
        <w:t>Lillis, T.</w:t>
      </w:r>
      <w:r w:rsidR="002F5D70" w:rsidRPr="00E33DBB">
        <w:rPr>
          <w:rFonts w:asciiTheme="minorHAnsi" w:hAnsiTheme="minorHAnsi" w:cs="Times New Roman"/>
          <w:sz w:val="24"/>
          <w:szCs w:val="24"/>
        </w:rPr>
        <w:t>M.</w:t>
      </w:r>
      <w:r w:rsidRPr="00E33DBB">
        <w:rPr>
          <w:rFonts w:asciiTheme="minorHAnsi" w:hAnsiTheme="minorHAnsi" w:cs="Times New Roman"/>
          <w:sz w:val="24"/>
          <w:szCs w:val="24"/>
        </w:rPr>
        <w:t xml:space="preserve">, </w:t>
      </w:r>
      <w:r w:rsidR="0023016E" w:rsidRPr="00E33DBB">
        <w:rPr>
          <w:rFonts w:asciiTheme="minorHAnsi" w:hAnsiTheme="minorHAnsi" w:cs="Times New Roman"/>
          <w:sz w:val="24"/>
          <w:szCs w:val="24"/>
        </w:rPr>
        <w:t>K. Harrington, M. Lea &amp; S. Mitchell</w:t>
      </w:r>
      <w:r w:rsidR="002F5D70" w:rsidRPr="00E33DBB">
        <w:rPr>
          <w:rFonts w:asciiTheme="minorHAnsi" w:hAnsiTheme="minorHAnsi" w:cs="Times New Roman"/>
          <w:sz w:val="24"/>
          <w:szCs w:val="24"/>
        </w:rPr>
        <w:t xml:space="preserve"> </w:t>
      </w:r>
      <w:r w:rsidR="00213614" w:rsidRPr="00E33DBB">
        <w:rPr>
          <w:rFonts w:asciiTheme="minorHAnsi" w:hAnsiTheme="minorHAnsi" w:cs="Times New Roman"/>
          <w:sz w:val="24"/>
          <w:szCs w:val="24"/>
        </w:rPr>
        <w:t>(eds.)</w:t>
      </w:r>
      <w:r w:rsidR="002F5D70" w:rsidRPr="00E33DBB">
        <w:rPr>
          <w:rFonts w:asciiTheme="minorHAnsi" w:hAnsiTheme="minorHAnsi" w:cs="Times New Roman"/>
          <w:sz w:val="24"/>
          <w:szCs w:val="24"/>
        </w:rPr>
        <w:t xml:space="preserve"> </w:t>
      </w:r>
      <w:r w:rsidRPr="00E33DBB">
        <w:rPr>
          <w:rFonts w:asciiTheme="minorHAnsi" w:hAnsiTheme="minorHAnsi" w:cs="Times New Roman"/>
          <w:sz w:val="24"/>
          <w:szCs w:val="24"/>
        </w:rPr>
        <w:t>(2015)</w:t>
      </w:r>
      <w:r w:rsidR="00213614" w:rsidRPr="00E33DBB">
        <w:rPr>
          <w:rFonts w:asciiTheme="minorHAnsi" w:hAnsiTheme="minorHAnsi" w:cs="Times New Roman"/>
          <w:sz w:val="24"/>
          <w:szCs w:val="24"/>
        </w:rPr>
        <w:t>.</w:t>
      </w:r>
      <w:r w:rsidR="002F5D70" w:rsidRPr="00E33DBB">
        <w:rPr>
          <w:rFonts w:asciiTheme="minorHAnsi" w:hAnsiTheme="minorHAnsi" w:cs="Times New Roman"/>
          <w:sz w:val="24"/>
          <w:szCs w:val="24"/>
        </w:rPr>
        <w:t xml:space="preserve"> </w:t>
      </w:r>
      <w:r w:rsidR="002F5D70" w:rsidRPr="00E33DBB">
        <w:rPr>
          <w:rFonts w:asciiTheme="minorHAnsi" w:hAnsiTheme="minorHAnsi" w:cs="Times New Roman"/>
          <w:i/>
          <w:sz w:val="24"/>
          <w:szCs w:val="24"/>
        </w:rPr>
        <w:t xml:space="preserve">Working with </w:t>
      </w:r>
      <w:r w:rsidR="00D031EE" w:rsidRPr="00E33DBB">
        <w:rPr>
          <w:rFonts w:asciiTheme="minorHAnsi" w:hAnsiTheme="minorHAnsi" w:cs="Times New Roman"/>
          <w:i/>
          <w:sz w:val="24"/>
          <w:szCs w:val="24"/>
        </w:rPr>
        <w:t>academic literacies</w:t>
      </w:r>
      <w:r w:rsidR="002F5D70" w:rsidRPr="00E33DBB">
        <w:rPr>
          <w:rFonts w:asciiTheme="minorHAnsi" w:hAnsiTheme="minorHAnsi" w:cs="Times New Roman"/>
          <w:i/>
          <w:sz w:val="24"/>
          <w:szCs w:val="24"/>
        </w:rPr>
        <w:t xml:space="preserve">. Case </w:t>
      </w:r>
      <w:r w:rsidR="00D031EE" w:rsidRPr="00E33DBB">
        <w:rPr>
          <w:rFonts w:asciiTheme="minorHAnsi" w:hAnsiTheme="minorHAnsi" w:cs="Times New Roman"/>
          <w:i/>
          <w:sz w:val="24"/>
          <w:szCs w:val="24"/>
        </w:rPr>
        <w:t>studies towards transformative practice</w:t>
      </w:r>
      <w:r w:rsidR="002F5D70" w:rsidRPr="00E33DBB">
        <w:rPr>
          <w:rFonts w:asciiTheme="minorHAnsi" w:hAnsiTheme="minorHAnsi" w:cs="Times New Roman"/>
          <w:i/>
          <w:sz w:val="24"/>
          <w:szCs w:val="24"/>
        </w:rPr>
        <w:t>.</w:t>
      </w:r>
      <w:r w:rsidR="002F5D70" w:rsidRPr="00E33DBB">
        <w:rPr>
          <w:rFonts w:asciiTheme="minorHAnsi" w:hAnsiTheme="minorHAnsi" w:cs="Times New Roman"/>
          <w:sz w:val="24"/>
          <w:szCs w:val="24"/>
        </w:rPr>
        <w:t xml:space="preserve"> Colorado: The WAC Clearinghouse.</w:t>
      </w:r>
    </w:p>
    <w:p w:rsidR="009653D9" w:rsidRPr="00E33DBB" w:rsidRDefault="0023016E" w:rsidP="00E33DBB">
      <w:pPr>
        <w:spacing w:line="276" w:lineRule="auto"/>
        <w:ind w:hanging="227"/>
        <w:rPr>
          <w:rFonts w:cs="Times New Roman"/>
          <w:sz w:val="24"/>
          <w:szCs w:val="24"/>
        </w:rPr>
      </w:pPr>
      <w:r w:rsidRPr="00E33DBB">
        <w:rPr>
          <w:rFonts w:cs="Times New Roman"/>
          <w:sz w:val="24"/>
          <w:szCs w:val="24"/>
        </w:rPr>
        <w:t>Martin, J.R. &amp; D. Rose</w:t>
      </w:r>
      <w:r w:rsidR="009653D9" w:rsidRPr="00E33DBB">
        <w:rPr>
          <w:rFonts w:cs="Times New Roman"/>
          <w:sz w:val="24"/>
          <w:szCs w:val="24"/>
        </w:rPr>
        <w:t xml:space="preserve"> (2008). </w:t>
      </w:r>
      <w:r w:rsidR="009653D9" w:rsidRPr="00E33DBB">
        <w:rPr>
          <w:rFonts w:cs="Times New Roman"/>
          <w:i/>
          <w:sz w:val="24"/>
          <w:szCs w:val="24"/>
        </w:rPr>
        <w:t xml:space="preserve">Genre </w:t>
      </w:r>
      <w:r w:rsidR="00D031EE" w:rsidRPr="00E33DBB">
        <w:rPr>
          <w:rFonts w:cs="Times New Roman"/>
          <w:i/>
          <w:sz w:val="24"/>
          <w:szCs w:val="24"/>
        </w:rPr>
        <w:t>relations: Mapping c</w:t>
      </w:r>
      <w:r w:rsidR="009653D9" w:rsidRPr="00E33DBB">
        <w:rPr>
          <w:rFonts w:cs="Times New Roman"/>
          <w:i/>
          <w:sz w:val="24"/>
          <w:szCs w:val="24"/>
        </w:rPr>
        <w:t xml:space="preserve">ulture. </w:t>
      </w:r>
      <w:r w:rsidR="009653D9" w:rsidRPr="00E33DBB">
        <w:rPr>
          <w:rFonts w:cs="Times New Roman"/>
          <w:sz w:val="24"/>
          <w:szCs w:val="24"/>
        </w:rPr>
        <w:t>London, Oakville: Equinox.</w:t>
      </w:r>
    </w:p>
    <w:p w:rsidR="00AB4F06" w:rsidRPr="00E33DBB" w:rsidRDefault="00AB4F06" w:rsidP="00E33DBB">
      <w:pPr>
        <w:spacing w:line="276" w:lineRule="auto"/>
        <w:ind w:hanging="227"/>
        <w:rPr>
          <w:rFonts w:cs="Times New Roman"/>
          <w:sz w:val="24"/>
          <w:szCs w:val="24"/>
        </w:rPr>
      </w:pPr>
      <w:r w:rsidRPr="00E33DBB">
        <w:rPr>
          <w:rFonts w:cs="Times New Roman"/>
          <w:sz w:val="24"/>
          <w:szCs w:val="24"/>
        </w:rPr>
        <w:t>McCulloch, S. (2013)</w:t>
      </w:r>
      <w:r w:rsidR="00213614" w:rsidRPr="00E33DBB">
        <w:rPr>
          <w:rFonts w:cs="Times New Roman"/>
          <w:sz w:val="24"/>
          <w:szCs w:val="24"/>
        </w:rPr>
        <w:t>.</w:t>
      </w:r>
      <w:r w:rsidRPr="00E33DBB">
        <w:rPr>
          <w:rFonts w:cs="Times New Roman"/>
          <w:sz w:val="24"/>
          <w:szCs w:val="24"/>
        </w:rPr>
        <w:t xml:space="preserve"> Investigating the reading-to-write processes and source use of L2 postgraduate students in real-life academic tasks: An exploratory study.</w:t>
      </w:r>
      <w:r w:rsidRPr="00E33DBB">
        <w:rPr>
          <w:rFonts w:cs="Times New Roman"/>
          <w:i/>
          <w:sz w:val="24"/>
          <w:szCs w:val="24"/>
        </w:rPr>
        <w:t xml:space="preserve"> Journal of English for Academic Purposes</w:t>
      </w:r>
      <w:r w:rsidRPr="00E33DBB">
        <w:rPr>
          <w:rFonts w:cs="Times New Roman"/>
          <w:sz w:val="24"/>
          <w:szCs w:val="24"/>
        </w:rPr>
        <w:t xml:space="preserve"> 12, 136 – 147.</w:t>
      </w:r>
    </w:p>
    <w:p w:rsidR="00FB7C06" w:rsidRPr="00E33DBB" w:rsidRDefault="0043213C" w:rsidP="00E33DBB">
      <w:pPr>
        <w:spacing w:line="276" w:lineRule="auto"/>
        <w:ind w:hanging="227"/>
        <w:jc w:val="both"/>
        <w:rPr>
          <w:rFonts w:cs="Times New Roman"/>
          <w:sz w:val="24"/>
          <w:szCs w:val="24"/>
        </w:rPr>
      </w:pPr>
      <w:r w:rsidRPr="00E33DBB">
        <w:rPr>
          <w:rFonts w:cs="Times New Roman"/>
          <w:sz w:val="24"/>
          <w:szCs w:val="24"/>
        </w:rPr>
        <w:t xml:space="preserve">Morley, J. </w:t>
      </w:r>
      <w:r w:rsidR="009653D9" w:rsidRPr="00E33DBB">
        <w:rPr>
          <w:rFonts w:cs="Times New Roman"/>
          <w:sz w:val="24"/>
          <w:szCs w:val="24"/>
        </w:rPr>
        <w:t>(2008)</w:t>
      </w:r>
      <w:r w:rsidR="00213614" w:rsidRPr="00E33DBB">
        <w:rPr>
          <w:rFonts w:cs="Times New Roman"/>
          <w:sz w:val="24"/>
          <w:szCs w:val="24"/>
        </w:rPr>
        <w:t>.</w:t>
      </w:r>
      <w:r w:rsidR="009653D9" w:rsidRPr="00E33DBB">
        <w:rPr>
          <w:rFonts w:cs="Times New Roman"/>
          <w:sz w:val="24"/>
          <w:szCs w:val="24"/>
        </w:rPr>
        <w:t xml:space="preserve"> Writing support in British higher education: An institutional case study. In P. Friedrich </w:t>
      </w:r>
      <w:r w:rsidR="00213614" w:rsidRPr="00E33DBB">
        <w:rPr>
          <w:rFonts w:cs="Times New Roman"/>
          <w:sz w:val="24"/>
          <w:szCs w:val="24"/>
        </w:rPr>
        <w:t>(ed.)</w:t>
      </w:r>
      <w:r w:rsidR="00FC1EC5" w:rsidRPr="00E33DBB">
        <w:rPr>
          <w:rFonts w:cs="Times New Roman"/>
          <w:sz w:val="24"/>
          <w:szCs w:val="24"/>
        </w:rPr>
        <w:t>,</w:t>
      </w:r>
      <w:r w:rsidR="009653D9" w:rsidRPr="00E33DBB">
        <w:rPr>
          <w:rFonts w:cs="Times New Roman"/>
          <w:sz w:val="24"/>
          <w:szCs w:val="24"/>
        </w:rPr>
        <w:t xml:space="preserve"> </w:t>
      </w:r>
      <w:r w:rsidR="00091864" w:rsidRPr="00E33DBB">
        <w:rPr>
          <w:rFonts w:cs="Times New Roman"/>
          <w:i/>
          <w:iCs/>
          <w:sz w:val="24"/>
          <w:szCs w:val="24"/>
        </w:rPr>
        <w:t xml:space="preserve">Teaching </w:t>
      </w:r>
      <w:r w:rsidR="00D031EE" w:rsidRPr="00E33DBB">
        <w:rPr>
          <w:rFonts w:cs="Times New Roman"/>
          <w:i/>
          <w:iCs/>
          <w:sz w:val="24"/>
          <w:szCs w:val="24"/>
        </w:rPr>
        <w:t>academic writing</w:t>
      </w:r>
      <w:r w:rsidR="00091864" w:rsidRPr="00E33DBB">
        <w:rPr>
          <w:rFonts w:cs="Times New Roman"/>
          <w:sz w:val="24"/>
          <w:szCs w:val="24"/>
        </w:rPr>
        <w:t>. London: Continuum, 125 – 146.</w:t>
      </w:r>
    </w:p>
    <w:p w:rsidR="001F42E4" w:rsidRPr="00E33DBB" w:rsidRDefault="001F42E4" w:rsidP="00E33DBB">
      <w:pPr>
        <w:spacing w:line="276" w:lineRule="auto"/>
        <w:ind w:left="227" w:hanging="227"/>
        <w:rPr>
          <w:rFonts w:cs="Times New Roman"/>
          <w:bCs/>
          <w:sz w:val="24"/>
          <w:szCs w:val="24"/>
        </w:rPr>
      </w:pPr>
      <w:r w:rsidRPr="00E33DBB">
        <w:rPr>
          <w:rFonts w:cs="Times New Roman"/>
          <w:bCs/>
          <w:sz w:val="24"/>
          <w:szCs w:val="24"/>
        </w:rPr>
        <w:t xml:space="preserve">Nesi, H. &amp; S. Gardner (2012). </w:t>
      </w:r>
      <w:r w:rsidRPr="00E33DBB">
        <w:rPr>
          <w:rFonts w:cs="Times New Roman"/>
          <w:bCs/>
          <w:i/>
          <w:sz w:val="24"/>
          <w:szCs w:val="24"/>
        </w:rPr>
        <w:t xml:space="preserve">Genres across Disciplines. Student Writing in Higher Education. </w:t>
      </w:r>
      <w:r w:rsidRPr="00E33DBB">
        <w:rPr>
          <w:rFonts w:cs="Times New Roman"/>
          <w:bCs/>
          <w:sz w:val="24"/>
          <w:szCs w:val="24"/>
        </w:rPr>
        <w:t>Cambridge: Cambridge University Press.</w:t>
      </w:r>
    </w:p>
    <w:p w:rsidR="00FB7C06" w:rsidRPr="00E33DBB" w:rsidRDefault="00FB7C06" w:rsidP="00E33DBB">
      <w:pPr>
        <w:spacing w:line="276" w:lineRule="auto"/>
        <w:ind w:hanging="227"/>
        <w:jc w:val="both"/>
        <w:rPr>
          <w:rFonts w:cs="Times New Roman"/>
          <w:sz w:val="24"/>
          <w:szCs w:val="24"/>
        </w:rPr>
      </w:pPr>
      <w:r w:rsidRPr="00E33DBB">
        <w:rPr>
          <w:rFonts w:cs="Times New Roman"/>
          <w:sz w:val="24"/>
          <w:szCs w:val="24"/>
        </w:rPr>
        <w:t>Nuffield Review (2006)</w:t>
      </w:r>
      <w:r w:rsidR="00213614" w:rsidRPr="00E33DBB">
        <w:rPr>
          <w:rFonts w:cs="Times New Roman"/>
          <w:sz w:val="24"/>
          <w:szCs w:val="24"/>
        </w:rPr>
        <w:t>.</w:t>
      </w:r>
      <w:r w:rsidRPr="00E33DBB">
        <w:rPr>
          <w:rFonts w:cs="Times New Roman"/>
          <w:sz w:val="24"/>
          <w:szCs w:val="24"/>
        </w:rPr>
        <w:t xml:space="preserve"> Higher education focus groups preliminary report. </w:t>
      </w:r>
      <w:r w:rsidRPr="00E33DBB">
        <w:rPr>
          <w:rFonts w:cs="Times New Roman"/>
          <w:i/>
          <w:sz w:val="24"/>
          <w:szCs w:val="24"/>
        </w:rPr>
        <w:t xml:space="preserve">The Nuffield Review of 14 – 19. </w:t>
      </w:r>
      <w:r w:rsidRPr="00E33DBB">
        <w:rPr>
          <w:rFonts w:cs="Times New Roman"/>
          <w:sz w:val="24"/>
          <w:szCs w:val="24"/>
        </w:rPr>
        <w:t>Oxford: University of Oxford.</w:t>
      </w:r>
      <w:r w:rsidRPr="00E33DBB">
        <w:rPr>
          <w:rFonts w:cs="Times New Roman"/>
          <w:i/>
          <w:sz w:val="24"/>
          <w:szCs w:val="24"/>
        </w:rPr>
        <w:t xml:space="preserve"> </w:t>
      </w:r>
    </w:p>
    <w:p w:rsidR="009653D9" w:rsidRPr="00E33DBB" w:rsidRDefault="009653D9" w:rsidP="00E33DBB">
      <w:pPr>
        <w:spacing w:line="276" w:lineRule="auto"/>
        <w:ind w:hanging="227"/>
        <w:rPr>
          <w:rFonts w:cs="Times New Roman"/>
          <w:sz w:val="24"/>
          <w:szCs w:val="24"/>
        </w:rPr>
      </w:pPr>
      <w:r w:rsidRPr="00E33DBB">
        <w:rPr>
          <w:rFonts w:cs="Times New Roman"/>
          <w:sz w:val="24"/>
          <w:szCs w:val="24"/>
        </w:rPr>
        <w:t>Owen, M. (2002)</w:t>
      </w:r>
      <w:r w:rsidR="00213614" w:rsidRPr="00E33DBB">
        <w:rPr>
          <w:rFonts w:cs="Times New Roman"/>
          <w:sz w:val="24"/>
          <w:szCs w:val="24"/>
        </w:rPr>
        <w:t>.</w:t>
      </w:r>
      <w:r w:rsidRPr="00E33DBB">
        <w:rPr>
          <w:rFonts w:cs="Times New Roman"/>
          <w:sz w:val="24"/>
          <w:szCs w:val="24"/>
        </w:rPr>
        <w:t xml:space="preserve"> ‘Sometimes you feel you’re in niche time!’ The personal tutor system, a case study. </w:t>
      </w:r>
      <w:r w:rsidRPr="00E33DBB">
        <w:rPr>
          <w:rFonts w:cs="Times New Roman"/>
          <w:i/>
          <w:sz w:val="24"/>
          <w:szCs w:val="24"/>
        </w:rPr>
        <w:t>Active Learning in Higher Education</w:t>
      </w:r>
      <w:r w:rsidR="00E41202" w:rsidRPr="00E33DBB">
        <w:rPr>
          <w:rFonts w:cs="Times New Roman"/>
          <w:sz w:val="24"/>
          <w:szCs w:val="24"/>
        </w:rPr>
        <w:t xml:space="preserve"> 3.</w:t>
      </w:r>
      <w:r w:rsidRPr="00E33DBB">
        <w:rPr>
          <w:rFonts w:cs="Times New Roman"/>
          <w:sz w:val="24"/>
          <w:szCs w:val="24"/>
        </w:rPr>
        <w:t xml:space="preserve"> 1, 7 – 23.</w:t>
      </w:r>
    </w:p>
    <w:p w:rsidR="0094019E" w:rsidRPr="00E33DBB" w:rsidRDefault="0094019E" w:rsidP="00E33DBB">
      <w:pPr>
        <w:spacing w:line="276" w:lineRule="auto"/>
        <w:ind w:hanging="227"/>
        <w:rPr>
          <w:rFonts w:cs="Times New Roman"/>
          <w:noProof/>
          <w:sz w:val="24"/>
          <w:szCs w:val="24"/>
        </w:rPr>
      </w:pPr>
      <w:r w:rsidRPr="00E33DBB">
        <w:rPr>
          <w:rFonts w:cs="Times New Roman"/>
          <w:noProof/>
          <w:sz w:val="24"/>
          <w:szCs w:val="24"/>
        </w:rPr>
        <w:t>Paxton, M. (2011)</w:t>
      </w:r>
      <w:r w:rsidR="00213614" w:rsidRPr="00E33DBB">
        <w:rPr>
          <w:rFonts w:cs="Times New Roman"/>
          <w:noProof/>
          <w:sz w:val="24"/>
          <w:szCs w:val="24"/>
        </w:rPr>
        <w:t>.</w:t>
      </w:r>
      <w:r w:rsidRPr="00E33DBB">
        <w:rPr>
          <w:rFonts w:cs="Times New Roman"/>
          <w:noProof/>
          <w:sz w:val="24"/>
          <w:szCs w:val="24"/>
        </w:rPr>
        <w:t xml:space="preserve"> How do we play the genre game in preparing students at the advanced undergraduate level for research writing? </w:t>
      </w:r>
      <w:r w:rsidRPr="00E33DBB">
        <w:rPr>
          <w:rFonts w:cs="Times New Roman"/>
          <w:i/>
          <w:noProof/>
          <w:sz w:val="24"/>
          <w:szCs w:val="24"/>
        </w:rPr>
        <w:t>Teaching in Higher Education</w:t>
      </w:r>
      <w:r w:rsidR="00E41202" w:rsidRPr="00E33DBB">
        <w:rPr>
          <w:rFonts w:cs="Times New Roman"/>
          <w:noProof/>
          <w:sz w:val="24"/>
          <w:szCs w:val="24"/>
        </w:rPr>
        <w:t xml:space="preserve"> 16.</w:t>
      </w:r>
      <w:r w:rsidRPr="00E33DBB">
        <w:rPr>
          <w:rFonts w:cs="Times New Roman"/>
          <w:noProof/>
          <w:sz w:val="24"/>
          <w:szCs w:val="24"/>
        </w:rPr>
        <w:t xml:space="preserve"> 1, 53 – 64.</w:t>
      </w:r>
    </w:p>
    <w:p w:rsidR="009653D9" w:rsidRPr="00E33DBB" w:rsidRDefault="009653D9" w:rsidP="00E33DBB">
      <w:pPr>
        <w:spacing w:line="276" w:lineRule="auto"/>
        <w:ind w:hanging="227"/>
        <w:rPr>
          <w:rFonts w:cs="Times New Roman"/>
          <w:sz w:val="24"/>
          <w:szCs w:val="24"/>
        </w:rPr>
      </w:pPr>
      <w:r w:rsidRPr="00E33DBB">
        <w:rPr>
          <w:rFonts w:cs="Times New Roman"/>
          <w:sz w:val="24"/>
          <w:szCs w:val="24"/>
        </w:rPr>
        <w:t>Purser, E. (2011)</w:t>
      </w:r>
      <w:r w:rsidR="00213614" w:rsidRPr="00E33DBB">
        <w:rPr>
          <w:rFonts w:cs="Times New Roman"/>
          <w:sz w:val="24"/>
          <w:szCs w:val="24"/>
        </w:rPr>
        <w:t>.</w:t>
      </w:r>
      <w:r w:rsidRPr="00E33DBB">
        <w:rPr>
          <w:rFonts w:cs="Times New Roman"/>
          <w:sz w:val="24"/>
          <w:szCs w:val="24"/>
        </w:rPr>
        <w:t xml:space="preserve"> Developing academic literacy in context: tren</w:t>
      </w:r>
      <w:r w:rsidR="00091864" w:rsidRPr="00E33DBB">
        <w:rPr>
          <w:rFonts w:cs="Times New Roman"/>
          <w:sz w:val="24"/>
          <w:szCs w:val="24"/>
        </w:rPr>
        <w:t>ds in Australia. In M. Deane &amp;</w:t>
      </w:r>
      <w:r w:rsidRPr="00E33DBB">
        <w:rPr>
          <w:rFonts w:cs="Times New Roman"/>
          <w:sz w:val="24"/>
          <w:szCs w:val="24"/>
        </w:rPr>
        <w:t xml:space="preserve"> P. O'Neill </w:t>
      </w:r>
      <w:r w:rsidR="00213614" w:rsidRPr="00E33DBB">
        <w:rPr>
          <w:rFonts w:cs="Times New Roman"/>
          <w:sz w:val="24"/>
          <w:szCs w:val="24"/>
        </w:rPr>
        <w:t>(eds.)</w:t>
      </w:r>
      <w:r w:rsidR="0086431D" w:rsidRPr="00E33DBB">
        <w:rPr>
          <w:rFonts w:cs="Times New Roman"/>
          <w:sz w:val="24"/>
          <w:szCs w:val="24"/>
        </w:rPr>
        <w:t>,</w:t>
      </w:r>
      <w:r w:rsidRPr="00E33DBB">
        <w:rPr>
          <w:rFonts w:cs="Times New Roman"/>
          <w:sz w:val="24"/>
          <w:szCs w:val="24"/>
        </w:rPr>
        <w:t xml:space="preserve"> </w:t>
      </w:r>
      <w:r w:rsidR="00D031EE" w:rsidRPr="00E33DBB">
        <w:rPr>
          <w:rFonts w:cs="Times New Roman"/>
          <w:i/>
          <w:sz w:val="24"/>
          <w:szCs w:val="24"/>
        </w:rPr>
        <w:t>Writing in the d</w:t>
      </w:r>
      <w:r w:rsidRPr="00E33DBB">
        <w:rPr>
          <w:rFonts w:cs="Times New Roman"/>
          <w:i/>
          <w:sz w:val="24"/>
          <w:szCs w:val="24"/>
        </w:rPr>
        <w:t>isciplines</w:t>
      </w:r>
      <w:r w:rsidRPr="00E33DBB">
        <w:rPr>
          <w:rFonts w:cs="Times New Roman"/>
          <w:sz w:val="24"/>
          <w:szCs w:val="24"/>
        </w:rPr>
        <w:t>. London: Palgrave Macmillan</w:t>
      </w:r>
      <w:r w:rsidR="00091864" w:rsidRPr="00E33DBB">
        <w:rPr>
          <w:rFonts w:cs="Times New Roman"/>
          <w:sz w:val="24"/>
          <w:szCs w:val="24"/>
        </w:rPr>
        <w:t>, 30 - 43</w:t>
      </w:r>
      <w:r w:rsidRPr="00E33DBB">
        <w:rPr>
          <w:rFonts w:cs="Times New Roman"/>
          <w:sz w:val="24"/>
          <w:szCs w:val="24"/>
        </w:rPr>
        <w:t>.</w:t>
      </w:r>
    </w:p>
    <w:p w:rsidR="004545C8" w:rsidRPr="00E33DBB" w:rsidRDefault="004545C8" w:rsidP="00E33DBB">
      <w:pPr>
        <w:spacing w:line="276" w:lineRule="auto"/>
        <w:ind w:hanging="227"/>
        <w:rPr>
          <w:rFonts w:cs="Times New Roman"/>
          <w:sz w:val="24"/>
          <w:szCs w:val="24"/>
        </w:rPr>
      </w:pPr>
      <w:r w:rsidRPr="00E33DBB">
        <w:rPr>
          <w:rFonts w:cs="Times New Roman"/>
          <w:sz w:val="24"/>
          <w:szCs w:val="24"/>
        </w:rPr>
        <w:t xml:space="preserve">Purser, </w:t>
      </w:r>
      <w:r w:rsidR="0023016E" w:rsidRPr="00E33DBB">
        <w:rPr>
          <w:rFonts w:cs="Times New Roman"/>
          <w:sz w:val="24"/>
          <w:szCs w:val="24"/>
        </w:rPr>
        <w:t>E., J. Skillen, M. Deane, J. Donohue &amp; K. Peake</w:t>
      </w:r>
      <w:r w:rsidR="00564AE9" w:rsidRPr="00E33DBB">
        <w:rPr>
          <w:rFonts w:cs="Times New Roman"/>
          <w:sz w:val="24"/>
          <w:szCs w:val="24"/>
        </w:rPr>
        <w:t xml:space="preserve"> (2008)</w:t>
      </w:r>
      <w:r w:rsidR="00213614" w:rsidRPr="00E33DBB">
        <w:rPr>
          <w:rFonts w:cs="Times New Roman"/>
          <w:sz w:val="24"/>
          <w:szCs w:val="24"/>
        </w:rPr>
        <w:t>.</w:t>
      </w:r>
      <w:r w:rsidR="00564AE9" w:rsidRPr="00E33DBB">
        <w:rPr>
          <w:rFonts w:cs="Times New Roman"/>
          <w:sz w:val="24"/>
          <w:szCs w:val="24"/>
        </w:rPr>
        <w:t xml:space="preserve"> Developing academic literacy in context. </w:t>
      </w:r>
      <w:r w:rsidR="00564AE9" w:rsidRPr="00E33DBB">
        <w:rPr>
          <w:rFonts w:cs="Times New Roman"/>
          <w:i/>
          <w:sz w:val="24"/>
          <w:szCs w:val="24"/>
        </w:rPr>
        <w:t>Zeitschrift Schreiben</w:t>
      </w:r>
      <w:r w:rsidR="00091864" w:rsidRPr="00E33DBB">
        <w:rPr>
          <w:rFonts w:cs="Times New Roman"/>
          <w:sz w:val="24"/>
          <w:szCs w:val="24"/>
        </w:rPr>
        <w:t xml:space="preserve">. </w:t>
      </w:r>
      <w:hyperlink r:id="rId9" w:history="1">
        <w:r w:rsidR="00564AE9" w:rsidRPr="00E33DBB">
          <w:rPr>
            <w:rStyle w:val="Hyperlink"/>
            <w:rFonts w:cs="Times New Roman"/>
            <w:sz w:val="24"/>
            <w:szCs w:val="24"/>
          </w:rPr>
          <w:t>www.zeitschrift-schreiben.eu/cgi-bin/joolma/index.php?option+com_wrapper&amp;Itemid+26</w:t>
        </w:r>
      </w:hyperlink>
      <w:r w:rsidR="00564AE9" w:rsidRPr="00E33DBB">
        <w:rPr>
          <w:rFonts w:cs="Times New Roman"/>
          <w:sz w:val="24"/>
          <w:szCs w:val="24"/>
        </w:rPr>
        <w:t xml:space="preserve"> (last accessed 10 January 2016).</w:t>
      </w:r>
    </w:p>
    <w:p w:rsidR="00807440" w:rsidRPr="00E33DBB" w:rsidRDefault="00807440" w:rsidP="00E33DBB">
      <w:pPr>
        <w:spacing w:line="276" w:lineRule="auto"/>
        <w:ind w:hanging="227"/>
        <w:rPr>
          <w:rFonts w:cs="Times New Roman"/>
          <w:sz w:val="24"/>
          <w:szCs w:val="24"/>
        </w:rPr>
      </w:pPr>
      <w:r w:rsidRPr="00E33DBB">
        <w:rPr>
          <w:rFonts w:cs="Times New Roman"/>
          <w:sz w:val="24"/>
          <w:szCs w:val="24"/>
        </w:rPr>
        <w:t>Ravelli</w:t>
      </w:r>
      <w:r w:rsidR="00214D44" w:rsidRPr="00E33DBB">
        <w:rPr>
          <w:rFonts w:cs="Times New Roman"/>
          <w:sz w:val="24"/>
          <w:szCs w:val="24"/>
        </w:rPr>
        <w:t>, L.J. (2004)</w:t>
      </w:r>
      <w:r w:rsidR="00213614" w:rsidRPr="00E33DBB">
        <w:rPr>
          <w:rFonts w:cs="Times New Roman"/>
          <w:sz w:val="24"/>
          <w:szCs w:val="24"/>
        </w:rPr>
        <w:t>.</w:t>
      </w:r>
      <w:r w:rsidR="00214D44" w:rsidRPr="00E33DBB">
        <w:rPr>
          <w:rFonts w:cs="Times New Roman"/>
          <w:sz w:val="24"/>
          <w:szCs w:val="24"/>
        </w:rPr>
        <w:t xml:space="preserve"> Signalling the organisation of written texts: Hyper-Themes in management and his</w:t>
      </w:r>
      <w:r w:rsidR="00091864" w:rsidRPr="00E33DBB">
        <w:rPr>
          <w:rFonts w:cs="Times New Roman"/>
          <w:sz w:val="24"/>
          <w:szCs w:val="24"/>
        </w:rPr>
        <w:t>tory essays. In L.J. Ravelli &amp;</w:t>
      </w:r>
      <w:r w:rsidR="00214D44" w:rsidRPr="00E33DBB">
        <w:rPr>
          <w:rFonts w:cs="Times New Roman"/>
          <w:sz w:val="24"/>
          <w:szCs w:val="24"/>
        </w:rPr>
        <w:t xml:space="preserve"> R. Ellis </w:t>
      </w:r>
      <w:r w:rsidR="00213614" w:rsidRPr="00E33DBB">
        <w:rPr>
          <w:rFonts w:cs="Times New Roman"/>
          <w:sz w:val="24"/>
          <w:szCs w:val="24"/>
        </w:rPr>
        <w:t>(eds.)</w:t>
      </w:r>
      <w:r w:rsidR="0086431D" w:rsidRPr="00E33DBB">
        <w:rPr>
          <w:rFonts w:cs="Times New Roman"/>
          <w:sz w:val="24"/>
          <w:szCs w:val="24"/>
        </w:rPr>
        <w:t>,</w:t>
      </w:r>
      <w:r w:rsidR="00214D44" w:rsidRPr="00E33DBB">
        <w:rPr>
          <w:rFonts w:cs="Times New Roman"/>
          <w:sz w:val="24"/>
          <w:szCs w:val="24"/>
        </w:rPr>
        <w:t xml:space="preserve"> </w:t>
      </w:r>
      <w:r w:rsidR="00091864" w:rsidRPr="00E33DBB">
        <w:rPr>
          <w:rFonts w:cs="Times New Roman"/>
          <w:i/>
          <w:sz w:val="24"/>
          <w:szCs w:val="24"/>
        </w:rPr>
        <w:t xml:space="preserve">Analysing </w:t>
      </w:r>
      <w:r w:rsidR="00D031EE" w:rsidRPr="00E33DBB">
        <w:rPr>
          <w:rFonts w:cs="Times New Roman"/>
          <w:i/>
          <w:sz w:val="24"/>
          <w:szCs w:val="24"/>
        </w:rPr>
        <w:t>academic writing</w:t>
      </w:r>
      <w:r w:rsidR="00214D44" w:rsidRPr="00E33DBB">
        <w:rPr>
          <w:rFonts w:cs="Times New Roman"/>
          <w:sz w:val="24"/>
          <w:szCs w:val="24"/>
        </w:rPr>
        <w:t>. London: Continuum</w:t>
      </w:r>
      <w:r w:rsidR="00091864" w:rsidRPr="00E33DBB">
        <w:rPr>
          <w:rFonts w:cs="Times New Roman"/>
          <w:sz w:val="24"/>
          <w:szCs w:val="24"/>
        </w:rPr>
        <w:t>, 104 - 130</w:t>
      </w:r>
      <w:r w:rsidR="00214D44" w:rsidRPr="00E33DBB">
        <w:rPr>
          <w:rFonts w:cs="Times New Roman"/>
          <w:sz w:val="24"/>
          <w:szCs w:val="24"/>
        </w:rPr>
        <w:t>.</w:t>
      </w:r>
    </w:p>
    <w:p w:rsidR="003A2EE7" w:rsidRPr="00E33DBB" w:rsidRDefault="003A2EE7" w:rsidP="00E33DBB">
      <w:pPr>
        <w:spacing w:line="276" w:lineRule="auto"/>
        <w:ind w:hanging="227"/>
        <w:rPr>
          <w:rFonts w:cs="Times New Roman"/>
          <w:sz w:val="24"/>
          <w:szCs w:val="24"/>
        </w:rPr>
      </w:pPr>
      <w:r w:rsidRPr="00E33DBB">
        <w:rPr>
          <w:rFonts w:cs="Times New Roman"/>
          <w:sz w:val="24"/>
          <w:szCs w:val="24"/>
        </w:rPr>
        <w:t>Rothery, J. (1996)</w:t>
      </w:r>
      <w:r w:rsidR="00213614" w:rsidRPr="00E33DBB">
        <w:rPr>
          <w:rFonts w:cs="Times New Roman"/>
          <w:sz w:val="24"/>
          <w:szCs w:val="24"/>
        </w:rPr>
        <w:t>.</w:t>
      </w:r>
      <w:r w:rsidRPr="00E33DBB">
        <w:rPr>
          <w:rFonts w:cs="Times New Roman"/>
          <w:sz w:val="24"/>
          <w:szCs w:val="24"/>
        </w:rPr>
        <w:t xml:space="preserve"> Making changes: Developing and educational linguis</w:t>
      </w:r>
      <w:r w:rsidR="00091864" w:rsidRPr="00E33DBB">
        <w:rPr>
          <w:rFonts w:cs="Times New Roman"/>
          <w:sz w:val="24"/>
          <w:szCs w:val="24"/>
        </w:rPr>
        <w:t>tics. In R. Hasan &amp;</w:t>
      </w:r>
      <w:r w:rsidRPr="00E33DBB">
        <w:rPr>
          <w:rFonts w:cs="Times New Roman"/>
          <w:sz w:val="24"/>
          <w:szCs w:val="24"/>
        </w:rPr>
        <w:t xml:space="preserve"> G. Williams </w:t>
      </w:r>
      <w:r w:rsidR="00213614" w:rsidRPr="00E33DBB">
        <w:rPr>
          <w:rFonts w:cs="Times New Roman"/>
          <w:sz w:val="24"/>
          <w:szCs w:val="24"/>
        </w:rPr>
        <w:t>(eds.)</w:t>
      </w:r>
      <w:r w:rsidR="0086431D" w:rsidRPr="00E33DBB">
        <w:rPr>
          <w:rFonts w:cs="Times New Roman"/>
          <w:sz w:val="24"/>
          <w:szCs w:val="24"/>
        </w:rPr>
        <w:t>,</w:t>
      </w:r>
      <w:r w:rsidRPr="00E33DBB">
        <w:rPr>
          <w:rFonts w:cs="Times New Roman"/>
          <w:sz w:val="24"/>
          <w:szCs w:val="24"/>
        </w:rPr>
        <w:t xml:space="preserve"> </w:t>
      </w:r>
      <w:r w:rsidRPr="00E33DBB">
        <w:rPr>
          <w:rFonts w:cs="Times New Roman"/>
          <w:i/>
          <w:iCs/>
          <w:sz w:val="24"/>
          <w:szCs w:val="24"/>
        </w:rPr>
        <w:t xml:space="preserve">Literacy in </w:t>
      </w:r>
      <w:r w:rsidR="00D031EE" w:rsidRPr="00E33DBB">
        <w:rPr>
          <w:rFonts w:cs="Times New Roman"/>
          <w:i/>
          <w:iCs/>
          <w:sz w:val="24"/>
          <w:szCs w:val="24"/>
        </w:rPr>
        <w:t>s</w:t>
      </w:r>
      <w:r w:rsidRPr="00E33DBB">
        <w:rPr>
          <w:rFonts w:cs="Times New Roman"/>
          <w:i/>
          <w:iCs/>
          <w:sz w:val="24"/>
          <w:szCs w:val="24"/>
        </w:rPr>
        <w:t>ociety</w:t>
      </w:r>
      <w:r w:rsidRPr="00E33DBB">
        <w:rPr>
          <w:rFonts w:cs="Times New Roman"/>
          <w:sz w:val="24"/>
          <w:szCs w:val="24"/>
        </w:rPr>
        <w:t>. London: Longman</w:t>
      </w:r>
      <w:r w:rsidR="00091864" w:rsidRPr="00E33DBB">
        <w:rPr>
          <w:rFonts w:cs="Times New Roman"/>
          <w:sz w:val="24"/>
          <w:szCs w:val="24"/>
        </w:rPr>
        <w:t>, 86 - 123</w:t>
      </w:r>
      <w:r w:rsidRPr="00E33DBB">
        <w:rPr>
          <w:rFonts w:cs="Times New Roman"/>
          <w:sz w:val="24"/>
          <w:szCs w:val="24"/>
        </w:rPr>
        <w:t>.</w:t>
      </w:r>
    </w:p>
    <w:p w:rsidR="002C1BA9" w:rsidRPr="00E33DBB" w:rsidRDefault="002C1BA9" w:rsidP="00E33DBB">
      <w:pPr>
        <w:spacing w:line="276" w:lineRule="auto"/>
        <w:ind w:hanging="227"/>
        <w:rPr>
          <w:rFonts w:cs="Times New Roman"/>
          <w:sz w:val="24"/>
          <w:szCs w:val="24"/>
        </w:rPr>
      </w:pPr>
      <w:r w:rsidRPr="00E33DBB">
        <w:rPr>
          <w:rFonts w:cs="Times New Roman"/>
          <w:sz w:val="24"/>
          <w:szCs w:val="24"/>
        </w:rPr>
        <w:t xml:space="preserve">Skillen, J. (2006) Teaching academic writing from the ‘centre’ in Australian universities. In L. Ganobcsik-Williams </w:t>
      </w:r>
      <w:r w:rsidR="00213614" w:rsidRPr="00E33DBB">
        <w:rPr>
          <w:rFonts w:cs="Times New Roman"/>
          <w:sz w:val="24"/>
          <w:szCs w:val="24"/>
        </w:rPr>
        <w:t>(ed.)</w:t>
      </w:r>
      <w:r w:rsidR="0086431D" w:rsidRPr="00E33DBB">
        <w:rPr>
          <w:rFonts w:cs="Times New Roman"/>
          <w:sz w:val="24"/>
          <w:szCs w:val="24"/>
        </w:rPr>
        <w:t>,</w:t>
      </w:r>
      <w:r w:rsidR="00091864" w:rsidRPr="00E33DBB">
        <w:rPr>
          <w:rFonts w:cs="Times New Roman"/>
          <w:sz w:val="24"/>
          <w:szCs w:val="24"/>
        </w:rPr>
        <w:t xml:space="preserve"> </w:t>
      </w:r>
      <w:r w:rsidRPr="00E33DBB">
        <w:rPr>
          <w:rFonts w:cs="Times New Roman"/>
          <w:sz w:val="24"/>
          <w:szCs w:val="24"/>
        </w:rPr>
        <w:t xml:space="preserve">Teaching </w:t>
      </w:r>
      <w:r w:rsidR="00D031EE" w:rsidRPr="00E33DBB">
        <w:rPr>
          <w:rFonts w:cs="Times New Roman"/>
          <w:sz w:val="24"/>
          <w:szCs w:val="24"/>
        </w:rPr>
        <w:t xml:space="preserve">academic writing </w:t>
      </w:r>
      <w:r w:rsidRPr="00E33DBB">
        <w:rPr>
          <w:rFonts w:cs="Times New Roman"/>
          <w:sz w:val="24"/>
          <w:szCs w:val="24"/>
        </w:rPr>
        <w:t xml:space="preserve">in UK </w:t>
      </w:r>
      <w:r w:rsidR="00D031EE" w:rsidRPr="00E33DBB">
        <w:rPr>
          <w:rFonts w:cs="Times New Roman"/>
          <w:sz w:val="24"/>
          <w:szCs w:val="24"/>
        </w:rPr>
        <w:t>higher education</w:t>
      </w:r>
      <w:r w:rsidRPr="00E33DBB">
        <w:rPr>
          <w:rFonts w:cs="Times New Roman"/>
          <w:sz w:val="24"/>
          <w:szCs w:val="24"/>
        </w:rPr>
        <w:t>: Theories</w:t>
      </w:r>
      <w:r w:rsidR="00D031EE" w:rsidRPr="00E33DBB">
        <w:rPr>
          <w:rFonts w:cs="Times New Roman"/>
          <w:sz w:val="24"/>
          <w:szCs w:val="24"/>
        </w:rPr>
        <w:t>, practice and models</w:t>
      </w:r>
      <w:r w:rsidRPr="00E33DBB">
        <w:rPr>
          <w:rFonts w:cs="Times New Roman"/>
          <w:sz w:val="24"/>
          <w:szCs w:val="24"/>
        </w:rPr>
        <w:t>. London: Palgrave Macmillan</w:t>
      </w:r>
      <w:r w:rsidR="00091864" w:rsidRPr="00E33DBB">
        <w:rPr>
          <w:rFonts w:cs="Times New Roman"/>
          <w:sz w:val="24"/>
          <w:szCs w:val="24"/>
        </w:rPr>
        <w:t>, 140 - 153</w:t>
      </w:r>
      <w:r w:rsidRPr="00E33DBB">
        <w:rPr>
          <w:rFonts w:cs="Times New Roman"/>
          <w:sz w:val="24"/>
          <w:szCs w:val="24"/>
        </w:rPr>
        <w:t>.</w:t>
      </w:r>
    </w:p>
    <w:p w:rsidR="00077E49" w:rsidRPr="00E33DBB" w:rsidRDefault="00077E49" w:rsidP="00E33DBB">
      <w:pPr>
        <w:spacing w:line="276" w:lineRule="auto"/>
        <w:ind w:hanging="227"/>
        <w:rPr>
          <w:rFonts w:cs="Times New Roman"/>
          <w:sz w:val="24"/>
          <w:szCs w:val="24"/>
        </w:rPr>
      </w:pPr>
      <w:r w:rsidRPr="00E33DBB">
        <w:rPr>
          <w:rFonts w:cs="Times New Roman"/>
          <w:sz w:val="24"/>
          <w:szCs w:val="24"/>
        </w:rPr>
        <w:t>Swales, J.M</w:t>
      </w:r>
      <w:r w:rsidR="0023016E" w:rsidRPr="00E33DBB">
        <w:rPr>
          <w:rFonts w:cs="Times New Roman"/>
          <w:sz w:val="24"/>
          <w:szCs w:val="24"/>
        </w:rPr>
        <w:t>.</w:t>
      </w:r>
      <w:r w:rsidRPr="00E33DBB">
        <w:rPr>
          <w:rFonts w:cs="Times New Roman"/>
          <w:sz w:val="24"/>
          <w:szCs w:val="24"/>
        </w:rPr>
        <w:t xml:space="preserve"> (1981)</w:t>
      </w:r>
      <w:r w:rsidR="00213614" w:rsidRPr="00E33DBB">
        <w:rPr>
          <w:rFonts w:cs="Times New Roman"/>
          <w:sz w:val="24"/>
          <w:szCs w:val="24"/>
        </w:rPr>
        <w:t>.</w:t>
      </w:r>
      <w:r w:rsidRPr="00E33DBB">
        <w:rPr>
          <w:rFonts w:cs="Times New Roman"/>
          <w:sz w:val="24"/>
          <w:szCs w:val="24"/>
        </w:rPr>
        <w:t xml:space="preserve"> Aspects of article introduction. </w:t>
      </w:r>
      <w:r w:rsidRPr="00E33DBB">
        <w:rPr>
          <w:rFonts w:cs="Times New Roman"/>
          <w:i/>
          <w:sz w:val="24"/>
          <w:szCs w:val="24"/>
        </w:rPr>
        <w:t xml:space="preserve">Aston Research Reports, No. 1. </w:t>
      </w:r>
      <w:r w:rsidRPr="00E33DBB">
        <w:rPr>
          <w:rFonts w:cs="Times New Roman"/>
          <w:sz w:val="24"/>
          <w:szCs w:val="24"/>
        </w:rPr>
        <w:t>Birmingham: University of Aston.</w:t>
      </w:r>
    </w:p>
    <w:p w:rsidR="00DE0AC1" w:rsidRPr="00E33DBB" w:rsidRDefault="00DE0AC1" w:rsidP="00E33DBB">
      <w:pPr>
        <w:spacing w:line="276" w:lineRule="auto"/>
        <w:ind w:hanging="227"/>
        <w:rPr>
          <w:rFonts w:cs="Times New Roman"/>
          <w:sz w:val="24"/>
          <w:szCs w:val="24"/>
        </w:rPr>
      </w:pPr>
      <w:r w:rsidRPr="00E33DBB">
        <w:rPr>
          <w:rFonts w:cs="Times New Roman"/>
          <w:sz w:val="24"/>
          <w:szCs w:val="24"/>
        </w:rPr>
        <w:t>Swales, J. M. (1990)</w:t>
      </w:r>
      <w:r w:rsidR="0023016E" w:rsidRPr="00E33DBB">
        <w:rPr>
          <w:rFonts w:cs="Times New Roman"/>
          <w:sz w:val="24"/>
          <w:szCs w:val="24"/>
        </w:rPr>
        <w:t>.</w:t>
      </w:r>
      <w:r w:rsidRPr="00E33DBB">
        <w:rPr>
          <w:rFonts w:cs="Times New Roman"/>
          <w:sz w:val="24"/>
          <w:szCs w:val="24"/>
        </w:rPr>
        <w:t xml:space="preserve"> </w:t>
      </w:r>
      <w:r w:rsidRPr="00E33DBB">
        <w:rPr>
          <w:rFonts w:cs="Times New Roman"/>
          <w:i/>
          <w:iCs/>
          <w:sz w:val="24"/>
          <w:szCs w:val="24"/>
        </w:rPr>
        <w:t xml:space="preserve">Genre analysis: English in </w:t>
      </w:r>
      <w:r w:rsidR="00D031EE" w:rsidRPr="00E33DBB">
        <w:rPr>
          <w:rFonts w:cs="Times New Roman"/>
          <w:i/>
          <w:iCs/>
          <w:sz w:val="24"/>
          <w:szCs w:val="24"/>
        </w:rPr>
        <w:t>academic and research settings</w:t>
      </w:r>
      <w:r w:rsidRPr="00E33DBB">
        <w:rPr>
          <w:rFonts w:cs="Times New Roman"/>
          <w:sz w:val="24"/>
          <w:szCs w:val="24"/>
        </w:rPr>
        <w:t>. Cambridge: Cambridge University Press.</w:t>
      </w:r>
    </w:p>
    <w:p w:rsidR="009C39FF" w:rsidRPr="00E33DBB" w:rsidRDefault="009C39FF" w:rsidP="00E33DBB">
      <w:pPr>
        <w:spacing w:line="276" w:lineRule="auto"/>
        <w:ind w:hanging="227"/>
        <w:rPr>
          <w:rFonts w:cs="Times New Roman"/>
          <w:sz w:val="24"/>
          <w:szCs w:val="24"/>
        </w:rPr>
      </w:pPr>
      <w:r w:rsidRPr="00E33DBB">
        <w:rPr>
          <w:rFonts w:cs="Times New Roman"/>
          <w:sz w:val="24"/>
          <w:szCs w:val="24"/>
        </w:rPr>
        <w:t xml:space="preserve">TEQSA </w:t>
      </w:r>
      <w:r w:rsidRPr="00E33DBB">
        <w:rPr>
          <w:rFonts w:cs="Times New Roman"/>
          <w:i/>
          <w:sz w:val="24"/>
          <w:szCs w:val="24"/>
        </w:rPr>
        <w:t>(</w:t>
      </w:r>
      <w:hyperlink r:id="rId10" w:history="1">
        <w:r w:rsidRPr="00E33DBB">
          <w:rPr>
            <w:rStyle w:val="Emphasis"/>
            <w:rFonts w:cs="Times New Roman"/>
            <w:i w:val="0"/>
            <w:sz w:val="24"/>
            <w:szCs w:val="24"/>
          </w:rPr>
          <w:t>Tertiary Education Quality Standards Agency</w:t>
        </w:r>
      </w:hyperlink>
      <w:r w:rsidRPr="00E33DBB">
        <w:rPr>
          <w:rStyle w:val="Emphasis"/>
          <w:rFonts w:cs="Times New Roman"/>
          <w:i w:val="0"/>
          <w:sz w:val="24"/>
          <w:szCs w:val="24"/>
        </w:rPr>
        <w:t>)</w:t>
      </w:r>
      <w:r w:rsidR="00213614" w:rsidRPr="00E33DBB">
        <w:rPr>
          <w:rStyle w:val="Emphasis"/>
          <w:rFonts w:cs="Times New Roman"/>
          <w:sz w:val="24"/>
          <w:szCs w:val="24"/>
        </w:rPr>
        <w:t xml:space="preserve"> </w:t>
      </w:r>
      <w:r w:rsidRPr="00E33DBB">
        <w:rPr>
          <w:rFonts w:cs="Times New Roman"/>
          <w:sz w:val="24"/>
          <w:szCs w:val="24"/>
        </w:rPr>
        <w:t>(2011)</w:t>
      </w:r>
      <w:r w:rsidR="00213614" w:rsidRPr="00E33DBB">
        <w:rPr>
          <w:rFonts w:cs="Times New Roman"/>
          <w:sz w:val="24"/>
          <w:szCs w:val="24"/>
        </w:rPr>
        <w:t>.</w:t>
      </w:r>
      <w:r w:rsidRPr="00E33DBB">
        <w:rPr>
          <w:rFonts w:cs="Times New Roman"/>
          <w:sz w:val="24"/>
          <w:szCs w:val="24"/>
        </w:rPr>
        <w:t xml:space="preserve">  </w:t>
      </w:r>
      <w:hyperlink r:id="rId11" w:history="1">
        <w:r w:rsidRPr="00E33DBB">
          <w:rPr>
            <w:rStyle w:val="Hyperlink"/>
            <w:rFonts w:cs="Times New Roman"/>
            <w:sz w:val="24"/>
            <w:szCs w:val="24"/>
          </w:rPr>
          <w:t>http://www.teqsa.gov.au/</w:t>
        </w:r>
      </w:hyperlink>
      <w:r w:rsidRPr="00E33DBB">
        <w:rPr>
          <w:rFonts w:cs="Times New Roman"/>
          <w:sz w:val="24"/>
          <w:szCs w:val="24"/>
        </w:rPr>
        <w:t xml:space="preserve"> </w:t>
      </w:r>
      <w:r w:rsidR="00213614" w:rsidRPr="00E33DBB">
        <w:rPr>
          <w:rFonts w:cs="Times New Roman"/>
          <w:sz w:val="24"/>
          <w:szCs w:val="24"/>
        </w:rPr>
        <w:t>(last accessed 22 December 2015</w:t>
      </w:r>
      <w:r w:rsidRPr="00E33DBB">
        <w:rPr>
          <w:rFonts w:cs="Times New Roman"/>
          <w:sz w:val="24"/>
          <w:szCs w:val="24"/>
        </w:rPr>
        <w:t>).</w:t>
      </w:r>
    </w:p>
    <w:p w:rsidR="008B2B26" w:rsidRPr="00E33DBB" w:rsidRDefault="0023016E" w:rsidP="00E33DBB">
      <w:pPr>
        <w:spacing w:line="276" w:lineRule="auto"/>
        <w:ind w:hanging="227"/>
        <w:rPr>
          <w:rFonts w:cs="Times New Roman"/>
          <w:sz w:val="24"/>
          <w:szCs w:val="24"/>
        </w:rPr>
      </w:pPr>
      <w:r w:rsidRPr="00E33DBB">
        <w:rPr>
          <w:rFonts w:cs="Times New Roman"/>
          <w:sz w:val="24"/>
          <w:szCs w:val="24"/>
        </w:rPr>
        <w:t>Thesen, L. &amp; E. van Pletzen</w:t>
      </w:r>
      <w:r w:rsidR="008B2B26" w:rsidRPr="00E33DBB">
        <w:rPr>
          <w:rFonts w:cs="Times New Roman"/>
          <w:sz w:val="24"/>
          <w:szCs w:val="24"/>
        </w:rPr>
        <w:t xml:space="preserve"> </w:t>
      </w:r>
      <w:r w:rsidR="00213614" w:rsidRPr="00E33DBB">
        <w:rPr>
          <w:rFonts w:cs="Times New Roman"/>
          <w:sz w:val="24"/>
          <w:szCs w:val="24"/>
        </w:rPr>
        <w:t>(eds.)</w:t>
      </w:r>
      <w:r w:rsidR="008B2B26" w:rsidRPr="00E33DBB">
        <w:rPr>
          <w:rFonts w:cs="Times New Roman"/>
          <w:sz w:val="24"/>
          <w:szCs w:val="24"/>
        </w:rPr>
        <w:t xml:space="preserve"> (2006)</w:t>
      </w:r>
      <w:r w:rsidR="00213614" w:rsidRPr="00E33DBB">
        <w:rPr>
          <w:rFonts w:cs="Times New Roman"/>
          <w:sz w:val="24"/>
          <w:szCs w:val="24"/>
        </w:rPr>
        <w:t>.</w:t>
      </w:r>
      <w:r w:rsidR="008B2B26" w:rsidRPr="00E33DBB">
        <w:rPr>
          <w:rFonts w:cs="Times New Roman"/>
          <w:sz w:val="24"/>
          <w:szCs w:val="24"/>
        </w:rPr>
        <w:t xml:space="preserve"> </w:t>
      </w:r>
      <w:r w:rsidR="008B2B26" w:rsidRPr="00E33DBB">
        <w:rPr>
          <w:rFonts w:cs="Times New Roman"/>
          <w:i/>
          <w:sz w:val="24"/>
          <w:szCs w:val="24"/>
        </w:rPr>
        <w:t xml:space="preserve">Academic </w:t>
      </w:r>
      <w:r w:rsidR="00D031EE" w:rsidRPr="00E33DBB">
        <w:rPr>
          <w:rFonts w:cs="Times New Roman"/>
          <w:i/>
          <w:sz w:val="24"/>
          <w:szCs w:val="24"/>
        </w:rPr>
        <w:t>literacy and the languages of change</w:t>
      </w:r>
      <w:r w:rsidR="008B2B26" w:rsidRPr="00E33DBB">
        <w:rPr>
          <w:rFonts w:cs="Times New Roman"/>
          <w:i/>
          <w:sz w:val="24"/>
          <w:szCs w:val="24"/>
        </w:rPr>
        <w:t xml:space="preserve">. </w:t>
      </w:r>
      <w:r w:rsidR="008B2B26" w:rsidRPr="00E33DBB">
        <w:rPr>
          <w:rFonts w:cs="Times New Roman"/>
          <w:sz w:val="24"/>
          <w:szCs w:val="24"/>
        </w:rPr>
        <w:t>London, New York: Continuum.</w:t>
      </w:r>
    </w:p>
    <w:p w:rsidR="008F2E88" w:rsidRPr="00E33DBB" w:rsidRDefault="008F2E88" w:rsidP="00E33DBB">
      <w:pPr>
        <w:spacing w:line="276" w:lineRule="auto"/>
        <w:ind w:hanging="227"/>
        <w:rPr>
          <w:rFonts w:cs="Times New Roman"/>
          <w:sz w:val="24"/>
          <w:szCs w:val="24"/>
        </w:rPr>
      </w:pPr>
      <w:r w:rsidRPr="00E33DBB">
        <w:rPr>
          <w:rFonts w:cs="Times New Roman"/>
          <w:sz w:val="24"/>
          <w:szCs w:val="24"/>
        </w:rPr>
        <w:t>Turner, J. (2011)</w:t>
      </w:r>
      <w:r w:rsidR="00213614" w:rsidRPr="00E33DBB">
        <w:rPr>
          <w:rFonts w:cs="Times New Roman"/>
          <w:sz w:val="24"/>
          <w:szCs w:val="24"/>
        </w:rPr>
        <w:t>.</w:t>
      </w:r>
      <w:r w:rsidRPr="00E33DBB">
        <w:rPr>
          <w:rFonts w:cs="Times New Roman"/>
          <w:sz w:val="24"/>
          <w:szCs w:val="24"/>
        </w:rPr>
        <w:t xml:space="preserve"> </w:t>
      </w:r>
      <w:r w:rsidRPr="00E33DBB">
        <w:rPr>
          <w:rFonts w:cs="Times New Roman"/>
          <w:i/>
          <w:sz w:val="24"/>
          <w:szCs w:val="24"/>
        </w:rPr>
        <w:t xml:space="preserve">Language </w:t>
      </w:r>
      <w:r w:rsidR="00D031EE" w:rsidRPr="00E33DBB">
        <w:rPr>
          <w:rFonts w:cs="Times New Roman"/>
          <w:i/>
          <w:sz w:val="24"/>
          <w:szCs w:val="24"/>
        </w:rPr>
        <w:t>in the academy</w:t>
      </w:r>
      <w:r w:rsidRPr="00E33DBB">
        <w:rPr>
          <w:rFonts w:cs="Times New Roman"/>
          <w:i/>
          <w:sz w:val="24"/>
          <w:szCs w:val="24"/>
        </w:rPr>
        <w:t xml:space="preserve">. Cultural </w:t>
      </w:r>
      <w:r w:rsidR="00D031EE" w:rsidRPr="00E33DBB">
        <w:rPr>
          <w:rFonts w:cs="Times New Roman"/>
          <w:i/>
          <w:sz w:val="24"/>
          <w:szCs w:val="24"/>
        </w:rPr>
        <w:t>reflexivity and intercultural dynamics</w:t>
      </w:r>
      <w:r w:rsidRPr="00E33DBB">
        <w:rPr>
          <w:rFonts w:cs="Times New Roman"/>
          <w:i/>
          <w:sz w:val="24"/>
          <w:szCs w:val="24"/>
        </w:rPr>
        <w:t xml:space="preserve">. </w:t>
      </w:r>
      <w:r w:rsidRPr="00E33DBB">
        <w:rPr>
          <w:rFonts w:cs="Times New Roman"/>
          <w:sz w:val="24"/>
          <w:szCs w:val="24"/>
        </w:rPr>
        <w:t>Bristol: Multilingual Matters.</w:t>
      </w:r>
    </w:p>
    <w:p w:rsidR="008B2B26" w:rsidRPr="00E33DBB" w:rsidRDefault="0043213C" w:rsidP="00E33DBB">
      <w:pPr>
        <w:autoSpaceDE w:val="0"/>
        <w:autoSpaceDN w:val="0"/>
        <w:adjustRightInd w:val="0"/>
        <w:spacing w:line="276" w:lineRule="auto"/>
        <w:ind w:hanging="227"/>
        <w:rPr>
          <w:rFonts w:cs="Times New Roman"/>
          <w:sz w:val="24"/>
          <w:szCs w:val="24"/>
        </w:rPr>
      </w:pPr>
      <w:r w:rsidRPr="00E33DBB">
        <w:rPr>
          <w:rFonts w:cs="Times New Roman"/>
          <w:sz w:val="24"/>
          <w:szCs w:val="24"/>
        </w:rPr>
        <w:t>Tribble, C. &amp;</w:t>
      </w:r>
      <w:r w:rsidR="008B2B26" w:rsidRPr="00E33DBB">
        <w:rPr>
          <w:rFonts w:cs="Times New Roman"/>
          <w:sz w:val="24"/>
          <w:szCs w:val="24"/>
        </w:rPr>
        <w:t xml:space="preserve"> Wingate, U. (2013)</w:t>
      </w:r>
      <w:r w:rsidR="00213614" w:rsidRPr="00E33DBB">
        <w:rPr>
          <w:rFonts w:cs="Times New Roman"/>
          <w:sz w:val="24"/>
          <w:szCs w:val="24"/>
        </w:rPr>
        <w:t>.</w:t>
      </w:r>
      <w:r w:rsidR="008B2B26" w:rsidRPr="00E33DBB">
        <w:rPr>
          <w:rFonts w:cs="Times New Roman"/>
          <w:sz w:val="24"/>
          <w:szCs w:val="24"/>
        </w:rPr>
        <w:t xml:space="preserve"> From text to corpus: a genre-based approach to academic literacy</w:t>
      </w:r>
      <w:r w:rsidR="00775312" w:rsidRPr="00E33DBB">
        <w:rPr>
          <w:rFonts w:cs="Times New Roman"/>
          <w:sz w:val="24"/>
          <w:szCs w:val="24"/>
        </w:rPr>
        <w:t xml:space="preserve"> </w:t>
      </w:r>
      <w:r w:rsidR="008B2B26" w:rsidRPr="00E33DBB">
        <w:rPr>
          <w:rFonts w:cs="Times New Roman"/>
          <w:sz w:val="24"/>
          <w:szCs w:val="24"/>
        </w:rPr>
        <w:t xml:space="preserve">instruction. </w:t>
      </w:r>
      <w:r w:rsidR="008B2B26" w:rsidRPr="00E33DBB">
        <w:rPr>
          <w:rFonts w:cs="Times New Roman"/>
          <w:i/>
          <w:sz w:val="24"/>
          <w:szCs w:val="24"/>
        </w:rPr>
        <w:t xml:space="preserve">System  </w:t>
      </w:r>
      <w:r w:rsidR="008B2B26" w:rsidRPr="00E33DBB">
        <w:rPr>
          <w:rFonts w:cs="Times New Roman"/>
          <w:sz w:val="24"/>
          <w:szCs w:val="24"/>
        </w:rPr>
        <w:t>41, 307 – 321.</w:t>
      </w:r>
    </w:p>
    <w:p w:rsidR="00052152" w:rsidRPr="00E33DBB" w:rsidRDefault="00052152" w:rsidP="00E33DBB">
      <w:pPr>
        <w:autoSpaceDE w:val="0"/>
        <w:autoSpaceDN w:val="0"/>
        <w:adjustRightInd w:val="0"/>
        <w:spacing w:line="276" w:lineRule="auto"/>
        <w:ind w:hanging="227"/>
        <w:rPr>
          <w:rFonts w:cs="Times New Roman"/>
          <w:sz w:val="24"/>
          <w:szCs w:val="24"/>
        </w:rPr>
      </w:pPr>
      <w:r w:rsidRPr="00E33DBB">
        <w:rPr>
          <w:rFonts w:cs="Times New Roman"/>
          <w:sz w:val="24"/>
          <w:szCs w:val="24"/>
        </w:rPr>
        <w:t>Walker, M. (2009)</w:t>
      </w:r>
      <w:r w:rsidR="00213614" w:rsidRPr="00E33DBB">
        <w:rPr>
          <w:rFonts w:cs="Times New Roman"/>
          <w:sz w:val="24"/>
          <w:szCs w:val="24"/>
        </w:rPr>
        <w:t>.</w:t>
      </w:r>
      <w:r w:rsidRPr="00E33DBB">
        <w:rPr>
          <w:rFonts w:cs="Times New Roman"/>
          <w:sz w:val="24"/>
          <w:szCs w:val="24"/>
        </w:rPr>
        <w:t xml:space="preserve"> An investigation into written comments on assignments: do students find them usable? </w:t>
      </w:r>
      <w:r w:rsidRPr="00E33DBB">
        <w:rPr>
          <w:rFonts w:cs="Times New Roman"/>
          <w:i/>
          <w:sz w:val="24"/>
          <w:szCs w:val="24"/>
        </w:rPr>
        <w:t>Assessment and Evaluation in Higher Education</w:t>
      </w:r>
      <w:r w:rsidR="00E41202" w:rsidRPr="00E33DBB">
        <w:rPr>
          <w:rFonts w:cs="Times New Roman"/>
          <w:sz w:val="24"/>
          <w:szCs w:val="24"/>
        </w:rPr>
        <w:t xml:space="preserve"> 34.</w:t>
      </w:r>
      <w:r w:rsidRPr="00E33DBB">
        <w:rPr>
          <w:rFonts w:cs="Times New Roman"/>
          <w:sz w:val="24"/>
          <w:szCs w:val="24"/>
        </w:rPr>
        <w:t xml:space="preserve"> 1, 67 – 78.</w:t>
      </w:r>
    </w:p>
    <w:p w:rsidR="00052152" w:rsidRPr="00E33DBB" w:rsidRDefault="00052152" w:rsidP="00E33DBB">
      <w:pPr>
        <w:autoSpaceDE w:val="0"/>
        <w:autoSpaceDN w:val="0"/>
        <w:adjustRightInd w:val="0"/>
        <w:spacing w:line="276" w:lineRule="auto"/>
        <w:ind w:hanging="227"/>
        <w:rPr>
          <w:rFonts w:cs="Times New Roman"/>
          <w:sz w:val="24"/>
          <w:szCs w:val="24"/>
        </w:rPr>
      </w:pPr>
      <w:r w:rsidRPr="00E33DBB">
        <w:rPr>
          <w:rFonts w:cs="Times New Roman"/>
          <w:sz w:val="24"/>
          <w:szCs w:val="24"/>
        </w:rPr>
        <w:t>Weaver, M. (2006)</w:t>
      </w:r>
      <w:r w:rsidR="00213614" w:rsidRPr="00E33DBB">
        <w:rPr>
          <w:rFonts w:cs="Times New Roman"/>
          <w:sz w:val="24"/>
          <w:szCs w:val="24"/>
        </w:rPr>
        <w:t>.</w:t>
      </w:r>
      <w:r w:rsidRPr="00E33DBB">
        <w:rPr>
          <w:rFonts w:cs="Times New Roman"/>
          <w:sz w:val="24"/>
          <w:szCs w:val="24"/>
        </w:rPr>
        <w:t xml:space="preserve"> Do students value feedback? Student perceptions of tutors’ written responses.  </w:t>
      </w:r>
      <w:r w:rsidRPr="00E33DBB">
        <w:rPr>
          <w:rFonts w:cs="Times New Roman"/>
          <w:i/>
          <w:iCs/>
          <w:sz w:val="24"/>
          <w:szCs w:val="24"/>
        </w:rPr>
        <w:t xml:space="preserve">Assessment &amp; Evaluation in Higher Education </w:t>
      </w:r>
      <w:r w:rsidR="00E41202" w:rsidRPr="00E33DBB">
        <w:rPr>
          <w:rFonts w:cs="Times New Roman"/>
          <w:sz w:val="24"/>
          <w:szCs w:val="24"/>
        </w:rPr>
        <w:t>31.</w:t>
      </w:r>
      <w:r w:rsidRPr="00E33DBB">
        <w:rPr>
          <w:rFonts w:cs="Times New Roman"/>
          <w:sz w:val="24"/>
          <w:szCs w:val="24"/>
        </w:rPr>
        <w:t xml:space="preserve"> 3, 379 – 394.</w:t>
      </w:r>
    </w:p>
    <w:p w:rsidR="001C6592" w:rsidRPr="00E33DBB" w:rsidRDefault="001C6592" w:rsidP="00E33DBB">
      <w:pPr>
        <w:spacing w:line="276" w:lineRule="auto"/>
        <w:ind w:hanging="227"/>
        <w:rPr>
          <w:rFonts w:cs="Times New Roman"/>
          <w:sz w:val="24"/>
          <w:szCs w:val="24"/>
        </w:rPr>
      </w:pPr>
      <w:r w:rsidRPr="00E33DBB">
        <w:rPr>
          <w:rFonts w:cs="Times New Roman"/>
          <w:sz w:val="24"/>
          <w:szCs w:val="24"/>
        </w:rPr>
        <w:t>Wingate, U. (2011)</w:t>
      </w:r>
      <w:r w:rsidR="00213614" w:rsidRPr="00E33DBB">
        <w:rPr>
          <w:rFonts w:cs="Times New Roman"/>
          <w:sz w:val="24"/>
          <w:szCs w:val="24"/>
        </w:rPr>
        <w:t>.</w:t>
      </w:r>
      <w:r w:rsidRPr="00E33DBB">
        <w:rPr>
          <w:rFonts w:cs="Times New Roman"/>
          <w:sz w:val="24"/>
          <w:szCs w:val="24"/>
        </w:rPr>
        <w:t xml:space="preserve"> A comparison of ‘additional’ and ‘embedded’ approaches to teaching writing in t</w:t>
      </w:r>
      <w:r w:rsidR="00091864" w:rsidRPr="00E33DBB">
        <w:rPr>
          <w:rFonts w:cs="Times New Roman"/>
          <w:sz w:val="24"/>
          <w:szCs w:val="24"/>
        </w:rPr>
        <w:t xml:space="preserve">he disciplines. In M. Deane &amp; </w:t>
      </w:r>
      <w:r w:rsidRPr="00E33DBB">
        <w:rPr>
          <w:rFonts w:cs="Times New Roman"/>
          <w:sz w:val="24"/>
          <w:szCs w:val="24"/>
        </w:rPr>
        <w:t xml:space="preserve">P O’Neill </w:t>
      </w:r>
      <w:r w:rsidR="00213614" w:rsidRPr="00E33DBB">
        <w:rPr>
          <w:rFonts w:cs="Times New Roman"/>
          <w:sz w:val="24"/>
          <w:szCs w:val="24"/>
        </w:rPr>
        <w:t>(eds.)</w:t>
      </w:r>
      <w:r w:rsidR="0086431D" w:rsidRPr="00E33DBB">
        <w:rPr>
          <w:rFonts w:cs="Times New Roman"/>
          <w:sz w:val="24"/>
          <w:szCs w:val="24"/>
        </w:rPr>
        <w:t>,</w:t>
      </w:r>
      <w:r w:rsidRPr="00E33DBB">
        <w:rPr>
          <w:rFonts w:cs="Times New Roman"/>
          <w:sz w:val="24"/>
          <w:szCs w:val="24"/>
        </w:rPr>
        <w:t xml:space="preserve"> </w:t>
      </w:r>
      <w:r w:rsidRPr="00E33DBB">
        <w:rPr>
          <w:rFonts w:cs="Times New Roman"/>
          <w:i/>
          <w:sz w:val="24"/>
          <w:szCs w:val="24"/>
        </w:rPr>
        <w:t xml:space="preserve">Writing in the </w:t>
      </w:r>
      <w:r w:rsidR="00D031EE" w:rsidRPr="00E33DBB">
        <w:rPr>
          <w:rFonts w:cs="Times New Roman"/>
          <w:i/>
          <w:sz w:val="24"/>
          <w:szCs w:val="24"/>
        </w:rPr>
        <w:t>d</w:t>
      </w:r>
      <w:r w:rsidRPr="00E33DBB">
        <w:rPr>
          <w:rFonts w:cs="Times New Roman"/>
          <w:i/>
          <w:sz w:val="24"/>
          <w:szCs w:val="24"/>
        </w:rPr>
        <w:t>isciplines</w:t>
      </w:r>
      <w:r w:rsidRPr="00E33DBB">
        <w:rPr>
          <w:rFonts w:cs="Times New Roman"/>
          <w:sz w:val="24"/>
          <w:szCs w:val="24"/>
        </w:rPr>
        <w:t>. London: Palgrave Macmillan</w:t>
      </w:r>
      <w:r w:rsidR="00091864" w:rsidRPr="00E33DBB">
        <w:rPr>
          <w:rFonts w:cs="Times New Roman"/>
          <w:sz w:val="24"/>
          <w:szCs w:val="24"/>
        </w:rPr>
        <w:t>, 65 - 87</w:t>
      </w:r>
      <w:r w:rsidRPr="00E33DBB">
        <w:rPr>
          <w:rFonts w:cs="Times New Roman"/>
          <w:sz w:val="24"/>
          <w:szCs w:val="24"/>
        </w:rPr>
        <w:t>.</w:t>
      </w:r>
    </w:p>
    <w:p w:rsidR="00DB7DE4" w:rsidRPr="00E33DBB" w:rsidRDefault="00DB7DE4" w:rsidP="00E33DBB">
      <w:pPr>
        <w:spacing w:line="276" w:lineRule="auto"/>
        <w:ind w:hanging="227"/>
        <w:rPr>
          <w:rFonts w:cs="Times New Roman"/>
          <w:sz w:val="24"/>
          <w:szCs w:val="24"/>
        </w:rPr>
      </w:pPr>
      <w:r w:rsidRPr="00E33DBB">
        <w:rPr>
          <w:rFonts w:cs="Times New Roman"/>
          <w:sz w:val="24"/>
          <w:szCs w:val="24"/>
        </w:rPr>
        <w:t>Wingate, U. (2012)</w:t>
      </w:r>
      <w:r w:rsidR="00213614" w:rsidRPr="00E33DBB">
        <w:rPr>
          <w:rFonts w:cs="Times New Roman"/>
          <w:sz w:val="24"/>
          <w:szCs w:val="24"/>
        </w:rPr>
        <w:t>.</w:t>
      </w:r>
      <w:r w:rsidRPr="00E33DBB">
        <w:rPr>
          <w:rFonts w:cs="Times New Roman"/>
          <w:sz w:val="24"/>
          <w:szCs w:val="24"/>
        </w:rPr>
        <w:t xml:space="preserve"> 'Argument!' Helping students understand what essay writing is about.  </w:t>
      </w:r>
      <w:r w:rsidRPr="00E33DBB">
        <w:rPr>
          <w:rFonts w:cs="Times New Roman"/>
          <w:i/>
          <w:sz w:val="24"/>
          <w:szCs w:val="24"/>
        </w:rPr>
        <w:t>Journal of English for Academic Purposes</w:t>
      </w:r>
      <w:r w:rsidR="00E41202" w:rsidRPr="00E33DBB">
        <w:rPr>
          <w:rFonts w:cs="Times New Roman"/>
          <w:sz w:val="24"/>
          <w:szCs w:val="24"/>
        </w:rPr>
        <w:t>, 11.</w:t>
      </w:r>
      <w:r w:rsidRPr="00E33DBB">
        <w:rPr>
          <w:rFonts w:cs="Times New Roman"/>
          <w:sz w:val="24"/>
          <w:szCs w:val="24"/>
        </w:rPr>
        <w:t xml:space="preserve"> 2, 145 – 154.</w:t>
      </w:r>
    </w:p>
    <w:p w:rsidR="00807440" w:rsidRPr="00E33DBB" w:rsidRDefault="00807440" w:rsidP="00E33DBB">
      <w:pPr>
        <w:spacing w:line="276" w:lineRule="auto"/>
        <w:ind w:hanging="227"/>
        <w:rPr>
          <w:rFonts w:cs="Times New Roman"/>
          <w:sz w:val="24"/>
          <w:szCs w:val="24"/>
        </w:rPr>
      </w:pPr>
      <w:r w:rsidRPr="00E33DBB">
        <w:rPr>
          <w:rFonts w:cs="Times New Roman"/>
          <w:sz w:val="24"/>
          <w:szCs w:val="24"/>
        </w:rPr>
        <w:t>Wingate</w:t>
      </w:r>
      <w:r w:rsidR="008E0E5F" w:rsidRPr="00E33DBB">
        <w:rPr>
          <w:rFonts w:cs="Times New Roman"/>
          <w:sz w:val="24"/>
          <w:szCs w:val="24"/>
        </w:rPr>
        <w:t xml:space="preserve">, U. </w:t>
      </w:r>
      <w:r w:rsidRPr="00E33DBB">
        <w:rPr>
          <w:rFonts w:cs="Times New Roman"/>
          <w:sz w:val="24"/>
          <w:szCs w:val="24"/>
        </w:rPr>
        <w:t xml:space="preserve"> </w:t>
      </w:r>
      <w:r w:rsidR="008E0E5F" w:rsidRPr="00E33DBB">
        <w:rPr>
          <w:rFonts w:cs="Times New Roman"/>
          <w:sz w:val="24"/>
          <w:szCs w:val="24"/>
        </w:rPr>
        <w:t>(</w:t>
      </w:r>
      <w:r w:rsidRPr="00E33DBB">
        <w:rPr>
          <w:rFonts w:cs="Times New Roman"/>
          <w:sz w:val="24"/>
          <w:szCs w:val="24"/>
        </w:rPr>
        <w:t>2015</w:t>
      </w:r>
      <w:r w:rsidR="008E0E5F" w:rsidRPr="00E33DBB">
        <w:rPr>
          <w:rFonts w:cs="Times New Roman"/>
          <w:sz w:val="24"/>
          <w:szCs w:val="24"/>
        </w:rPr>
        <w:t>)</w:t>
      </w:r>
      <w:r w:rsidR="00213614" w:rsidRPr="00E33DBB">
        <w:rPr>
          <w:rFonts w:cs="Times New Roman"/>
          <w:sz w:val="24"/>
          <w:szCs w:val="24"/>
        </w:rPr>
        <w:t>.</w:t>
      </w:r>
      <w:r w:rsidR="008E0E5F" w:rsidRPr="00E33DBB">
        <w:rPr>
          <w:rFonts w:cs="Times New Roman"/>
          <w:sz w:val="24"/>
          <w:szCs w:val="24"/>
        </w:rPr>
        <w:t xml:space="preserve"> </w:t>
      </w:r>
      <w:r w:rsidR="008E0E5F" w:rsidRPr="00E33DBB">
        <w:rPr>
          <w:rFonts w:cs="Times New Roman"/>
          <w:i/>
          <w:sz w:val="24"/>
          <w:szCs w:val="24"/>
        </w:rPr>
        <w:t xml:space="preserve">Academic </w:t>
      </w:r>
      <w:r w:rsidR="00D031EE" w:rsidRPr="00E33DBB">
        <w:rPr>
          <w:rFonts w:cs="Times New Roman"/>
          <w:i/>
          <w:sz w:val="24"/>
          <w:szCs w:val="24"/>
        </w:rPr>
        <w:t>literacy and student diversity</w:t>
      </w:r>
      <w:r w:rsidR="008E0E5F" w:rsidRPr="00E33DBB">
        <w:rPr>
          <w:rFonts w:cs="Times New Roman"/>
          <w:i/>
          <w:sz w:val="24"/>
          <w:szCs w:val="24"/>
        </w:rPr>
        <w:t xml:space="preserve">. The </w:t>
      </w:r>
      <w:r w:rsidR="00D031EE" w:rsidRPr="00E33DBB">
        <w:rPr>
          <w:rFonts w:cs="Times New Roman"/>
          <w:i/>
          <w:sz w:val="24"/>
          <w:szCs w:val="24"/>
        </w:rPr>
        <w:t>case for inclusive practice</w:t>
      </w:r>
      <w:r w:rsidR="008E0E5F" w:rsidRPr="00E33DBB">
        <w:rPr>
          <w:rFonts w:cs="Times New Roman"/>
          <w:i/>
          <w:sz w:val="24"/>
          <w:szCs w:val="24"/>
        </w:rPr>
        <w:t xml:space="preserve">. </w:t>
      </w:r>
      <w:r w:rsidR="008E0E5F" w:rsidRPr="00E33DBB">
        <w:rPr>
          <w:rFonts w:cs="Times New Roman"/>
          <w:sz w:val="24"/>
          <w:szCs w:val="24"/>
        </w:rPr>
        <w:t>Bristol: Multilingual Matters.</w:t>
      </w:r>
    </w:p>
    <w:p w:rsidR="00B512C9" w:rsidRPr="00E33DBB" w:rsidRDefault="00F56781" w:rsidP="00E33DBB">
      <w:pPr>
        <w:spacing w:line="276" w:lineRule="auto"/>
        <w:ind w:hanging="227"/>
        <w:rPr>
          <w:rFonts w:cs="Times New Roman"/>
          <w:sz w:val="24"/>
          <w:szCs w:val="24"/>
        </w:rPr>
      </w:pPr>
      <w:r w:rsidRPr="00E33DBB">
        <w:rPr>
          <w:rFonts w:cs="Times New Roman"/>
          <w:sz w:val="24"/>
          <w:szCs w:val="24"/>
        </w:rPr>
        <w:t>Wingate, U. &amp; C. Tribble</w:t>
      </w:r>
      <w:r w:rsidR="00B512C9" w:rsidRPr="00E33DBB">
        <w:rPr>
          <w:rFonts w:cs="Times New Roman"/>
          <w:sz w:val="24"/>
          <w:szCs w:val="24"/>
        </w:rPr>
        <w:t xml:space="preserve"> (2012)</w:t>
      </w:r>
      <w:r w:rsidR="00213614" w:rsidRPr="00E33DBB">
        <w:rPr>
          <w:rFonts w:cs="Times New Roman"/>
          <w:sz w:val="24"/>
          <w:szCs w:val="24"/>
        </w:rPr>
        <w:t>.</w:t>
      </w:r>
      <w:r w:rsidR="00B512C9" w:rsidRPr="00E33DBB">
        <w:rPr>
          <w:rFonts w:cs="Times New Roman"/>
          <w:b/>
          <w:sz w:val="24"/>
          <w:szCs w:val="24"/>
        </w:rPr>
        <w:t xml:space="preserve"> </w:t>
      </w:r>
      <w:r w:rsidR="00B512C9" w:rsidRPr="00E33DBB">
        <w:rPr>
          <w:rFonts w:cs="Times New Roman"/>
          <w:sz w:val="24"/>
          <w:szCs w:val="24"/>
        </w:rPr>
        <w:t xml:space="preserve">The best of both worlds? Towards an English for Academic Purposes/Academic Literacies writing pedagogy. </w:t>
      </w:r>
      <w:r w:rsidR="00B512C9" w:rsidRPr="00E33DBB">
        <w:rPr>
          <w:rFonts w:cs="Times New Roman"/>
          <w:i/>
          <w:sz w:val="24"/>
          <w:szCs w:val="24"/>
        </w:rPr>
        <w:t>Studies in Higher Education</w:t>
      </w:r>
      <w:r w:rsidR="00E41202" w:rsidRPr="00E33DBB">
        <w:rPr>
          <w:rFonts w:cs="Times New Roman"/>
          <w:sz w:val="24"/>
          <w:szCs w:val="24"/>
        </w:rPr>
        <w:t xml:space="preserve"> 37.</w:t>
      </w:r>
      <w:r w:rsidR="00B512C9" w:rsidRPr="00E33DBB">
        <w:rPr>
          <w:rFonts w:cs="Times New Roman"/>
          <w:sz w:val="24"/>
          <w:szCs w:val="24"/>
        </w:rPr>
        <w:t xml:space="preserve"> 4, 481 – 495.</w:t>
      </w:r>
    </w:p>
    <w:p w:rsidR="00837477" w:rsidRPr="00E33DBB" w:rsidRDefault="00837477" w:rsidP="00E33DBB">
      <w:pPr>
        <w:spacing w:line="276" w:lineRule="auto"/>
        <w:rPr>
          <w:rFonts w:cs="Times New Roman"/>
          <w:b/>
          <w:sz w:val="24"/>
          <w:szCs w:val="24"/>
        </w:rPr>
      </w:pPr>
    </w:p>
    <w:sectPr w:rsidR="00837477" w:rsidRPr="00E33DB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95" w:rsidRDefault="00334D95" w:rsidP="00E67D24">
      <w:pPr>
        <w:spacing w:line="240" w:lineRule="auto"/>
      </w:pPr>
      <w:r>
        <w:separator/>
      </w:r>
    </w:p>
  </w:endnote>
  <w:endnote w:type="continuationSeparator" w:id="0">
    <w:p w:rsidR="00334D95" w:rsidRDefault="00334D95" w:rsidP="00E67D24">
      <w:pPr>
        <w:spacing w:line="240" w:lineRule="auto"/>
      </w:pPr>
      <w:r>
        <w:continuationSeparator/>
      </w:r>
    </w:p>
  </w:endnote>
  <w:endnote w:id="1">
    <w:p w:rsidR="008967A5" w:rsidRDefault="008967A5">
      <w:pPr>
        <w:pStyle w:val="EndnoteText"/>
      </w:pPr>
      <w:r>
        <w:rPr>
          <w:rStyle w:val="EndnoteReference"/>
        </w:rPr>
        <w:endnoteRef/>
      </w:r>
      <w:r>
        <w:t xml:space="preserve"> There are many initiatives by EAP units concerned with discipline-specific approaches and collaboration with lecturers in the disciplines</w:t>
      </w:r>
      <w:r w:rsidR="005461D2">
        <w:t>, which are small-scale rather than institution-wide</w:t>
      </w:r>
      <w:r>
        <w:t xml:space="preserve">. </w:t>
      </w:r>
      <w:r w:rsidR="005461D2">
        <w:t xml:space="preserve">These tend to be mentioned in discussions at conferences, but are not usually published.   </w:t>
      </w:r>
    </w:p>
  </w:endnote>
  <w:endnote w:id="2">
    <w:p w:rsidR="00DB5230" w:rsidRDefault="00DB5230">
      <w:pPr>
        <w:pStyle w:val="EndnoteText"/>
      </w:pPr>
      <w:r>
        <w:rPr>
          <w:rStyle w:val="EndnoteReference"/>
        </w:rPr>
        <w:endnoteRef/>
      </w:r>
      <w:r>
        <w:t xml:space="preserve"> See Nesi &amp; Gardner (2012) for the definition of this genre family. In the case of this Management assignment, it was the critical  evaluation of a management model or concept through the lens of a certain typology.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30" w:rsidRDefault="00DB5230">
    <w:pPr>
      <w:pStyle w:val="Footer"/>
      <w:jc w:val="right"/>
    </w:pPr>
  </w:p>
  <w:p w:rsidR="00DB5230" w:rsidRDefault="00DB5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95" w:rsidRDefault="00334D95" w:rsidP="00E67D24">
      <w:pPr>
        <w:spacing w:line="240" w:lineRule="auto"/>
      </w:pPr>
      <w:r>
        <w:separator/>
      </w:r>
    </w:p>
  </w:footnote>
  <w:footnote w:type="continuationSeparator" w:id="0">
    <w:p w:rsidR="00334D95" w:rsidRDefault="00334D95" w:rsidP="00E67D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286427"/>
      <w:docPartObj>
        <w:docPartGallery w:val="Page Numbers (Top of Page)"/>
        <w:docPartUnique/>
      </w:docPartObj>
    </w:sdtPr>
    <w:sdtEndPr>
      <w:rPr>
        <w:rFonts w:ascii="Times New Roman" w:hAnsi="Times New Roman" w:cs="Times New Roman"/>
        <w:noProof/>
        <w:sz w:val="24"/>
        <w:szCs w:val="24"/>
      </w:rPr>
    </w:sdtEndPr>
    <w:sdtContent>
      <w:p w:rsidR="006B21CA" w:rsidRPr="00E47AFE" w:rsidRDefault="006B21CA">
        <w:pPr>
          <w:pStyle w:val="Header"/>
          <w:jc w:val="right"/>
          <w:rPr>
            <w:rFonts w:ascii="Times New Roman" w:hAnsi="Times New Roman" w:cs="Times New Roman"/>
            <w:sz w:val="24"/>
            <w:szCs w:val="24"/>
          </w:rPr>
        </w:pPr>
        <w:r w:rsidRPr="00E47AFE">
          <w:rPr>
            <w:rFonts w:ascii="Times New Roman" w:hAnsi="Times New Roman" w:cs="Times New Roman"/>
            <w:sz w:val="24"/>
            <w:szCs w:val="24"/>
          </w:rPr>
          <w:fldChar w:fldCharType="begin"/>
        </w:r>
        <w:r w:rsidRPr="00E47AFE">
          <w:rPr>
            <w:rFonts w:ascii="Times New Roman" w:hAnsi="Times New Roman" w:cs="Times New Roman"/>
            <w:sz w:val="24"/>
            <w:szCs w:val="24"/>
          </w:rPr>
          <w:instrText xml:space="preserve"> PAGE   \* MERGEFORMAT </w:instrText>
        </w:r>
        <w:r w:rsidRPr="00E47AFE">
          <w:rPr>
            <w:rFonts w:ascii="Times New Roman" w:hAnsi="Times New Roman" w:cs="Times New Roman"/>
            <w:sz w:val="24"/>
            <w:szCs w:val="24"/>
          </w:rPr>
          <w:fldChar w:fldCharType="separate"/>
        </w:r>
        <w:r w:rsidR="00334D95">
          <w:rPr>
            <w:rFonts w:ascii="Times New Roman" w:hAnsi="Times New Roman" w:cs="Times New Roman"/>
            <w:noProof/>
            <w:sz w:val="24"/>
            <w:szCs w:val="24"/>
          </w:rPr>
          <w:t>1</w:t>
        </w:r>
        <w:r w:rsidRPr="00E47AFE">
          <w:rPr>
            <w:rFonts w:ascii="Times New Roman" w:hAnsi="Times New Roman" w:cs="Times New Roman"/>
            <w:noProof/>
            <w:sz w:val="24"/>
            <w:szCs w:val="24"/>
          </w:rPr>
          <w:fldChar w:fldCharType="end"/>
        </w:r>
      </w:p>
    </w:sdtContent>
  </w:sdt>
  <w:p w:rsidR="006B21CA" w:rsidRDefault="006B2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F30F35C"/>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1">
    <w:nsid w:val="10E67769"/>
    <w:multiLevelType w:val="hybridMultilevel"/>
    <w:tmpl w:val="88801EBC"/>
    <w:lvl w:ilvl="0" w:tplc="1D1C3E96">
      <w:numFmt w:val="bullet"/>
      <w:lvlText w:val="-"/>
      <w:lvlJc w:val="left"/>
      <w:pPr>
        <w:ind w:left="720" w:hanging="360"/>
      </w:pPr>
      <w:rPr>
        <w:rFonts w:ascii="Calibri" w:eastAsiaTheme="minorHAnsi" w:hAnsi="Calibri"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2381C"/>
    <w:multiLevelType w:val="hybridMultilevel"/>
    <w:tmpl w:val="97623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C456E7"/>
    <w:multiLevelType w:val="multilevel"/>
    <w:tmpl w:val="BB60EE40"/>
    <w:lvl w:ilvl="0">
      <w:start w:val="1"/>
      <w:numFmt w:val="decimal"/>
      <w:lvlText w:val="%1."/>
      <w:lvlJc w:val="left"/>
      <w:pPr>
        <w:ind w:left="504" w:hanging="360"/>
      </w:pPr>
      <w:rPr>
        <w:rFonts w:hint="default"/>
      </w:rPr>
    </w:lvl>
    <w:lvl w:ilvl="1">
      <w:start w:val="1"/>
      <w:numFmt w:val="decimal"/>
      <w:isLgl/>
      <w:lvlText w:val="%1.%2."/>
      <w:lvlJc w:val="left"/>
      <w:pPr>
        <w:ind w:left="504" w:hanging="36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4">
    <w:nsid w:val="312C16B2"/>
    <w:multiLevelType w:val="hybridMultilevel"/>
    <w:tmpl w:val="D9542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CC44C1"/>
    <w:multiLevelType w:val="hybridMultilevel"/>
    <w:tmpl w:val="87CE87A4"/>
    <w:lvl w:ilvl="0" w:tplc="3C6445C8">
      <w:start w:val="1"/>
      <w:numFmt w:val="decimal"/>
      <w:lvlText w:val="%1."/>
      <w:lvlJc w:val="left"/>
      <w:pPr>
        <w:ind w:left="734" w:hanging="360"/>
      </w:pPr>
      <w:rPr>
        <w:rFonts w:hint="default"/>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6">
    <w:nsid w:val="573D7D97"/>
    <w:multiLevelType w:val="hybridMultilevel"/>
    <w:tmpl w:val="35546138"/>
    <w:lvl w:ilvl="0" w:tplc="06006EAC">
      <w:start w:val="1"/>
      <w:numFmt w:val="decimal"/>
      <w:lvlText w:val="%1."/>
      <w:lvlJc w:val="left"/>
      <w:pPr>
        <w:ind w:left="734" w:hanging="360"/>
      </w:pPr>
      <w:rPr>
        <w:rFonts w:hint="default"/>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7">
    <w:nsid w:val="5CF03934"/>
    <w:multiLevelType w:val="hybridMultilevel"/>
    <w:tmpl w:val="BF9C4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53"/>
    <w:rsid w:val="00000070"/>
    <w:rsid w:val="00001586"/>
    <w:rsid w:val="000017F4"/>
    <w:rsid w:val="000059E8"/>
    <w:rsid w:val="00010B59"/>
    <w:rsid w:val="000167D0"/>
    <w:rsid w:val="00021F9A"/>
    <w:rsid w:val="00025715"/>
    <w:rsid w:val="000262D9"/>
    <w:rsid w:val="00033F2A"/>
    <w:rsid w:val="00034667"/>
    <w:rsid w:val="000404F0"/>
    <w:rsid w:val="00042AA1"/>
    <w:rsid w:val="00047F0B"/>
    <w:rsid w:val="00050FBA"/>
    <w:rsid w:val="00052152"/>
    <w:rsid w:val="0005404E"/>
    <w:rsid w:val="00056651"/>
    <w:rsid w:val="000601E3"/>
    <w:rsid w:val="000712D0"/>
    <w:rsid w:val="00077314"/>
    <w:rsid w:val="00077E49"/>
    <w:rsid w:val="000800DB"/>
    <w:rsid w:val="0008264B"/>
    <w:rsid w:val="00083FD0"/>
    <w:rsid w:val="00086F12"/>
    <w:rsid w:val="000877CD"/>
    <w:rsid w:val="000878EF"/>
    <w:rsid w:val="00091474"/>
    <w:rsid w:val="00091864"/>
    <w:rsid w:val="00093D77"/>
    <w:rsid w:val="00095D71"/>
    <w:rsid w:val="000962F6"/>
    <w:rsid w:val="000A5C2D"/>
    <w:rsid w:val="000A5D02"/>
    <w:rsid w:val="000B1B5A"/>
    <w:rsid w:val="000B2BC7"/>
    <w:rsid w:val="000B30D9"/>
    <w:rsid w:val="000B74B3"/>
    <w:rsid w:val="000C0C74"/>
    <w:rsid w:val="000C23CB"/>
    <w:rsid w:val="000C5EE1"/>
    <w:rsid w:val="000C6279"/>
    <w:rsid w:val="000C7F01"/>
    <w:rsid w:val="000D2CCC"/>
    <w:rsid w:val="000D519C"/>
    <w:rsid w:val="000D6438"/>
    <w:rsid w:val="000E0F62"/>
    <w:rsid w:val="000E288D"/>
    <w:rsid w:val="000E4996"/>
    <w:rsid w:val="001007C3"/>
    <w:rsid w:val="00100BE9"/>
    <w:rsid w:val="001038C8"/>
    <w:rsid w:val="00103B5B"/>
    <w:rsid w:val="0011246A"/>
    <w:rsid w:val="00113018"/>
    <w:rsid w:val="00113659"/>
    <w:rsid w:val="00132885"/>
    <w:rsid w:val="00134B49"/>
    <w:rsid w:val="00135A2C"/>
    <w:rsid w:val="001428F5"/>
    <w:rsid w:val="00151DD8"/>
    <w:rsid w:val="00156554"/>
    <w:rsid w:val="0016074B"/>
    <w:rsid w:val="00170C2E"/>
    <w:rsid w:val="00172240"/>
    <w:rsid w:val="00172E88"/>
    <w:rsid w:val="00180898"/>
    <w:rsid w:val="00187E5A"/>
    <w:rsid w:val="00190D7D"/>
    <w:rsid w:val="00193C57"/>
    <w:rsid w:val="001A1797"/>
    <w:rsid w:val="001A2BAC"/>
    <w:rsid w:val="001B2A19"/>
    <w:rsid w:val="001C2DA9"/>
    <w:rsid w:val="001C6592"/>
    <w:rsid w:val="001D01FC"/>
    <w:rsid w:val="001D1718"/>
    <w:rsid w:val="001D368F"/>
    <w:rsid w:val="001D3F7C"/>
    <w:rsid w:val="001E1B22"/>
    <w:rsid w:val="001E330B"/>
    <w:rsid w:val="001F2FE6"/>
    <w:rsid w:val="001F42E4"/>
    <w:rsid w:val="001F4413"/>
    <w:rsid w:val="001F6E9D"/>
    <w:rsid w:val="0021187E"/>
    <w:rsid w:val="00213614"/>
    <w:rsid w:val="00214D44"/>
    <w:rsid w:val="00222139"/>
    <w:rsid w:val="0022227F"/>
    <w:rsid w:val="00222B7D"/>
    <w:rsid w:val="0022524F"/>
    <w:rsid w:val="002263A1"/>
    <w:rsid w:val="00226593"/>
    <w:rsid w:val="00227ABF"/>
    <w:rsid w:val="0023016E"/>
    <w:rsid w:val="0024166D"/>
    <w:rsid w:val="00241FC5"/>
    <w:rsid w:val="002447C6"/>
    <w:rsid w:val="0025186B"/>
    <w:rsid w:val="00252CEB"/>
    <w:rsid w:val="00254C06"/>
    <w:rsid w:val="002571DE"/>
    <w:rsid w:val="0026093E"/>
    <w:rsid w:val="002719B3"/>
    <w:rsid w:val="00271F5D"/>
    <w:rsid w:val="00273DA2"/>
    <w:rsid w:val="00273FB1"/>
    <w:rsid w:val="00274BF0"/>
    <w:rsid w:val="00275775"/>
    <w:rsid w:val="0027674E"/>
    <w:rsid w:val="002816F7"/>
    <w:rsid w:val="00281A32"/>
    <w:rsid w:val="00283F27"/>
    <w:rsid w:val="00284962"/>
    <w:rsid w:val="00285A7C"/>
    <w:rsid w:val="00292356"/>
    <w:rsid w:val="00292B82"/>
    <w:rsid w:val="002948FA"/>
    <w:rsid w:val="0029683B"/>
    <w:rsid w:val="002A265C"/>
    <w:rsid w:val="002A3EB8"/>
    <w:rsid w:val="002A7EEE"/>
    <w:rsid w:val="002B1CD3"/>
    <w:rsid w:val="002B3B86"/>
    <w:rsid w:val="002C1BA9"/>
    <w:rsid w:val="002C3693"/>
    <w:rsid w:val="002D7204"/>
    <w:rsid w:val="002E67C1"/>
    <w:rsid w:val="002F33F3"/>
    <w:rsid w:val="002F5D70"/>
    <w:rsid w:val="00301A1B"/>
    <w:rsid w:val="003069AC"/>
    <w:rsid w:val="00315058"/>
    <w:rsid w:val="00317742"/>
    <w:rsid w:val="00325D93"/>
    <w:rsid w:val="0033019B"/>
    <w:rsid w:val="003317DA"/>
    <w:rsid w:val="00334D95"/>
    <w:rsid w:val="00335893"/>
    <w:rsid w:val="00337996"/>
    <w:rsid w:val="0034046D"/>
    <w:rsid w:val="00344816"/>
    <w:rsid w:val="00344BED"/>
    <w:rsid w:val="00347B9B"/>
    <w:rsid w:val="00353A18"/>
    <w:rsid w:val="0035548C"/>
    <w:rsid w:val="00357646"/>
    <w:rsid w:val="00360610"/>
    <w:rsid w:val="00360D50"/>
    <w:rsid w:val="00361ED2"/>
    <w:rsid w:val="00363736"/>
    <w:rsid w:val="00364CAC"/>
    <w:rsid w:val="0037154A"/>
    <w:rsid w:val="003759F1"/>
    <w:rsid w:val="00380161"/>
    <w:rsid w:val="0039191B"/>
    <w:rsid w:val="0039204E"/>
    <w:rsid w:val="0039236A"/>
    <w:rsid w:val="00396603"/>
    <w:rsid w:val="0039698E"/>
    <w:rsid w:val="00397DA9"/>
    <w:rsid w:val="003A2EE7"/>
    <w:rsid w:val="003A3259"/>
    <w:rsid w:val="003A6E47"/>
    <w:rsid w:val="003B1530"/>
    <w:rsid w:val="003B3C37"/>
    <w:rsid w:val="003C04E8"/>
    <w:rsid w:val="003C296F"/>
    <w:rsid w:val="003C6C2A"/>
    <w:rsid w:val="003D1315"/>
    <w:rsid w:val="003D17EC"/>
    <w:rsid w:val="003D1BB9"/>
    <w:rsid w:val="003D2A06"/>
    <w:rsid w:val="003E1719"/>
    <w:rsid w:val="003E3E79"/>
    <w:rsid w:val="003E55ED"/>
    <w:rsid w:val="003E5722"/>
    <w:rsid w:val="003F4F25"/>
    <w:rsid w:val="004014FC"/>
    <w:rsid w:val="00403CFD"/>
    <w:rsid w:val="00410C01"/>
    <w:rsid w:val="00412A91"/>
    <w:rsid w:val="004143FF"/>
    <w:rsid w:val="00415AB9"/>
    <w:rsid w:val="0042351E"/>
    <w:rsid w:val="00424010"/>
    <w:rsid w:val="00424471"/>
    <w:rsid w:val="00427CA6"/>
    <w:rsid w:val="0043213C"/>
    <w:rsid w:val="00441953"/>
    <w:rsid w:val="0044612D"/>
    <w:rsid w:val="00452ADB"/>
    <w:rsid w:val="004545C8"/>
    <w:rsid w:val="00455431"/>
    <w:rsid w:val="00461D82"/>
    <w:rsid w:val="004622C9"/>
    <w:rsid w:val="004642D5"/>
    <w:rsid w:val="0046442E"/>
    <w:rsid w:val="004703B6"/>
    <w:rsid w:val="00471FF3"/>
    <w:rsid w:val="004725AB"/>
    <w:rsid w:val="004728A0"/>
    <w:rsid w:val="00475C52"/>
    <w:rsid w:val="004770EE"/>
    <w:rsid w:val="004849A2"/>
    <w:rsid w:val="00490C84"/>
    <w:rsid w:val="00490EAA"/>
    <w:rsid w:val="004A0CA1"/>
    <w:rsid w:val="004A0E90"/>
    <w:rsid w:val="004B4B9B"/>
    <w:rsid w:val="004C3829"/>
    <w:rsid w:val="004C4C0E"/>
    <w:rsid w:val="004D4E8E"/>
    <w:rsid w:val="004E4EB0"/>
    <w:rsid w:val="004E71BC"/>
    <w:rsid w:val="004E7E31"/>
    <w:rsid w:val="004F048C"/>
    <w:rsid w:val="004F05DB"/>
    <w:rsid w:val="004F1AB0"/>
    <w:rsid w:val="004F501F"/>
    <w:rsid w:val="0050049D"/>
    <w:rsid w:val="00500749"/>
    <w:rsid w:val="005011EB"/>
    <w:rsid w:val="0050396F"/>
    <w:rsid w:val="00505851"/>
    <w:rsid w:val="005061A5"/>
    <w:rsid w:val="00522346"/>
    <w:rsid w:val="00522E91"/>
    <w:rsid w:val="00523450"/>
    <w:rsid w:val="00526146"/>
    <w:rsid w:val="00530744"/>
    <w:rsid w:val="005312E8"/>
    <w:rsid w:val="0053343B"/>
    <w:rsid w:val="005347AF"/>
    <w:rsid w:val="00537BEF"/>
    <w:rsid w:val="00543D6B"/>
    <w:rsid w:val="0054522F"/>
    <w:rsid w:val="00545C52"/>
    <w:rsid w:val="005461D2"/>
    <w:rsid w:val="005472DD"/>
    <w:rsid w:val="00547B48"/>
    <w:rsid w:val="00562C17"/>
    <w:rsid w:val="00563865"/>
    <w:rsid w:val="00564AE9"/>
    <w:rsid w:val="00567465"/>
    <w:rsid w:val="00572158"/>
    <w:rsid w:val="00572383"/>
    <w:rsid w:val="00573190"/>
    <w:rsid w:val="005754AA"/>
    <w:rsid w:val="005755FA"/>
    <w:rsid w:val="00576029"/>
    <w:rsid w:val="00581D7E"/>
    <w:rsid w:val="00582696"/>
    <w:rsid w:val="00586174"/>
    <w:rsid w:val="00586B3B"/>
    <w:rsid w:val="005932F5"/>
    <w:rsid w:val="00596E9E"/>
    <w:rsid w:val="005A261E"/>
    <w:rsid w:val="005A4925"/>
    <w:rsid w:val="005A6608"/>
    <w:rsid w:val="005A6A14"/>
    <w:rsid w:val="005B7C2C"/>
    <w:rsid w:val="005B7D1E"/>
    <w:rsid w:val="005C52F4"/>
    <w:rsid w:val="005C7BCA"/>
    <w:rsid w:val="005D0E4B"/>
    <w:rsid w:val="005D282B"/>
    <w:rsid w:val="005D392C"/>
    <w:rsid w:val="005D4B88"/>
    <w:rsid w:val="005E3BA6"/>
    <w:rsid w:val="005E7713"/>
    <w:rsid w:val="005E7FFD"/>
    <w:rsid w:val="005F2960"/>
    <w:rsid w:val="005F3C09"/>
    <w:rsid w:val="00603B47"/>
    <w:rsid w:val="00617B54"/>
    <w:rsid w:val="00621A1D"/>
    <w:rsid w:val="00622977"/>
    <w:rsid w:val="00625B09"/>
    <w:rsid w:val="0062650F"/>
    <w:rsid w:val="00626A0E"/>
    <w:rsid w:val="00627592"/>
    <w:rsid w:val="00631B40"/>
    <w:rsid w:val="00632009"/>
    <w:rsid w:val="0063338A"/>
    <w:rsid w:val="0064550C"/>
    <w:rsid w:val="006467CF"/>
    <w:rsid w:val="006719A9"/>
    <w:rsid w:val="0068133A"/>
    <w:rsid w:val="00682D5F"/>
    <w:rsid w:val="0068583C"/>
    <w:rsid w:val="00685B2C"/>
    <w:rsid w:val="0068642A"/>
    <w:rsid w:val="006910A9"/>
    <w:rsid w:val="0069535B"/>
    <w:rsid w:val="00697B06"/>
    <w:rsid w:val="006A2819"/>
    <w:rsid w:val="006A59FC"/>
    <w:rsid w:val="006A67AD"/>
    <w:rsid w:val="006B21CA"/>
    <w:rsid w:val="006C0123"/>
    <w:rsid w:val="006C026F"/>
    <w:rsid w:val="006C4539"/>
    <w:rsid w:val="006D62E4"/>
    <w:rsid w:val="006E0A3F"/>
    <w:rsid w:val="006E2992"/>
    <w:rsid w:val="006F446B"/>
    <w:rsid w:val="006F614C"/>
    <w:rsid w:val="006F765F"/>
    <w:rsid w:val="00701715"/>
    <w:rsid w:val="00715C77"/>
    <w:rsid w:val="0072307E"/>
    <w:rsid w:val="00726341"/>
    <w:rsid w:val="007303BF"/>
    <w:rsid w:val="00732D38"/>
    <w:rsid w:val="0073612B"/>
    <w:rsid w:val="00742957"/>
    <w:rsid w:val="00742980"/>
    <w:rsid w:val="007438D5"/>
    <w:rsid w:val="00752783"/>
    <w:rsid w:val="0075324C"/>
    <w:rsid w:val="007532FA"/>
    <w:rsid w:val="00755709"/>
    <w:rsid w:val="007629DC"/>
    <w:rsid w:val="00762F9D"/>
    <w:rsid w:val="0077235B"/>
    <w:rsid w:val="00772E45"/>
    <w:rsid w:val="00774EA3"/>
    <w:rsid w:val="00775312"/>
    <w:rsid w:val="0078024C"/>
    <w:rsid w:val="00790217"/>
    <w:rsid w:val="00791F48"/>
    <w:rsid w:val="00793669"/>
    <w:rsid w:val="00793F0F"/>
    <w:rsid w:val="00797962"/>
    <w:rsid w:val="007A2E0A"/>
    <w:rsid w:val="007A647C"/>
    <w:rsid w:val="007C1844"/>
    <w:rsid w:val="007C684E"/>
    <w:rsid w:val="007D0319"/>
    <w:rsid w:val="007D2278"/>
    <w:rsid w:val="007D3C29"/>
    <w:rsid w:val="007D7D9D"/>
    <w:rsid w:val="007D7E33"/>
    <w:rsid w:val="007F0A0B"/>
    <w:rsid w:val="007F6552"/>
    <w:rsid w:val="007F77EC"/>
    <w:rsid w:val="00802115"/>
    <w:rsid w:val="00803466"/>
    <w:rsid w:val="008050D7"/>
    <w:rsid w:val="0080591F"/>
    <w:rsid w:val="0080710E"/>
    <w:rsid w:val="00807440"/>
    <w:rsid w:val="00812868"/>
    <w:rsid w:val="008165CA"/>
    <w:rsid w:val="00825EF1"/>
    <w:rsid w:val="0083067A"/>
    <w:rsid w:val="00837477"/>
    <w:rsid w:val="00837CD6"/>
    <w:rsid w:val="00840029"/>
    <w:rsid w:val="008411CA"/>
    <w:rsid w:val="00842705"/>
    <w:rsid w:val="00843B2B"/>
    <w:rsid w:val="00851C1E"/>
    <w:rsid w:val="0085753E"/>
    <w:rsid w:val="00864303"/>
    <w:rsid w:val="0086431D"/>
    <w:rsid w:val="00865385"/>
    <w:rsid w:val="008679D2"/>
    <w:rsid w:val="00874870"/>
    <w:rsid w:val="008800D3"/>
    <w:rsid w:val="0088099B"/>
    <w:rsid w:val="00886C8E"/>
    <w:rsid w:val="00886EFB"/>
    <w:rsid w:val="0089023F"/>
    <w:rsid w:val="008903DD"/>
    <w:rsid w:val="008917FA"/>
    <w:rsid w:val="00891A5D"/>
    <w:rsid w:val="008952E0"/>
    <w:rsid w:val="008967A5"/>
    <w:rsid w:val="008A2CE7"/>
    <w:rsid w:val="008A6408"/>
    <w:rsid w:val="008B0859"/>
    <w:rsid w:val="008B2B26"/>
    <w:rsid w:val="008B3B4E"/>
    <w:rsid w:val="008B4009"/>
    <w:rsid w:val="008B50A8"/>
    <w:rsid w:val="008B60EB"/>
    <w:rsid w:val="008C1957"/>
    <w:rsid w:val="008C1AFB"/>
    <w:rsid w:val="008C2654"/>
    <w:rsid w:val="008D1620"/>
    <w:rsid w:val="008D5485"/>
    <w:rsid w:val="008E05CF"/>
    <w:rsid w:val="008E0E5F"/>
    <w:rsid w:val="008E3F90"/>
    <w:rsid w:val="008F0AF5"/>
    <w:rsid w:val="008F2E88"/>
    <w:rsid w:val="008F3CCE"/>
    <w:rsid w:val="009009FB"/>
    <w:rsid w:val="009013AC"/>
    <w:rsid w:val="00901932"/>
    <w:rsid w:val="00901B61"/>
    <w:rsid w:val="00905408"/>
    <w:rsid w:val="00914E24"/>
    <w:rsid w:val="009216D3"/>
    <w:rsid w:val="00927D2E"/>
    <w:rsid w:val="00933C2D"/>
    <w:rsid w:val="00937372"/>
    <w:rsid w:val="0094019E"/>
    <w:rsid w:val="009416C1"/>
    <w:rsid w:val="00941911"/>
    <w:rsid w:val="00944964"/>
    <w:rsid w:val="009500FF"/>
    <w:rsid w:val="009510CB"/>
    <w:rsid w:val="009519E5"/>
    <w:rsid w:val="009537AC"/>
    <w:rsid w:val="00955888"/>
    <w:rsid w:val="00963DD3"/>
    <w:rsid w:val="009653D9"/>
    <w:rsid w:val="00966E13"/>
    <w:rsid w:val="00967AFE"/>
    <w:rsid w:val="00972574"/>
    <w:rsid w:val="009818AD"/>
    <w:rsid w:val="00987B8E"/>
    <w:rsid w:val="0099051D"/>
    <w:rsid w:val="009916DE"/>
    <w:rsid w:val="00991C0A"/>
    <w:rsid w:val="009923E3"/>
    <w:rsid w:val="00993A74"/>
    <w:rsid w:val="00995E57"/>
    <w:rsid w:val="00996F80"/>
    <w:rsid w:val="009A38C0"/>
    <w:rsid w:val="009A631A"/>
    <w:rsid w:val="009A697F"/>
    <w:rsid w:val="009A75D3"/>
    <w:rsid w:val="009B0B4F"/>
    <w:rsid w:val="009B20F3"/>
    <w:rsid w:val="009B3877"/>
    <w:rsid w:val="009B43C7"/>
    <w:rsid w:val="009B4C80"/>
    <w:rsid w:val="009B687E"/>
    <w:rsid w:val="009C2768"/>
    <w:rsid w:val="009C39FF"/>
    <w:rsid w:val="009C4569"/>
    <w:rsid w:val="009C7B21"/>
    <w:rsid w:val="009C7D56"/>
    <w:rsid w:val="009D0F94"/>
    <w:rsid w:val="009D6748"/>
    <w:rsid w:val="009D7A16"/>
    <w:rsid w:val="009E3110"/>
    <w:rsid w:val="009E4446"/>
    <w:rsid w:val="009E6190"/>
    <w:rsid w:val="009E769D"/>
    <w:rsid w:val="009F32DB"/>
    <w:rsid w:val="009F618A"/>
    <w:rsid w:val="00A06EC3"/>
    <w:rsid w:val="00A070AA"/>
    <w:rsid w:val="00A113B6"/>
    <w:rsid w:val="00A30D1B"/>
    <w:rsid w:val="00A42833"/>
    <w:rsid w:val="00A4377A"/>
    <w:rsid w:val="00A46B6F"/>
    <w:rsid w:val="00A616A3"/>
    <w:rsid w:val="00A71C17"/>
    <w:rsid w:val="00A76E62"/>
    <w:rsid w:val="00A7789D"/>
    <w:rsid w:val="00A8204F"/>
    <w:rsid w:val="00A87215"/>
    <w:rsid w:val="00A90E17"/>
    <w:rsid w:val="00A96BC4"/>
    <w:rsid w:val="00AA37AC"/>
    <w:rsid w:val="00AA5103"/>
    <w:rsid w:val="00AB05D6"/>
    <w:rsid w:val="00AB107B"/>
    <w:rsid w:val="00AB4F06"/>
    <w:rsid w:val="00AB6B2C"/>
    <w:rsid w:val="00AB7CDE"/>
    <w:rsid w:val="00AC01BA"/>
    <w:rsid w:val="00AD4EDA"/>
    <w:rsid w:val="00AD5561"/>
    <w:rsid w:val="00AD5662"/>
    <w:rsid w:val="00AD5B17"/>
    <w:rsid w:val="00AD71FD"/>
    <w:rsid w:val="00AD730D"/>
    <w:rsid w:val="00AE1BC8"/>
    <w:rsid w:val="00AE42C1"/>
    <w:rsid w:val="00AE5C53"/>
    <w:rsid w:val="00AF055C"/>
    <w:rsid w:val="00AF0F11"/>
    <w:rsid w:val="00B002B4"/>
    <w:rsid w:val="00B02B98"/>
    <w:rsid w:val="00B05893"/>
    <w:rsid w:val="00B073FC"/>
    <w:rsid w:val="00B109C3"/>
    <w:rsid w:val="00B21957"/>
    <w:rsid w:val="00B31E6D"/>
    <w:rsid w:val="00B33E4D"/>
    <w:rsid w:val="00B35030"/>
    <w:rsid w:val="00B35C62"/>
    <w:rsid w:val="00B41891"/>
    <w:rsid w:val="00B42B08"/>
    <w:rsid w:val="00B47EA4"/>
    <w:rsid w:val="00B512C9"/>
    <w:rsid w:val="00B528FA"/>
    <w:rsid w:val="00B7066B"/>
    <w:rsid w:val="00B7077D"/>
    <w:rsid w:val="00B71DD4"/>
    <w:rsid w:val="00B73095"/>
    <w:rsid w:val="00B8061C"/>
    <w:rsid w:val="00B84B89"/>
    <w:rsid w:val="00B90A20"/>
    <w:rsid w:val="00B9207B"/>
    <w:rsid w:val="00B943F9"/>
    <w:rsid w:val="00BA21AB"/>
    <w:rsid w:val="00BB6A86"/>
    <w:rsid w:val="00BB70AA"/>
    <w:rsid w:val="00BC18E4"/>
    <w:rsid w:val="00BC449D"/>
    <w:rsid w:val="00BC48AB"/>
    <w:rsid w:val="00BD1E51"/>
    <w:rsid w:val="00BD2A60"/>
    <w:rsid w:val="00BD5983"/>
    <w:rsid w:val="00BD7C17"/>
    <w:rsid w:val="00BE5523"/>
    <w:rsid w:val="00BE72AB"/>
    <w:rsid w:val="00BF114D"/>
    <w:rsid w:val="00BF315E"/>
    <w:rsid w:val="00BF3B87"/>
    <w:rsid w:val="00BF609F"/>
    <w:rsid w:val="00C011B5"/>
    <w:rsid w:val="00C14262"/>
    <w:rsid w:val="00C152BF"/>
    <w:rsid w:val="00C20F33"/>
    <w:rsid w:val="00C25484"/>
    <w:rsid w:val="00C35723"/>
    <w:rsid w:val="00C358F6"/>
    <w:rsid w:val="00C37CAC"/>
    <w:rsid w:val="00C37CB9"/>
    <w:rsid w:val="00C5245C"/>
    <w:rsid w:val="00C53871"/>
    <w:rsid w:val="00C55C2A"/>
    <w:rsid w:val="00C61D27"/>
    <w:rsid w:val="00C6217E"/>
    <w:rsid w:val="00C63BA7"/>
    <w:rsid w:val="00C64FD4"/>
    <w:rsid w:val="00C70E4B"/>
    <w:rsid w:val="00C72B6C"/>
    <w:rsid w:val="00C84CC9"/>
    <w:rsid w:val="00C91B80"/>
    <w:rsid w:val="00C9224B"/>
    <w:rsid w:val="00C9235E"/>
    <w:rsid w:val="00C964DC"/>
    <w:rsid w:val="00CA3B69"/>
    <w:rsid w:val="00CA3E0D"/>
    <w:rsid w:val="00CB46B8"/>
    <w:rsid w:val="00CB490E"/>
    <w:rsid w:val="00CB4CE6"/>
    <w:rsid w:val="00CB5958"/>
    <w:rsid w:val="00CB6F51"/>
    <w:rsid w:val="00CC288C"/>
    <w:rsid w:val="00CD0C50"/>
    <w:rsid w:val="00CD2066"/>
    <w:rsid w:val="00CD20AF"/>
    <w:rsid w:val="00CD4178"/>
    <w:rsid w:val="00CE36F0"/>
    <w:rsid w:val="00CE38D1"/>
    <w:rsid w:val="00CE7E1F"/>
    <w:rsid w:val="00CF7F35"/>
    <w:rsid w:val="00D0166B"/>
    <w:rsid w:val="00D031EE"/>
    <w:rsid w:val="00D23301"/>
    <w:rsid w:val="00D234F3"/>
    <w:rsid w:val="00D25A94"/>
    <w:rsid w:val="00D263FA"/>
    <w:rsid w:val="00D4241B"/>
    <w:rsid w:val="00D43EB0"/>
    <w:rsid w:val="00D45629"/>
    <w:rsid w:val="00D477BE"/>
    <w:rsid w:val="00D51A16"/>
    <w:rsid w:val="00D52851"/>
    <w:rsid w:val="00D57F3A"/>
    <w:rsid w:val="00D61551"/>
    <w:rsid w:val="00D65B63"/>
    <w:rsid w:val="00D66D40"/>
    <w:rsid w:val="00D67E06"/>
    <w:rsid w:val="00D74712"/>
    <w:rsid w:val="00D763A4"/>
    <w:rsid w:val="00D8011F"/>
    <w:rsid w:val="00D843CE"/>
    <w:rsid w:val="00D84C8B"/>
    <w:rsid w:val="00DA0DEC"/>
    <w:rsid w:val="00DA1F85"/>
    <w:rsid w:val="00DA20D6"/>
    <w:rsid w:val="00DA4A13"/>
    <w:rsid w:val="00DA5386"/>
    <w:rsid w:val="00DA541C"/>
    <w:rsid w:val="00DA69F3"/>
    <w:rsid w:val="00DA72CF"/>
    <w:rsid w:val="00DB5230"/>
    <w:rsid w:val="00DB5418"/>
    <w:rsid w:val="00DB6C49"/>
    <w:rsid w:val="00DB7DE4"/>
    <w:rsid w:val="00DC0CA9"/>
    <w:rsid w:val="00DC67DF"/>
    <w:rsid w:val="00DC7330"/>
    <w:rsid w:val="00DC74FA"/>
    <w:rsid w:val="00DD5D88"/>
    <w:rsid w:val="00DD776A"/>
    <w:rsid w:val="00DE0AA1"/>
    <w:rsid w:val="00DE0AC1"/>
    <w:rsid w:val="00DE0FE3"/>
    <w:rsid w:val="00DE2025"/>
    <w:rsid w:val="00DF3197"/>
    <w:rsid w:val="00DF4E28"/>
    <w:rsid w:val="00DF6A10"/>
    <w:rsid w:val="00E052AD"/>
    <w:rsid w:val="00E11DD5"/>
    <w:rsid w:val="00E146ED"/>
    <w:rsid w:val="00E15515"/>
    <w:rsid w:val="00E2174F"/>
    <w:rsid w:val="00E21812"/>
    <w:rsid w:val="00E30AE1"/>
    <w:rsid w:val="00E33DBB"/>
    <w:rsid w:val="00E40D2C"/>
    <w:rsid w:val="00E41202"/>
    <w:rsid w:val="00E427A3"/>
    <w:rsid w:val="00E4433F"/>
    <w:rsid w:val="00E47933"/>
    <w:rsid w:val="00E47AFE"/>
    <w:rsid w:val="00E5097D"/>
    <w:rsid w:val="00E67653"/>
    <w:rsid w:val="00E67D24"/>
    <w:rsid w:val="00E70B22"/>
    <w:rsid w:val="00E73FEB"/>
    <w:rsid w:val="00E75A72"/>
    <w:rsid w:val="00E76F9E"/>
    <w:rsid w:val="00E80CEB"/>
    <w:rsid w:val="00E854EF"/>
    <w:rsid w:val="00E9137B"/>
    <w:rsid w:val="00E92944"/>
    <w:rsid w:val="00E967F9"/>
    <w:rsid w:val="00E97A8E"/>
    <w:rsid w:val="00EA17CC"/>
    <w:rsid w:val="00EA561D"/>
    <w:rsid w:val="00EB3DDB"/>
    <w:rsid w:val="00EC60C8"/>
    <w:rsid w:val="00EC685F"/>
    <w:rsid w:val="00EC73F3"/>
    <w:rsid w:val="00EE185B"/>
    <w:rsid w:val="00EE2D6D"/>
    <w:rsid w:val="00EE2F5A"/>
    <w:rsid w:val="00EF7863"/>
    <w:rsid w:val="00F0172B"/>
    <w:rsid w:val="00F02DF9"/>
    <w:rsid w:val="00F05355"/>
    <w:rsid w:val="00F114AF"/>
    <w:rsid w:val="00F11789"/>
    <w:rsid w:val="00F12D08"/>
    <w:rsid w:val="00F12E35"/>
    <w:rsid w:val="00F15A24"/>
    <w:rsid w:val="00F17A30"/>
    <w:rsid w:val="00F23364"/>
    <w:rsid w:val="00F23AA1"/>
    <w:rsid w:val="00F23DE5"/>
    <w:rsid w:val="00F314AC"/>
    <w:rsid w:val="00F344A9"/>
    <w:rsid w:val="00F362B3"/>
    <w:rsid w:val="00F365FC"/>
    <w:rsid w:val="00F36D94"/>
    <w:rsid w:val="00F43B1A"/>
    <w:rsid w:val="00F43FAD"/>
    <w:rsid w:val="00F453CF"/>
    <w:rsid w:val="00F47D76"/>
    <w:rsid w:val="00F50566"/>
    <w:rsid w:val="00F52AAE"/>
    <w:rsid w:val="00F53059"/>
    <w:rsid w:val="00F56781"/>
    <w:rsid w:val="00F649B5"/>
    <w:rsid w:val="00F7351A"/>
    <w:rsid w:val="00F751E4"/>
    <w:rsid w:val="00F7573A"/>
    <w:rsid w:val="00F76BE3"/>
    <w:rsid w:val="00F91BB1"/>
    <w:rsid w:val="00F91E99"/>
    <w:rsid w:val="00F946E8"/>
    <w:rsid w:val="00F95EA9"/>
    <w:rsid w:val="00FA4147"/>
    <w:rsid w:val="00FA43EC"/>
    <w:rsid w:val="00FA68FB"/>
    <w:rsid w:val="00FA6B2A"/>
    <w:rsid w:val="00FB2738"/>
    <w:rsid w:val="00FB293C"/>
    <w:rsid w:val="00FB3351"/>
    <w:rsid w:val="00FB34A3"/>
    <w:rsid w:val="00FB521B"/>
    <w:rsid w:val="00FB5F4B"/>
    <w:rsid w:val="00FB68CB"/>
    <w:rsid w:val="00FB7C06"/>
    <w:rsid w:val="00FC1EC5"/>
    <w:rsid w:val="00FC409F"/>
    <w:rsid w:val="00FC6306"/>
    <w:rsid w:val="00FD1E5F"/>
    <w:rsid w:val="00FD39DF"/>
    <w:rsid w:val="00FD703E"/>
    <w:rsid w:val="00FE4922"/>
    <w:rsid w:val="00FE5DFE"/>
    <w:rsid w:val="00FE617D"/>
    <w:rsid w:val="00FF0C47"/>
    <w:rsid w:val="00FF1A47"/>
    <w:rsid w:val="00FF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line="480" w:lineRule="auto"/>
        <w:ind w:left="230"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21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21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57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7D24"/>
    <w:pPr>
      <w:spacing w:line="240" w:lineRule="auto"/>
    </w:pPr>
    <w:rPr>
      <w:sz w:val="20"/>
      <w:szCs w:val="20"/>
    </w:rPr>
  </w:style>
  <w:style w:type="character" w:customStyle="1" w:styleId="FootnoteTextChar">
    <w:name w:val="Footnote Text Char"/>
    <w:basedOn w:val="DefaultParagraphFont"/>
    <w:link w:val="FootnoteText"/>
    <w:uiPriority w:val="99"/>
    <w:semiHidden/>
    <w:rsid w:val="00E67D24"/>
    <w:rPr>
      <w:sz w:val="20"/>
      <w:szCs w:val="20"/>
    </w:rPr>
  </w:style>
  <w:style w:type="character" w:styleId="FootnoteReference">
    <w:name w:val="footnote reference"/>
    <w:basedOn w:val="DefaultParagraphFont"/>
    <w:uiPriority w:val="99"/>
    <w:semiHidden/>
    <w:unhideWhenUsed/>
    <w:rsid w:val="00E67D24"/>
    <w:rPr>
      <w:vertAlign w:val="superscript"/>
    </w:rPr>
  </w:style>
  <w:style w:type="paragraph" w:styleId="Header">
    <w:name w:val="header"/>
    <w:basedOn w:val="Normal"/>
    <w:link w:val="HeaderChar"/>
    <w:uiPriority w:val="99"/>
    <w:unhideWhenUsed/>
    <w:rsid w:val="000C5EE1"/>
    <w:pPr>
      <w:tabs>
        <w:tab w:val="center" w:pos="4513"/>
        <w:tab w:val="right" w:pos="9026"/>
      </w:tabs>
      <w:spacing w:line="240" w:lineRule="auto"/>
    </w:pPr>
  </w:style>
  <w:style w:type="character" w:customStyle="1" w:styleId="HeaderChar">
    <w:name w:val="Header Char"/>
    <w:basedOn w:val="DefaultParagraphFont"/>
    <w:link w:val="Header"/>
    <w:uiPriority w:val="99"/>
    <w:rsid w:val="000C5EE1"/>
  </w:style>
  <w:style w:type="paragraph" w:styleId="Footer">
    <w:name w:val="footer"/>
    <w:basedOn w:val="Normal"/>
    <w:link w:val="FooterChar"/>
    <w:uiPriority w:val="99"/>
    <w:unhideWhenUsed/>
    <w:rsid w:val="000C5EE1"/>
    <w:pPr>
      <w:tabs>
        <w:tab w:val="center" w:pos="4513"/>
        <w:tab w:val="right" w:pos="9026"/>
      </w:tabs>
      <w:spacing w:line="240" w:lineRule="auto"/>
    </w:pPr>
  </w:style>
  <w:style w:type="character" w:customStyle="1" w:styleId="FooterChar">
    <w:name w:val="Footer Char"/>
    <w:basedOn w:val="DefaultParagraphFont"/>
    <w:link w:val="Footer"/>
    <w:uiPriority w:val="99"/>
    <w:rsid w:val="000C5EE1"/>
  </w:style>
  <w:style w:type="paragraph" w:styleId="NormalWeb">
    <w:name w:val="Normal (Web)"/>
    <w:basedOn w:val="Normal"/>
    <w:uiPriority w:val="99"/>
    <w:semiHidden/>
    <w:unhideWhenUsed/>
    <w:rsid w:val="00172E88"/>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21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21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572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770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0EE"/>
    <w:rPr>
      <w:rFonts w:ascii="Tahoma" w:hAnsi="Tahoma" w:cs="Tahoma"/>
      <w:sz w:val="16"/>
      <w:szCs w:val="16"/>
    </w:rPr>
  </w:style>
  <w:style w:type="paragraph" w:styleId="BodyText">
    <w:name w:val="Body Text"/>
    <w:basedOn w:val="Normal"/>
    <w:link w:val="BodyTextChar"/>
    <w:semiHidden/>
    <w:unhideWhenUsed/>
    <w:rsid w:val="00AE42C1"/>
    <w:pPr>
      <w:spacing w:after="120" w:line="240" w:lineRule="auto"/>
      <w:ind w:left="0"/>
    </w:pPr>
    <w:rPr>
      <w:rFonts w:ascii="Calibri" w:eastAsia="Times New Roman" w:hAnsi="Calibri" w:cs="Times New Roman"/>
      <w:szCs w:val="20"/>
      <w:lang w:eastAsia="en-US"/>
    </w:rPr>
  </w:style>
  <w:style w:type="character" w:customStyle="1" w:styleId="BodyTextChar">
    <w:name w:val="Body Text Char"/>
    <w:basedOn w:val="DefaultParagraphFont"/>
    <w:link w:val="BodyText"/>
    <w:semiHidden/>
    <w:rsid w:val="00AE42C1"/>
    <w:rPr>
      <w:rFonts w:ascii="Calibri" w:eastAsia="Times New Roman" w:hAnsi="Calibri" w:cs="Times New Roman"/>
      <w:szCs w:val="20"/>
      <w:lang w:eastAsia="en-US"/>
    </w:rPr>
  </w:style>
  <w:style w:type="paragraph" w:styleId="ListBullet2">
    <w:name w:val="List Bullet 2"/>
    <w:basedOn w:val="Normal"/>
    <w:semiHidden/>
    <w:unhideWhenUsed/>
    <w:rsid w:val="00AE42C1"/>
    <w:pPr>
      <w:numPr>
        <w:numId w:val="1"/>
      </w:numPr>
      <w:spacing w:line="240" w:lineRule="auto"/>
    </w:pPr>
    <w:rPr>
      <w:rFonts w:ascii="Calibri" w:eastAsia="Times New Roman" w:hAnsi="Calibri" w:cs="Times New Roman"/>
      <w:szCs w:val="20"/>
      <w:lang w:eastAsia="en-US"/>
    </w:rPr>
  </w:style>
  <w:style w:type="paragraph" w:customStyle="1" w:styleId="Tablefont">
    <w:name w:val="Table font"/>
    <w:basedOn w:val="Normal"/>
    <w:rsid w:val="00AE42C1"/>
    <w:pPr>
      <w:spacing w:after="120" w:line="240" w:lineRule="auto"/>
      <w:ind w:left="0"/>
    </w:pPr>
    <w:rPr>
      <w:rFonts w:ascii="Arial Narrow" w:eastAsia="Times New Roman" w:hAnsi="Arial Narrow" w:cs="Times New Roman"/>
      <w:szCs w:val="20"/>
      <w:lang w:eastAsia="en-US"/>
    </w:rPr>
  </w:style>
  <w:style w:type="paragraph" w:styleId="EndnoteText">
    <w:name w:val="endnote text"/>
    <w:basedOn w:val="Normal"/>
    <w:link w:val="EndnoteTextChar"/>
    <w:uiPriority w:val="99"/>
    <w:semiHidden/>
    <w:unhideWhenUsed/>
    <w:rsid w:val="00682D5F"/>
    <w:pPr>
      <w:spacing w:line="240" w:lineRule="auto"/>
    </w:pPr>
    <w:rPr>
      <w:sz w:val="20"/>
      <w:szCs w:val="20"/>
    </w:rPr>
  </w:style>
  <w:style w:type="character" w:customStyle="1" w:styleId="EndnoteTextChar">
    <w:name w:val="Endnote Text Char"/>
    <w:basedOn w:val="DefaultParagraphFont"/>
    <w:link w:val="EndnoteText"/>
    <w:uiPriority w:val="99"/>
    <w:semiHidden/>
    <w:rsid w:val="00682D5F"/>
    <w:rPr>
      <w:sz w:val="20"/>
      <w:szCs w:val="20"/>
    </w:rPr>
  </w:style>
  <w:style w:type="character" w:styleId="EndnoteReference">
    <w:name w:val="endnote reference"/>
    <w:basedOn w:val="DefaultParagraphFont"/>
    <w:uiPriority w:val="99"/>
    <w:semiHidden/>
    <w:unhideWhenUsed/>
    <w:rsid w:val="00682D5F"/>
    <w:rPr>
      <w:vertAlign w:val="superscript"/>
    </w:rPr>
  </w:style>
  <w:style w:type="paragraph" w:styleId="ListParagraph">
    <w:name w:val="List Paragraph"/>
    <w:basedOn w:val="Normal"/>
    <w:uiPriority w:val="34"/>
    <w:qFormat/>
    <w:rsid w:val="009C7D56"/>
    <w:pPr>
      <w:ind w:left="720"/>
      <w:contextualSpacing/>
    </w:pPr>
  </w:style>
  <w:style w:type="paragraph" w:customStyle="1" w:styleId="Bibliography2">
    <w:name w:val="Bibliography2"/>
    <w:basedOn w:val="Normal"/>
    <w:uiPriority w:val="99"/>
    <w:rsid w:val="0029683B"/>
    <w:pPr>
      <w:tabs>
        <w:tab w:val="left" w:pos="1440"/>
      </w:tabs>
      <w:spacing w:after="120" w:line="240" w:lineRule="auto"/>
      <w:ind w:left="720" w:hanging="720"/>
    </w:pPr>
    <w:rPr>
      <w:rFonts w:ascii="Calibri" w:eastAsia="Calibri" w:hAnsi="Calibri" w:cs="Calibri"/>
      <w:lang w:eastAsia="en-US"/>
    </w:rPr>
  </w:style>
  <w:style w:type="character" w:styleId="Emphasis">
    <w:name w:val="Emphasis"/>
    <w:basedOn w:val="DefaultParagraphFont"/>
    <w:uiPriority w:val="20"/>
    <w:qFormat/>
    <w:rsid w:val="009C39FF"/>
    <w:rPr>
      <w:i/>
      <w:iCs/>
    </w:rPr>
  </w:style>
  <w:style w:type="character" w:styleId="Hyperlink">
    <w:name w:val="Hyperlink"/>
    <w:uiPriority w:val="99"/>
    <w:unhideWhenUsed/>
    <w:rsid w:val="009C39FF"/>
    <w:rPr>
      <w:color w:val="0000FF"/>
      <w:u w:val="single"/>
    </w:rPr>
  </w:style>
  <w:style w:type="character" w:styleId="CommentReference">
    <w:name w:val="annotation reference"/>
    <w:basedOn w:val="DefaultParagraphFont"/>
    <w:uiPriority w:val="99"/>
    <w:semiHidden/>
    <w:unhideWhenUsed/>
    <w:rsid w:val="00FB5F4B"/>
    <w:rPr>
      <w:sz w:val="16"/>
      <w:szCs w:val="16"/>
    </w:rPr>
  </w:style>
  <w:style w:type="paragraph" w:styleId="CommentText">
    <w:name w:val="annotation text"/>
    <w:basedOn w:val="Normal"/>
    <w:link w:val="CommentTextChar"/>
    <w:uiPriority w:val="99"/>
    <w:semiHidden/>
    <w:unhideWhenUsed/>
    <w:rsid w:val="00FB5F4B"/>
    <w:pPr>
      <w:spacing w:line="240" w:lineRule="auto"/>
    </w:pPr>
    <w:rPr>
      <w:sz w:val="20"/>
      <w:szCs w:val="20"/>
    </w:rPr>
  </w:style>
  <w:style w:type="character" w:customStyle="1" w:styleId="CommentTextChar">
    <w:name w:val="Comment Text Char"/>
    <w:basedOn w:val="DefaultParagraphFont"/>
    <w:link w:val="CommentText"/>
    <w:uiPriority w:val="99"/>
    <w:semiHidden/>
    <w:rsid w:val="00FB5F4B"/>
    <w:rPr>
      <w:sz w:val="20"/>
      <w:szCs w:val="20"/>
    </w:rPr>
  </w:style>
  <w:style w:type="paragraph" w:styleId="CommentSubject">
    <w:name w:val="annotation subject"/>
    <w:basedOn w:val="CommentText"/>
    <w:next w:val="CommentText"/>
    <w:link w:val="CommentSubjectChar"/>
    <w:uiPriority w:val="99"/>
    <w:semiHidden/>
    <w:unhideWhenUsed/>
    <w:rsid w:val="00FB5F4B"/>
    <w:rPr>
      <w:b/>
      <w:bCs/>
    </w:rPr>
  </w:style>
  <w:style w:type="character" w:customStyle="1" w:styleId="CommentSubjectChar">
    <w:name w:val="Comment Subject Char"/>
    <w:basedOn w:val="CommentTextChar"/>
    <w:link w:val="CommentSubject"/>
    <w:uiPriority w:val="99"/>
    <w:semiHidden/>
    <w:rsid w:val="00FB5F4B"/>
    <w:rPr>
      <w:b/>
      <w:bCs/>
      <w:sz w:val="20"/>
      <w:szCs w:val="20"/>
    </w:rPr>
  </w:style>
  <w:style w:type="paragraph" w:customStyle="1" w:styleId="Default">
    <w:name w:val="Default"/>
    <w:rsid w:val="009C7B21"/>
    <w:pPr>
      <w:autoSpaceDE w:val="0"/>
      <w:autoSpaceDN w:val="0"/>
      <w:adjustRightInd w:val="0"/>
      <w:spacing w:line="240" w:lineRule="auto"/>
      <w:ind w:left="0" w:firstLine="0"/>
    </w:pPr>
    <w:rPr>
      <w:rFonts w:ascii="Times New Roman"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line="480" w:lineRule="auto"/>
        <w:ind w:left="230"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21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21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57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7D24"/>
    <w:pPr>
      <w:spacing w:line="240" w:lineRule="auto"/>
    </w:pPr>
    <w:rPr>
      <w:sz w:val="20"/>
      <w:szCs w:val="20"/>
    </w:rPr>
  </w:style>
  <w:style w:type="character" w:customStyle="1" w:styleId="FootnoteTextChar">
    <w:name w:val="Footnote Text Char"/>
    <w:basedOn w:val="DefaultParagraphFont"/>
    <w:link w:val="FootnoteText"/>
    <w:uiPriority w:val="99"/>
    <w:semiHidden/>
    <w:rsid w:val="00E67D24"/>
    <w:rPr>
      <w:sz w:val="20"/>
      <w:szCs w:val="20"/>
    </w:rPr>
  </w:style>
  <w:style w:type="character" w:styleId="FootnoteReference">
    <w:name w:val="footnote reference"/>
    <w:basedOn w:val="DefaultParagraphFont"/>
    <w:uiPriority w:val="99"/>
    <w:semiHidden/>
    <w:unhideWhenUsed/>
    <w:rsid w:val="00E67D24"/>
    <w:rPr>
      <w:vertAlign w:val="superscript"/>
    </w:rPr>
  </w:style>
  <w:style w:type="paragraph" w:styleId="Header">
    <w:name w:val="header"/>
    <w:basedOn w:val="Normal"/>
    <w:link w:val="HeaderChar"/>
    <w:uiPriority w:val="99"/>
    <w:unhideWhenUsed/>
    <w:rsid w:val="000C5EE1"/>
    <w:pPr>
      <w:tabs>
        <w:tab w:val="center" w:pos="4513"/>
        <w:tab w:val="right" w:pos="9026"/>
      </w:tabs>
      <w:spacing w:line="240" w:lineRule="auto"/>
    </w:pPr>
  </w:style>
  <w:style w:type="character" w:customStyle="1" w:styleId="HeaderChar">
    <w:name w:val="Header Char"/>
    <w:basedOn w:val="DefaultParagraphFont"/>
    <w:link w:val="Header"/>
    <w:uiPriority w:val="99"/>
    <w:rsid w:val="000C5EE1"/>
  </w:style>
  <w:style w:type="paragraph" w:styleId="Footer">
    <w:name w:val="footer"/>
    <w:basedOn w:val="Normal"/>
    <w:link w:val="FooterChar"/>
    <w:uiPriority w:val="99"/>
    <w:unhideWhenUsed/>
    <w:rsid w:val="000C5EE1"/>
    <w:pPr>
      <w:tabs>
        <w:tab w:val="center" w:pos="4513"/>
        <w:tab w:val="right" w:pos="9026"/>
      </w:tabs>
      <w:spacing w:line="240" w:lineRule="auto"/>
    </w:pPr>
  </w:style>
  <w:style w:type="character" w:customStyle="1" w:styleId="FooterChar">
    <w:name w:val="Footer Char"/>
    <w:basedOn w:val="DefaultParagraphFont"/>
    <w:link w:val="Footer"/>
    <w:uiPriority w:val="99"/>
    <w:rsid w:val="000C5EE1"/>
  </w:style>
  <w:style w:type="paragraph" w:styleId="NormalWeb">
    <w:name w:val="Normal (Web)"/>
    <w:basedOn w:val="Normal"/>
    <w:uiPriority w:val="99"/>
    <w:semiHidden/>
    <w:unhideWhenUsed/>
    <w:rsid w:val="00172E88"/>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21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21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572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770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0EE"/>
    <w:rPr>
      <w:rFonts w:ascii="Tahoma" w:hAnsi="Tahoma" w:cs="Tahoma"/>
      <w:sz w:val="16"/>
      <w:szCs w:val="16"/>
    </w:rPr>
  </w:style>
  <w:style w:type="paragraph" w:styleId="BodyText">
    <w:name w:val="Body Text"/>
    <w:basedOn w:val="Normal"/>
    <w:link w:val="BodyTextChar"/>
    <w:semiHidden/>
    <w:unhideWhenUsed/>
    <w:rsid w:val="00AE42C1"/>
    <w:pPr>
      <w:spacing w:after="120" w:line="240" w:lineRule="auto"/>
      <w:ind w:left="0"/>
    </w:pPr>
    <w:rPr>
      <w:rFonts w:ascii="Calibri" w:eastAsia="Times New Roman" w:hAnsi="Calibri" w:cs="Times New Roman"/>
      <w:szCs w:val="20"/>
      <w:lang w:eastAsia="en-US"/>
    </w:rPr>
  </w:style>
  <w:style w:type="character" w:customStyle="1" w:styleId="BodyTextChar">
    <w:name w:val="Body Text Char"/>
    <w:basedOn w:val="DefaultParagraphFont"/>
    <w:link w:val="BodyText"/>
    <w:semiHidden/>
    <w:rsid w:val="00AE42C1"/>
    <w:rPr>
      <w:rFonts w:ascii="Calibri" w:eastAsia="Times New Roman" w:hAnsi="Calibri" w:cs="Times New Roman"/>
      <w:szCs w:val="20"/>
      <w:lang w:eastAsia="en-US"/>
    </w:rPr>
  </w:style>
  <w:style w:type="paragraph" w:styleId="ListBullet2">
    <w:name w:val="List Bullet 2"/>
    <w:basedOn w:val="Normal"/>
    <w:semiHidden/>
    <w:unhideWhenUsed/>
    <w:rsid w:val="00AE42C1"/>
    <w:pPr>
      <w:numPr>
        <w:numId w:val="1"/>
      </w:numPr>
      <w:spacing w:line="240" w:lineRule="auto"/>
    </w:pPr>
    <w:rPr>
      <w:rFonts w:ascii="Calibri" w:eastAsia="Times New Roman" w:hAnsi="Calibri" w:cs="Times New Roman"/>
      <w:szCs w:val="20"/>
      <w:lang w:eastAsia="en-US"/>
    </w:rPr>
  </w:style>
  <w:style w:type="paragraph" w:customStyle="1" w:styleId="Tablefont">
    <w:name w:val="Table font"/>
    <w:basedOn w:val="Normal"/>
    <w:rsid w:val="00AE42C1"/>
    <w:pPr>
      <w:spacing w:after="120" w:line="240" w:lineRule="auto"/>
      <w:ind w:left="0"/>
    </w:pPr>
    <w:rPr>
      <w:rFonts w:ascii="Arial Narrow" w:eastAsia="Times New Roman" w:hAnsi="Arial Narrow" w:cs="Times New Roman"/>
      <w:szCs w:val="20"/>
      <w:lang w:eastAsia="en-US"/>
    </w:rPr>
  </w:style>
  <w:style w:type="paragraph" w:styleId="EndnoteText">
    <w:name w:val="endnote text"/>
    <w:basedOn w:val="Normal"/>
    <w:link w:val="EndnoteTextChar"/>
    <w:uiPriority w:val="99"/>
    <w:semiHidden/>
    <w:unhideWhenUsed/>
    <w:rsid w:val="00682D5F"/>
    <w:pPr>
      <w:spacing w:line="240" w:lineRule="auto"/>
    </w:pPr>
    <w:rPr>
      <w:sz w:val="20"/>
      <w:szCs w:val="20"/>
    </w:rPr>
  </w:style>
  <w:style w:type="character" w:customStyle="1" w:styleId="EndnoteTextChar">
    <w:name w:val="Endnote Text Char"/>
    <w:basedOn w:val="DefaultParagraphFont"/>
    <w:link w:val="EndnoteText"/>
    <w:uiPriority w:val="99"/>
    <w:semiHidden/>
    <w:rsid w:val="00682D5F"/>
    <w:rPr>
      <w:sz w:val="20"/>
      <w:szCs w:val="20"/>
    </w:rPr>
  </w:style>
  <w:style w:type="character" w:styleId="EndnoteReference">
    <w:name w:val="endnote reference"/>
    <w:basedOn w:val="DefaultParagraphFont"/>
    <w:uiPriority w:val="99"/>
    <w:semiHidden/>
    <w:unhideWhenUsed/>
    <w:rsid w:val="00682D5F"/>
    <w:rPr>
      <w:vertAlign w:val="superscript"/>
    </w:rPr>
  </w:style>
  <w:style w:type="paragraph" w:styleId="ListParagraph">
    <w:name w:val="List Paragraph"/>
    <w:basedOn w:val="Normal"/>
    <w:uiPriority w:val="34"/>
    <w:qFormat/>
    <w:rsid w:val="009C7D56"/>
    <w:pPr>
      <w:ind w:left="720"/>
      <w:contextualSpacing/>
    </w:pPr>
  </w:style>
  <w:style w:type="paragraph" w:customStyle="1" w:styleId="Bibliography2">
    <w:name w:val="Bibliography2"/>
    <w:basedOn w:val="Normal"/>
    <w:uiPriority w:val="99"/>
    <w:rsid w:val="0029683B"/>
    <w:pPr>
      <w:tabs>
        <w:tab w:val="left" w:pos="1440"/>
      </w:tabs>
      <w:spacing w:after="120" w:line="240" w:lineRule="auto"/>
      <w:ind w:left="720" w:hanging="720"/>
    </w:pPr>
    <w:rPr>
      <w:rFonts w:ascii="Calibri" w:eastAsia="Calibri" w:hAnsi="Calibri" w:cs="Calibri"/>
      <w:lang w:eastAsia="en-US"/>
    </w:rPr>
  </w:style>
  <w:style w:type="character" w:styleId="Emphasis">
    <w:name w:val="Emphasis"/>
    <w:basedOn w:val="DefaultParagraphFont"/>
    <w:uiPriority w:val="20"/>
    <w:qFormat/>
    <w:rsid w:val="009C39FF"/>
    <w:rPr>
      <w:i/>
      <w:iCs/>
    </w:rPr>
  </w:style>
  <w:style w:type="character" w:styleId="Hyperlink">
    <w:name w:val="Hyperlink"/>
    <w:uiPriority w:val="99"/>
    <w:unhideWhenUsed/>
    <w:rsid w:val="009C39FF"/>
    <w:rPr>
      <w:color w:val="0000FF"/>
      <w:u w:val="single"/>
    </w:rPr>
  </w:style>
  <w:style w:type="character" w:styleId="CommentReference">
    <w:name w:val="annotation reference"/>
    <w:basedOn w:val="DefaultParagraphFont"/>
    <w:uiPriority w:val="99"/>
    <w:semiHidden/>
    <w:unhideWhenUsed/>
    <w:rsid w:val="00FB5F4B"/>
    <w:rPr>
      <w:sz w:val="16"/>
      <w:szCs w:val="16"/>
    </w:rPr>
  </w:style>
  <w:style w:type="paragraph" w:styleId="CommentText">
    <w:name w:val="annotation text"/>
    <w:basedOn w:val="Normal"/>
    <w:link w:val="CommentTextChar"/>
    <w:uiPriority w:val="99"/>
    <w:semiHidden/>
    <w:unhideWhenUsed/>
    <w:rsid w:val="00FB5F4B"/>
    <w:pPr>
      <w:spacing w:line="240" w:lineRule="auto"/>
    </w:pPr>
    <w:rPr>
      <w:sz w:val="20"/>
      <w:szCs w:val="20"/>
    </w:rPr>
  </w:style>
  <w:style w:type="character" w:customStyle="1" w:styleId="CommentTextChar">
    <w:name w:val="Comment Text Char"/>
    <w:basedOn w:val="DefaultParagraphFont"/>
    <w:link w:val="CommentText"/>
    <w:uiPriority w:val="99"/>
    <w:semiHidden/>
    <w:rsid w:val="00FB5F4B"/>
    <w:rPr>
      <w:sz w:val="20"/>
      <w:szCs w:val="20"/>
    </w:rPr>
  </w:style>
  <w:style w:type="paragraph" w:styleId="CommentSubject">
    <w:name w:val="annotation subject"/>
    <w:basedOn w:val="CommentText"/>
    <w:next w:val="CommentText"/>
    <w:link w:val="CommentSubjectChar"/>
    <w:uiPriority w:val="99"/>
    <w:semiHidden/>
    <w:unhideWhenUsed/>
    <w:rsid w:val="00FB5F4B"/>
    <w:rPr>
      <w:b/>
      <w:bCs/>
    </w:rPr>
  </w:style>
  <w:style w:type="character" w:customStyle="1" w:styleId="CommentSubjectChar">
    <w:name w:val="Comment Subject Char"/>
    <w:basedOn w:val="CommentTextChar"/>
    <w:link w:val="CommentSubject"/>
    <w:uiPriority w:val="99"/>
    <w:semiHidden/>
    <w:rsid w:val="00FB5F4B"/>
    <w:rPr>
      <w:b/>
      <w:bCs/>
      <w:sz w:val="20"/>
      <w:szCs w:val="20"/>
    </w:rPr>
  </w:style>
  <w:style w:type="paragraph" w:customStyle="1" w:styleId="Default">
    <w:name w:val="Default"/>
    <w:rsid w:val="009C7B21"/>
    <w:pPr>
      <w:autoSpaceDE w:val="0"/>
      <w:autoSpaceDN w:val="0"/>
      <w:adjustRightInd w:val="0"/>
      <w:spacing w:line="240" w:lineRule="auto"/>
      <w:ind w:left="0" w:firstLine="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47842">
      <w:bodyDiv w:val="1"/>
      <w:marLeft w:val="0"/>
      <w:marRight w:val="0"/>
      <w:marTop w:val="0"/>
      <w:marBottom w:val="0"/>
      <w:divBdr>
        <w:top w:val="none" w:sz="0" w:space="0" w:color="auto"/>
        <w:left w:val="none" w:sz="0" w:space="0" w:color="auto"/>
        <w:bottom w:val="none" w:sz="0" w:space="0" w:color="auto"/>
        <w:right w:val="none" w:sz="0" w:space="0" w:color="auto"/>
      </w:divBdr>
    </w:div>
    <w:div w:id="1112213632">
      <w:bodyDiv w:val="1"/>
      <w:marLeft w:val="0"/>
      <w:marRight w:val="0"/>
      <w:marTop w:val="0"/>
      <w:marBottom w:val="0"/>
      <w:divBdr>
        <w:top w:val="none" w:sz="0" w:space="0" w:color="auto"/>
        <w:left w:val="none" w:sz="0" w:space="0" w:color="auto"/>
        <w:bottom w:val="none" w:sz="0" w:space="0" w:color="auto"/>
        <w:right w:val="none" w:sz="0" w:space="0" w:color="auto"/>
      </w:divBdr>
    </w:div>
    <w:div w:id="1721590703">
      <w:bodyDiv w:val="1"/>
      <w:marLeft w:val="0"/>
      <w:marRight w:val="0"/>
      <w:marTop w:val="0"/>
      <w:marBottom w:val="0"/>
      <w:divBdr>
        <w:top w:val="none" w:sz="0" w:space="0" w:color="auto"/>
        <w:left w:val="none" w:sz="0" w:space="0" w:color="auto"/>
        <w:bottom w:val="none" w:sz="0" w:space="0" w:color="auto"/>
        <w:right w:val="none" w:sz="0" w:space="0" w:color="auto"/>
      </w:divBdr>
    </w:div>
    <w:div w:id="21021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qsa.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eqsa.gov.au/" TargetMode="External"/><Relationship Id="rId4" Type="http://schemas.microsoft.com/office/2007/relationships/stylesWithEffects" Target="stylesWithEffects.xml"/><Relationship Id="rId9" Type="http://schemas.openxmlformats.org/officeDocument/2006/relationships/hyperlink" Target="http://www.zeitschrift-schreiben.eu/cgi-bin/joolma/index.php?option+com_wrapper&amp;Itemid+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82AF4-BF78-4C8B-A120-9883D4B8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7954</Words>
  <Characters>45344</Characters>
  <Application>Microsoft Office Word</Application>
  <DocSecurity>0</DocSecurity>
  <Lines>377</Lines>
  <Paragraphs>106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INTRODUCTIONS in high scoring assignments</vt:lpstr>
    </vt:vector>
  </TitlesOfParts>
  <Company>Hewlett-Packard Company</Company>
  <LinksUpToDate>false</LinksUpToDate>
  <CharactersWithSpaces>53192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Wingate</dc:creator>
  <cp:lastModifiedBy>Ursula Wingate</cp:lastModifiedBy>
  <cp:revision>2</cp:revision>
  <dcterms:created xsi:type="dcterms:W3CDTF">2016-11-13T16:38:00Z</dcterms:created>
  <dcterms:modified xsi:type="dcterms:W3CDTF">2016-11-13T16:38:00Z</dcterms:modified>
</cp:coreProperties>
</file>